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8CE9" w14:textId="492F8253" w:rsidR="00275AD9" w:rsidRPr="00763580" w:rsidRDefault="00763580" w:rsidP="00275AD9">
      <w:pPr>
        <w:pStyle w:val="Default"/>
        <w:rPr>
          <w:b/>
        </w:rPr>
      </w:pPr>
      <w:r w:rsidRPr="00763580">
        <w:rPr>
          <w:b/>
        </w:rPr>
        <w:t>Anchors: High-Precision Model-Agnostic Explanations</w:t>
      </w:r>
      <w:r w:rsidR="006C3FF4">
        <w:rPr>
          <w:b/>
        </w:rPr>
        <w:t xml:space="preserve"> </w:t>
      </w:r>
      <w:r w:rsidR="006C3FF4" w:rsidRPr="006C3FF4">
        <w:rPr>
          <w:b/>
        </w:rPr>
        <w:t>paper by Ribeiro et al.</w:t>
      </w:r>
      <w:r w:rsidR="00346E7E">
        <w:rPr>
          <w:b/>
        </w:rPr>
        <w:t>, 2018</w:t>
      </w:r>
    </w:p>
    <w:p w14:paraId="65683155" w14:textId="77777777" w:rsidR="00763580" w:rsidRDefault="00763580" w:rsidP="00275AD9">
      <w:pPr>
        <w:pStyle w:val="Default"/>
      </w:pPr>
    </w:p>
    <w:p w14:paraId="70A2B1A4" w14:textId="15BB65CC" w:rsidR="00275AD9" w:rsidRPr="00822A8C" w:rsidRDefault="00275AD9" w:rsidP="00275AD9">
      <w:pPr>
        <w:pStyle w:val="Default"/>
        <w:rPr>
          <w:b/>
          <w:sz w:val="22"/>
          <w:szCs w:val="22"/>
          <w:u w:val="single"/>
        </w:rPr>
      </w:pPr>
      <w:r>
        <w:t xml:space="preserve"> </w:t>
      </w:r>
      <w:r w:rsidR="00822A8C" w:rsidRPr="00822A8C">
        <w:rPr>
          <w:b/>
          <w:sz w:val="22"/>
          <w:szCs w:val="22"/>
          <w:u w:val="single"/>
        </w:rPr>
        <w:t>C</w:t>
      </w:r>
      <w:r w:rsidRPr="00822A8C">
        <w:rPr>
          <w:b/>
          <w:sz w:val="22"/>
          <w:szCs w:val="22"/>
          <w:u w:val="single"/>
        </w:rPr>
        <w:t>entral contribution of the paper</w:t>
      </w:r>
    </w:p>
    <w:p w14:paraId="036DD803" w14:textId="37721175" w:rsidR="00495483" w:rsidRPr="00D301E5" w:rsidRDefault="00C604F8" w:rsidP="006141BB">
      <w:pPr>
        <w:pStyle w:val="Default"/>
        <w:jc w:val="both"/>
        <w:rPr>
          <w:sz w:val="22"/>
          <w:szCs w:val="22"/>
        </w:rPr>
      </w:pPr>
      <w:r w:rsidRPr="00D301E5">
        <w:rPr>
          <w:sz w:val="22"/>
          <w:szCs w:val="22"/>
        </w:rPr>
        <w:t>Th</w:t>
      </w:r>
      <w:r w:rsidR="00727F1E" w:rsidRPr="00D301E5">
        <w:rPr>
          <w:sz w:val="22"/>
          <w:szCs w:val="22"/>
        </w:rPr>
        <w:t>is paper introduces a</w:t>
      </w:r>
      <w:r w:rsidRPr="00D301E5">
        <w:rPr>
          <w:sz w:val="22"/>
          <w:szCs w:val="22"/>
        </w:rPr>
        <w:t xml:space="preserve"> </w:t>
      </w:r>
      <w:r w:rsidR="00727F1E" w:rsidRPr="00D301E5">
        <w:rPr>
          <w:sz w:val="22"/>
          <w:szCs w:val="22"/>
        </w:rPr>
        <w:t>local</w:t>
      </w:r>
      <w:r w:rsidR="009B0D14" w:rsidRPr="00D301E5">
        <w:rPr>
          <w:rStyle w:val="FootnoteReference"/>
          <w:sz w:val="22"/>
          <w:szCs w:val="22"/>
        </w:rPr>
        <w:footnoteReference w:id="1"/>
      </w:r>
      <w:r w:rsidR="009B0D14" w:rsidRPr="00D301E5">
        <w:rPr>
          <w:sz w:val="22"/>
          <w:szCs w:val="22"/>
        </w:rPr>
        <w:t xml:space="preserve">, </w:t>
      </w:r>
      <w:r w:rsidRPr="00D301E5">
        <w:rPr>
          <w:sz w:val="22"/>
          <w:szCs w:val="22"/>
        </w:rPr>
        <w:t>model agnostic</w:t>
      </w:r>
      <w:r w:rsidR="009B0D14" w:rsidRPr="00D301E5">
        <w:rPr>
          <w:rStyle w:val="FootnoteReference"/>
          <w:sz w:val="22"/>
          <w:szCs w:val="22"/>
        </w:rPr>
        <w:footnoteReference w:id="2"/>
      </w:r>
      <w:r w:rsidR="00727F1E" w:rsidRPr="00D301E5">
        <w:rPr>
          <w:sz w:val="22"/>
          <w:szCs w:val="22"/>
        </w:rPr>
        <w:t xml:space="preserve"> </w:t>
      </w:r>
      <w:r w:rsidR="00511559" w:rsidRPr="00D301E5">
        <w:rPr>
          <w:sz w:val="22"/>
          <w:szCs w:val="22"/>
        </w:rPr>
        <w:t xml:space="preserve"> </w:t>
      </w:r>
      <w:r w:rsidRPr="00D301E5">
        <w:rPr>
          <w:sz w:val="22"/>
          <w:szCs w:val="22"/>
        </w:rPr>
        <w:t>and post</w:t>
      </w:r>
      <w:r w:rsidR="00727F1E" w:rsidRPr="00D301E5">
        <w:rPr>
          <w:sz w:val="22"/>
          <w:szCs w:val="22"/>
        </w:rPr>
        <w:t>-</w:t>
      </w:r>
      <w:r w:rsidRPr="00D301E5">
        <w:rPr>
          <w:sz w:val="22"/>
          <w:szCs w:val="22"/>
        </w:rPr>
        <w:t>hoc</w:t>
      </w:r>
      <w:r w:rsidR="009B0D14" w:rsidRPr="00D301E5">
        <w:rPr>
          <w:rStyle w:val="FootnoteReference"/>
          <w:sz w:val="22"/>
          <w:szCs w:val="22"/>
        </w:rPr>
        <w:footnoteReference w:id="3"/>
      </w:r>
      <w:r w:rsidR="00511559" w:rsidRPr="00D301E5">
        <w:rPr>
          <w:sz w:val="22"/>
          <w:szCs w:val="22"/>
        </w:rPr>
        <w:t xml:space="preserve"> </w:t>
      </w:r>
      <w:r w:rsidRPr="00D301E5">
        <w:rPr>
          <w:sz w:val="22"/>
          <w:szCs w:val="22"/>
        </w:rPr>
        <w:t>interpretability method</w:t>
      </w:r>
      <w:r w:rsidR="00727F1E" w:rsidRPr="00D301E5">
        <w:rPr>
          <w:sz w:val="22"/>
          <w:szCs w:val="22"/>
        </w:rPr>
        <w:t>,</w:t>
      </w:r>
      <w:r w:rsidR="00B2707F" w:rsidRPr="00D301E5">
        <w:rPr>
          <w:sz w:val="22"/>
          <w:szCs w:val="22"/>
        </w:rPr>
        <w:t xml:space="preserve"> related to</w:t>
      </w:r>
      <w:r w:rsidR="004205DA" w:rsidRPr="00D301E5">
        <w:rPr>
          <w:sz w:val="22"/>
          <w:szCs w:val="22"/>
        </w:rPr>
        <w:t xml:space="preserve"> the</w:t>
      </w:r>
      <w:r w:rsidR="00B2707F" w:rsidRPr="00D301E5">
        <w:rPr>
          <w:sz w:val="22"/>
          <w:szCs w:val="22"/>
        </w:rPr>
        <w:t xml:space="preserve"> </w:t>
      </w:r>
      <w:r w:rsidR="005114E5" w:rsidRPr="00D301E5">
        <w:rPr>
          <w:sz w:val="22"/>
          <w:szCs w:val="22"/>
        </w:rPr>
        <w:t>research area</w:t>
      </w:r>
      <w:r w:rsidR="00372B04" w:rsidRPr="00D301E5">
        <w:rPr>
          <w:sz w:val="22"/>
          <w:szCs w:val="22"/>
        </w:rPr>
        <w:t xml:space="preserve">, </w:t>
      </w:r>
      <w:r w:rsidR="00B2707F" w:rsidRPr="00D301E5">
        <w:rPr>
          <w:sz w:val="22"/>
          <w:szCs w:val="22"/>
        </w:rPr>
        <w:t>explainable AI</w:t>
      </w:r>
      <w:r w:rsidR="00727F1E" w:rsidRPr="00D301E5">
        <w:rPr>
          <w:sz w:val="22"/>
          <w:szCs w:val="22"/>
        </w:rPr>
        <w:t>.</w:t>
      </w:r>
      <w:r w:rsidR="005114E5" w:rsidRPr="00D301E5">
        <w:rPr>
          <w:sz w:val="22"/>
          <w:szCs w:val="22"/>
        </w:rPr>
        <w:t xml:space="preserve"> </w:t>
      </w:r>
      <w:r w:rsidR="006155F7" w:rsidRPr="00D301E5">
        <w:rPr>
          <w:sz w:val="22"/>
          <w:szCs w:val="22"/>
        </w:rPr>
        <w:t>Th</w:t>
      </w:r>
      <w:r w:rsidR="005114E5" w:rsidRPr="00D301E5">
        <w:rPr>
          <w:sz w:val="22"/>
          <w:szCs w:val="22"/>
        </w:rPr>
        <w:t xml:space="preserve">is research </w:t>
      </w:r>
      <w:r w:rsidR="006155F7" w:rsidRPr="00D301E5">
        <w:rPr>
          <w:sz w:val="22"/>
          <w:szCs w:val="22"/>
        </w:rPr>
        <w:t xml:space="preserve">intends to </w:t>
      </w:r>
      <w:r w:rsidR="006E3206" w:rsidRPr="00D301E5">
        <w:rPr>
          <w:sz w:val="22"/>
          <w:szCs w:val="22"/>
        </w:rPr>
        <w:t xml:space="preserve">address </w:t>
      </w:r>
      <w:r w:rsidR="006155F7" w:rsidRPr="00D301E5">
        <w:rPr>
          <w:sz w:val="22"/>
          <w:szCs w:val="22"/>
        </w:rPr>
        <w:t>downfalls of</w:t>
      </w:r>
      <w:r w:rsidR="006E3206" w:rsidRPr="00D301E5">
        <w:rPr>
          <w:sz w:val="22"/>
          <w:szCs w:val="22"/>
        </w:rPr>
        <w:t xml:space="preserve"> </w:t>
      </w:r>
      <w:r w:rsidR="006155F7" w:rsidRPr="00D301E5">
        <w:rPr>
          <w:sz w:val="22"/>
          <w:szCs w:val="22"/>
        </w:rPr>
        <w:t xml:space="preserve">Its’ </w:t>
      </w:r>
      <w:r w:rsidR="001415CE" w:rsidRPr="00D301E5">
        <w:rPr>
          <w:sz w:val="22"/>
          <w:szCs w:val="22"/>
        </w:rPr>
        <w:t xml:space="preserve">predecessor </w:t>
      </w:r>
      <w:r w:rsidR="006155F7" w:rsidRPr="00D301E5">
        <w:rPr>
          <w:sz w:val="22"/>
          <w:szCs w:val="22"/>
        </w:rPr>
        <w:t xml:space="preserve">research, </w:t>
      </w:r>
      <w:r w:rsidR="006E3206" w:rsidRPr="00D301E5">
        <w:rPr>
          <w:sz w:val="22"/>
          <w:szCs w:val="22"/>
        </w:rPr>
        <w:t>LIME</w:t>
      </w:r>
      <w:r w:rsidR="00204D77" w:rsidRPr="00D301E5">
        <w:rPr>
          <w:rStyle w:val="FootnoteReference"/>
          <w:sz w:val="22"/>
          <w:szCs w:val="22"/>
        </w:rPr>
        <w:footnoteReference w:id="4"/>
      </w:r>
      <w:r w:rsidR="006155F7" w:rsidRPr="00D301E5">
        <w:rPr>
          <w:sz w:val="22"/>
          <w:szCs w:val="22"/>
        </w:rPr>
        <w:t xml:space="preserve"> </w:t>
      </w:r>
      <w:r w:rsidR="00303537" w:rsidRPr="00D301E5">
        <w:rPr>
          <w:sz w:val="22"/>
          <w:szCs w:val="22"/>
        </w:rPr>
        <w:t>by Ribeiro et al</w:t>
      </w:r>
      <w:r w:rsidR="003665D8">
        <w:rPr>
          <w:sz w:val="22"/>
          <w:szCs w:val="22"/>
        </w:rPr>
        <w:t>,2016</w:t>
      </w:r>
      <w:r w:rsidR="00303537" w:rsidRPr="00D301E5">
        <w:rPr>
          <w:sz w:val="22"/>
          <w:szCs w:val="22"/>
        </w:rPr>
        <w:t xml:space="preserve"> </w:t>
      </w:r>
      <w:r w:rsidR="006155F7" w:rsidRPr="00D301E5">
        <w:rPr>
          <w:sz w:val="22"/>
          <w:szCs w:val="22"/>
        </w:rPr>
        <w:t>which</w:t>
      </w:r>
      <w:r w:rsidR="006E3206" w:rsidRPr="00D301E5">
        <w:rPr>
          <w:sz w:val="22"/>
          <w:szCs w:val="22"/>
        </w:rPr>
        <w:t xml:space="preserve"> </w:t>
      </w:r>
      <w:r w:rsidR="006155F7" w:rsidRPr="00D301E5">
        <w:rPr>
          <w:sz w:val="22"/>
          <w:szCs w:val="22"/>
        </w:rPr>
        <w:t>models the local behavior</w:t>
      </w:r>
      <w:r w:rsidR="0039792D" w:rsidRPr="00D301E5">
        <w:rPr>
          <w:sz w:val="22"/>
          <w:szCs w:val="22"/>
        </w:rPr>
        <w:t xml:space="preserve"> </w:t>
      </w:r>
      <w:r w:rsidR="006155F7" w:rsidRPr="00D301E5">
        <w:rPr>
          <w:sz w:val="22"/>
          <w:szCs w:val="22"/>
        </w:rPr>
        <w:t xml:space="preserve">around some point in </w:t>
      </w:r>
      <w:r w:rsidR="00EC3E28" w:rsidRPr="00D301E5">
        <w:rPr>
          <w:sz w:val="22"/>
          <w:szCs w:val="22"/>
        </w:rPr>
        <w:t xml:space="preserve">a </w:t>
      </w:r>
      <w:r w:rsidR="006155F7" w:rsidRPr="00D301E5">
        <w:rPr>
          <w:sz w:val="22"/>
          <w:szCs w:val="22"/>
        </w:rPr>
        <w:t>linear way</w:t>
      </w:r>
      <w:r w:rsidR="00E37001" w:rsidRPr="00D301E5">
        <w:rPr>
          <w:sz w:val="22"/>
          <w:szCs w:val="22"/>
        </w:rPr>
        <w:t xml:space="preserve"> to generate explanations</w:t>
      </w:r>
      <w:r w:rsidR="006155F7" w:rsidRPr="00D301E5">
        <w:rPr>
          <w:sz w:val="22"/>
          <w:szCs w:val="22"/>
        </w:rPr>
        <w:t>.</w:t>
      </w:r>
      <w:r w:rsidR="0039792D" w:rsidRPr="00D301E5">
        <w:rPr>
          <w:sz w:val="22"/>
          <w:szCs w:val="22"/>
        </w:rPr>
        <w:t xml:space="preserve"> Instead of </w:t>
      </w:r>
      <w:r w:rsidR="005114E5" w:rsidRPr="00D301E5">
        <w:rPr>
          <w:sz w:val="22"/>
          <w:szCs w:val="22"/>
        </w:rPr>
        <w:t xml:space="preserve">fitting </w:t>
      </w:r>
      <w:r w:rsidR="0039792D" w:rsidRPr="00D301E5">
        <w:rPr>
          <w:sz w:val="22"/>
          <w:szCs w:val="22"/>
        </w:rPr>
        <w:t>surrogate mod</w:t>
      </w:r>
      <w:bookmarkStart w:id="0" w:name="_GoBack"/>
      <w:bookmarkEnd w:id="0"/>
      <w:r w:rsidR="0039792D" w:rsidRPr="00D301E5">
        <w:rPr>
          <w:sz w:val="22"/>
          <w:szCs w:val="22"/>
        </w:rPr>
        <w:t>els</w:t>
      </w:r>
      <w:r w:rsidR="00EC3E28" w:rsidRPr="00D301E5">
        <w:rPr>
          <w:sz w:val="22"/>
          <w:szCs w:val="22"/>
        </w:rPr>
        <w:t xml:space="preserve"> </w:t>
      </w:r>
      <w:r w:rsidR="004205DA" w:rsidRPr="00D301E5">
        <w:rPr>
          <w:sz w:val="22"/>
          <w:szCs w:val="22"/>
        </w:rPr>
        <w:t xml:space="preserve">as </w:t>
      </w:r>
      <w:r w:rsidR="00EC3E28" w:rsidRPr="00D301E5">
        <w:rPr>
          <w:sz w:val="22"/>
          <w:szCs w:val="22"/>
        </w:rPr>
        <w:t>in LIME,</w:t>
      </w:r>
      <w:r w:rsidR="00F03053" w:rsidRPr="00D301E5">
        <w:rPr>
          <w:sz w:val="22"/>
          <w:szCs w:val="22"/>
        </w:rPr>
        <w:t xml:space="preserve"> this method</w:t>
      </w:r>
      <w:r w:rsidR="00EC3E28" w:rsidRPr="00D301E5">
        <w:rPr>
          <w:sz w:val="22"/>
          <w:szCs w:val="22"/>
        </w:rPr>
        <w:t xml:space="preserve"> utilizes rule-based conditions called anchors. </w:t>
      </w:r>
      <w:r w:rsidR="007E55D0" w:rsidRPr="00D301E5">
        <w:rPr>
          <w:sz w:val="22"/>
          <w:szCs w:val="22"/>
        </w:rPr>
        <w:t>The anchors work in a way</w:t>
      </w:r>
      <w:r w:rsidR="002C35E0" w:rsidRPr="00D301E5">
        <w:rPr>
          <w:sz w:val="22"/>
          <w:szCs w:val="22"/>
        </w:rPr>
        <w:t>,</w:t>
      </w:r>
      <w:r w:rsidR="007E55D0" w:rsidRPr="00D301E5">
        <w:rPr>
          <w:sz w:val="22"/>
          <w:szCs w:val="22"/>
        </w:rPr>
        <w:t xml:space="preserve"> wh</w:t>
      </w:r>
      <w:r w:rsidR="00C45B9A" w:rsidRPr="00D301E5">
        <w:rPr>
          <w:sz w:val="22"/>
          <w:szCs w:val="22"/>
        </w:rPr>
        <w:t xml:space="preserve">en </w:t>
      </w:r>
      <w:r w:rsidR="007E55D0" w:rsidRPr="00D301E5">
        <w:rPr>
          <w:sz w:val="22"/>
          <w:szCs w:val="22"/>
        </w:rPr>
        <w:t xml:space="preserve">the </w:t>
      </w:r>
      <w:r w:rsidR="004205DA" w:rsidRPr="00D301E5">
        <w:rPr>
          <w:sz w:val="22"/>
          <w:szCs w:val="22"/>
        </w:rPr>
        <w:t>condition</w:t>
      </w:r>
      <w:r w:rsidR="00872154" w:rsidRPr="00D301E5">
        <w:rPr>
          <w:sz w:val="22"/>
          <w:szCs w:val="22"/>
        </w:rPr>
        <w:t>s</w:t>
      </w:r>
      <w:r w:rsidR="004205DA" w:rsidRPr="00D301E5">
        <w:rPr>
          <w:sz w:val="22"/>
          <w:szCs w:val="22"/>
        </w:rPr>
        <w:t xml:space="preserve"> </w:t>
      </w:r>
      <w:r w:rsidR="007E55D0" w:rsidRPr="00D301E5">
        <w:rPr>
          <w:sz w:val="22"/>
          <w:szCs w:val="22"/>
        </w:rPr>
        <w:t>hold true</w:t>
      </w:r>
      <w:r w:rsidR="00764742" w:rsidRPr="00D301E5">
        <w:rPr>
          <w:sz w:val="22"/>
          <w:szCs w:val="22"/>
        </w:rPr>
        <w:t xml:space="preserve"> in the input</w:t>
      </w:r>
      <w:r w:rsidR="007E55D0" w:rsidRPr="00D301E5">
        <w:rPr>
          <w:sz w:val="22"/>
          <w:szCs w:val="22"/>
        </w:rPr>
        <w:t>, the prediction</w:t>
      </w:r>
      <w:r w:rsidR="007B3BAC" w:rsidRPr="00D301E5">
        <w:rPr>
          <w:sz w:val="22"/>
          <w:szCs w:val="22"/>
        </w:rPr>
        <w:t>s are</w:t>
      </w:r>
      <w:r w:rsidR="007E55D0" w:rsidRPr="00D301E5">
        <w:rPr>
          <w:sz w:val="22"/>
          <w:szCs w:val="22"/>
        </w:rPr>
        <w:t xml:space="preserve"> same</w:t>
      </w:r>
      <w:r w:rsidR="00477FC9" w:rsidRPr="00D301E5">
        <w:rPr>
          <w:sz w:val="22"/>
          <w:szCs w:val="22"/>
        </w:rPr>
        <w:t xml:space="preserve"> most of the time</w:t>
      </w:r>
      <w:r w:rsidR="007E55D0" w:rsidRPr="00D301E5">
        <w:rPr>
          <w:sz w:val="22"/>
          <w:szCs w:val="22"/>
        </w:rPr>
        <w:t xml:space="preserve"> regardless of feature </w:t>
      </w:r>
      <w:r w:rsidR="00FA7F94" w:rsidRPr="00D301E5">
        <w:rPr>
          <w:sz w:val="22"/>
          <w:szCs w:val="22"/>
        </w:rPr>
        <w:t>values</w:t>
      </w:r>
      <w:r w:rsidR="00477FC9" w:rsidRPr="00D301E5">
        <w:rPr>
          <w:sz w:val="22"/>
          <w:szCs w:val="22"/>
        </w:rPr>
        <w:t>; by design it</w:t>
      </w:r>
      <w:r w:rsidR="00C93ACB" w:rsidRPr="00D301E5">
        <w:rPr>
          <w:sz w:val="22"/>
          <w:szCs w:val="22"/>
        </w:rPr>
        <w:t xml:space="preserve"> is</w:t>
      </w:r>
      <w:r w:rsidR="00477FC9" w:rsidRPr="00D301E5">
        <w:rPr>
          <w:sz w:val="22"/>
          <w:szCs w:val="22"/>
        </w:rPr>
        <w:t xml:space="preserve"> intended to attain higher precision. </w:t>
      </w:r>
      <w:r w:rsidR="007B3BAC" w:rsidRPr="00D301E5">
        <w:rPr>
          <w:sz w:val="22"/>
          <w:szCs w:val="22"/>
        </w:rPr>
        <w:t xml:space="preserve">As conditions are well defined </w:t>
      </w:r>
      <w:r w:rsidR="009118E1" w:rsidRPr="00D301E5">
        <w:rPr>
          <w:sz w:val="22"/>
          <w:szCs w:val="22"/>
        </w:rPr>
        <w:t xml:space="preserve">in a discrete manner </w:t>
      </w:r>
      <w:r w:rsidR="007B3BAC" w:rsidRPr="00D301E5">
        <w:rPr>
          <w:sz w:val="22"/>
          <w:szCs w:val="22"/>
        </w:rPr>
        <w:t>and easy to comprehend, method has extremely clear coverage; means that the explanation can be applied on unseen instances in the region</w:t>
      </w:r>
      <w:r w:rsidR="00164004" w:rsidRPr="00D301E5">
        <w:rPr>
          <w:sz w:val="22"/>
          <w:szCs w:val="22"/>
        </w:rPr>
        <w:t xml:space="preserve">; this </w:t>
      </w:r>
      <w:r w:rsidR="000E714A" w:rsidRPr="00D301E5">
        <w:rPr>
          <w:sz w:val="22"/>
          <w:szCs w:val="22"/>
        </w:rPr>
        <w:t xml:space="preserve">addresses unclear coverage in LIME. </w:t>
      </w:r>
    </w:p>
    <w:p w14:paraId="72B5A94A" w14:textId="77777777" w:rsidR="00B24C82" w:rsidRPr="00D301E5" w:rsidRDefault="00B24C82" w:rsidP="00511559">
      <w:pPr>
        <w:pStyle w:val="Default"/>
        <w:rPr>
          <w:sz w:val="22"/>
          <w:szCs w:val="22"/>
        </w:rPr>
      </w:pPr>
    </w:p>
    <w:p w14:paraId="481E15B2" w14:textId="4C0794AE" w:rsidR="00621978" w:rsidRPr="00D301E5" w:rsidRDefault="00EC3E28" w:rsidP="006141BB">
      <w:pPr>
        <w:pStyle w:val="Default"/>
        <w:jc w:val="both"/>
        <w:rPr>
          <w:sz w:val="22"/>
          <w:szCs w:val="22"/>
        </w:rPr>
      </w:pPr>
      <w:r w:rsidRPr="00D301E5">
        <w:rPr>
          <w:sz w:val="22"/>
          <w:szCs w:val="22"/>
        </w:rPr>
        <w:t xml:space="preserve">Authors </w:t>
      </w:r>
      <w:r w:rsidR="006D5B91" w:rsidRPr="00D301E5">
        <w:rPr>
          <w:sz w:val="22"/>
          <w:szCs w:val="22"/>
        </w:rPr>
        <w:t>explains</w:t>
      </w:r>
      <w:r w:rsidRPr="00D301E5">
        <w:rPr>
          <w:sz w:val="22"/>
          <w:szCs w:val="22"/>
        </w:rPr>
        <w:t xml:space="preserve"> </w:t>
      </w:r>
      <w:r w:rsidR="000E2702" w:rsidRPr="00D301E5">
        <w:rPr>
          <w:sz w:val="22"/>
          <w:szCs w:val="22"/>
        </w:rPr>
        <w:t>exploration based multi-armed bandit</w:t>
      </w:r>
      <w:r w:rsidR="006D5B91" w:rsidRPr="00D301E5">
        <w:rPr>
          <w:sz w:val="22"/>
          <w:szCs w:val="22"/>
        </w:rPr>
        <w:t xml:space="preserve"> (</w:t>
      </w:r>
      <w:r w:rsidR="00BE3490" w:rsidRPr="00D301E5">
        <w:rPr>
          <w:sz w:val="22"/>
          <w:szCs w:val="22"/>
        </w:rPr>
        <w:t>MAB; KL-LUCB37</w:t>
      </w:r>
      <w:r w:rsidR="00204D77" w:rsidRPr="00D301E5">
        <w:rPr>
          <w:rStyle w:val="FootnoteReference"/>
          <w:sz w:val="22"/>
          <w:szCs w:val="22"/>
        </w:rPr>
        <w:footnoteReference w:id="5"/>
      </w:r>
      <w:r w:rsidR="006D5B91" w:rsidRPr="00D301E5">
        <w:rPr>
          <w:sz w:val="22"/>
          <w:szCs w:val="22"/>
        </w:rPr>
        <w:t>)</w:t>
      </w:r>
      <w:r w:rsidR="000E2702" w:rsidRPr="00D301E5">
        <w:rPr>
          <w:sz w:val="22"/>
          <w:szCs w:val="22"/>
        </w:rPr>
        <w:t xml:space="preserve"> </w:t>
      </w:r>
      <w:r w:rsidR="006D5B91" w:rsidRPr="00D301E5">
        <w:rPr>
          <w:sz w:val="22"/>
          <w:szCs w:val="22"/>
        </w:rPr>
        <w:t>problem</w:t>
      </w:r>
      <w:r w:rsidR="000E2702" w:rsidRPr="00D301E5">
        <w:rPr>
          <w:sz w:val="22"/>
          <w:szCs w:val="22"/>
        </w:rPr>
        <w:t xml:space="preserve"> </w:t>
      </w:r>
      <w:r w:rsidR="006D5B91" w:rsidRPr="00D301E5">
        <w:rPr>
          <w:sz w:val="22"/>
          <w:szCs w:val="22"/>
        </w:rPr>
        <w:t>in</w:t>
      </w:r>
      <w:r w:rsidR="000E2702" w:rsidRPr="00D301E5">
        <w:rPr>
          <w:sz w:val="22"/>
          <w:szCs w:val="22"/>
        </w:rPr>
        <w:t xml:space="preserve"> reinforcement learning as an</w:t>
      </w:r>
      <w:r w:rsidRPr="00D301E5">
        <w:rPr>
          <w:sz w:val="22"/>
          <w:szCs w:val="22"/>
        </w:rPr>
        <w:t xml:space="preserve"> </w:t>
      </w:r>
      <w:r w:rsidR="006D5B91" w:rsidRPr="00D301E5">
        <w:rPr>
          <w:sz w:val="22"/>
          <w:szCs w:val="22"/>
        </w:rPr>
        <w:t>approach</w:t>
      </w:r>
      <w:r w:rsidR="000E2702" w:rsidRPr="00D301E5">
        <w:rPr>
          <w:sz w:val="22"/>
          <w:szCs w:val="22"/>
        </w:rPr>
        <w:t xml:space="preserve"> to</w:t>
      </w:r>
      <w:r w:rsidR="00E023DA" w:rsidRPr="00D301E5">
        <w:rPr>
          <w:sz w:val="22"/>
          <w:szCs w:val="22"/>
        </w:rPr>
        <w:t xml:space="preserve">, </w:t>
      </w:r>
      <w:r w:rsidR="00AD6CEC" w:rsidRPr="00D301E5">
        <w:rPr>
          <w:sz w:val="22"/>
          <w:szCs w:val="22"/>
        </w:rPr>
        <w:t>construct</w:t>
      </w:r>
      <w:r w:rsidR="00A512E5" w:rsidRPr="00D301E5">
        <w:rPr>
          <w:sz w:val="22"/>
          <w:szCs w:val="22"/>
        </w:rPr>
        <w:t xml:space="preserve"> </w:t>
      </w:r>
      <w:r w:rsidR="00E023DA" w:rsidRPr="00D301E5">
        <w:rPr>
          <w:sz w:val="22"/>
          <w:szCs w:val="22"/>
        </w:rPr>
        <w:t xml:space="preserve">best </w:t>
      </w:r>
      <w:r w:rsidRPr="00D301E5">
        <w:rPr>
          <w:sz w:val="22"/>
          <w:szCs w:val="22"/>
        </w:rPr>
        <w:t>anchor</w:t>
      </w:r>
      <w:r w:rsidR="00E023DA" w:rsidRPr="00D301E5">
        <w:rPr>
          <w:sz w:val="22"/>
          <w:szCs w:val="22"/>
        </w:rPr>
        <w:t>.</w:t>
      </w:r>
      <w:r w:rsidR="00A512E5" w:rsidRPr="00D301E5">
        <w:rPr>
          <w:sz w:val="22"/>
          <w:szCs w:val="22"/>
        </w:rPr>
        <w:t xml:space="preserve"> </w:t>
      </w:r>
      <w:r w:rsidR="00AE1AB2" w:rsidRPr="00D301E5">
        <w:rPr>
          <w:sz w:val="22"/>
          <w:szCs w:val="22"/>
        </w:rPr>
        <w:t>The paper</w:t>
      </w:r>
      <w:r w:rsidR="00E37001" w:rsidRPr="00D301E5">
        <w:rPr>
          <w:sz w:val="22"/>
          <w:szCs w:val="22"/>
        </w:rPr>
        <w:t xml:space="preserve"> further explains anchor generation as a bottom-up construction which initialize with an empty rule, and later extend to search over a space of potential anchors</w:t>
      </w:r>
      <w:r w:rsidR="00BE3490" w:rsidRPr="00D301E5">
        <w:rPr>
          <w:sz w:val="22"/>
          <w:szCs w:val="22"/>
        </w:rPr>
        <w:t xml:space="preserve">. Best anchor in each MAB search is identified by highest estimated precision and </w:t>
      </w:r>
      <w:r w:rsidR="00CF0604" w:rsidRPr="00D301E5">
        <w:rPr>
          <w:sz w:val="22"/>
          <w:szCs w:val="22"/>
        </w:rPr>
        <w:t>extends</w:t>
      </w:r>
      <w:r w:rsidR="00BE3490" w:rsidRPr="00D301E5">
        <w:rPr>
          <w:sz w:val="22"/>
          <w:szCs w:val="22"/>
        </w:rPr>
        <w:t xml:space="preserve"> the rest</w:t>
      </w:r>
      <w:r w:rsidR="00CF0604" w:rsidRPr="00D301E5">
        <w:rPr>
          <w:sz w:val="22"/>
          <w:szCs w:val="22"/>
        </w:rPr>
        <w:t xml:space="preserve"> with the selected best anchor; this continues until it exceeds the predefined precision threshold. Th</w:t>
      </w:r>
      <w:r w:rsidR="002A0AC7" w:rsidRPr="00D301E5">
        <w:rPr>
          <w:sz w:val="22"/>
          <w:szCs w:val="22"/>
        </w:rPr>
        <w:t>is</w:t>
      </w:r>
      <w:r w:rsidR="00291D63" w:rsidRPr="00D301E5">
        <w:rPr>
          <w:sz w:val="22"/>
          <w:szCs w:val="22"/>
        </w:rPr>
        <w:t xml:space="preserve"> </w:t>
      </w:r>
      <w:r w:rsidR="00FF63C2" w:rsidRPr="00D301E5">
        <w:rPr>
          <w:sz w:val="22"/>
          <w:szCs w:val="22"/>
        </w:rPr>
        <w:t>greedy approach</w:t>
      </w:r>
      <w:r w:rsidR="00291D63" w:rsidRPr="00D301E5">
        <w:rPr>
          <w:sz w:val="22"/>
          <w:szCs w:val="22"/>
        </w:rPr>
        <w:t xml:space="preserve"> </w:t>
      </w:r>
      <w:r w:rsidR="00CF0604" w:rsidRPr="00D301E5">
        <w:rPr>
          <w:sz w:val="22"/>
          <w:szCs w:val="22"/>
        </w:rPr>
        <w:t xml:space="preserve">tries to find the shortest anchor which guarantees higher coverage </w:t>
      </w:r>
      <w:r w:rsidR="00FF63C2" w:rsidRPr="00D301E5">
        <w:rPr>
          <w:sz w:val="22"/>
          <w:szCs w:val="22"/>
        </w:rPr>
        <w:t xml:space="preserve">with </w:t>
      </w:r>
      <w:r w:rsidR="00CF0604" w:rsidRPr="00D301E5">
        <w:rPr>
          <w:sz w:val="22"/>
          <w:szCs w:val="22"/>
        </w:rPr>
        <w:t xml:space="preserve">more </w:t>
      </w:r>
      <w:r w:rsidR="00F63D18" w:rsidRPr="00D301E5">
        <w:rPr>
          <w:sz w:val="22"/>
          <w:szCs w:val="22"/>
        </w:rPr>
        <w:t>interpretability</w:t>
      </w:r>
      <w:r w:rsidR="00CF0604" w:rsidRPr="00D301E5">
        <w:rPr>
          <w:sz w:val="22"/>
          <w:szCs w:val="22"/>
        </w:rPr>
        <w:t xml:space="preserve">. </w:t>
      </w:r>
      <w:r w:rsidR="00CA4D06" w:rsidRPr="00D301E5">
        <w:rPr>
          <w:sz w:val="22"/>
          <w:szCs w:val="22"/>
        </w:rPr>
        <w:t>However a</w:t>
      </w:r>
      <w:r w:rsidR="00621978" w:rsidRPr="00D301E5">
        <w:rPr>
          <w:sz w:val="22"/>
          <w:szCs w:val="22"/>
        </w:rPr>
        <w:t xml:space="preserve">s greedy algorithm is only able to maintain a single rule at a time and not directly concerned with the coverage of the anchors, </w:t>
      </w:r>
      <w:r w:rsidR="00876E9A" w:rsidRPr="00D301E5">
        <w:rPr>
          <w:sz w:val="22"/>
          <w:szCs w:val="22"/>
        </w:rPr>
        <w:t>the method</w:t>
      </w:r>
      <w:r w:rsidR="00621978" w:rsidRPr="00D301E5">
        <w:rPr>
          <w:sz w:val="22"/>
          <w:szCs w:val="22"/>
        </w:rPr>
        <w:t xml:space="preserve"> has been extended to perform a beam-search. </w:t>
      </w:r>
    </w:p>
    <w:p w14:paraId="79D1E703" w14:textId="77777777" w:rsidR="00275AD9" w:rsidRPr="00D301E5" w:rsidRDefault="00275AD9" w:rsidP="006141BB">
      <w:pPr>
        <w:pStyle w:val="Default"/>
        <w:jc w:val="both"/>
        <w:rPr>
          <w:sz w:val="22"/>
          <w:szCs w:val="22"/>
        </w:rPr>
      </w:pPr>
    </w:p>
    <w:p w14:paraId="2C85C91B" w14:textId="0D46E7C0" w:rsidR="00275AD9" w:rsidRPr="007106D3" w:rsidRDefault="007106D3" w:rsidP="00275AD9">
      <w:pPr>
        <w:pStyle w:val="Default"/>
        <w:rPr>
          <w:b/>
          <w:sz w:val="22"/>
          <w:szCs w:val="22"/>
          <w:u w:val="single"/>
        </w:rPr>
      </w:pPr>
      <w:r w:rsidRPr="007106D3">
        <w:rPr>
          <w:b/>
          <w:sz w:val="22"/>
          <w:szCs w:val="22"/>
          <w:u w:val="single"/>
        </w:rPr>
        <w:t xml:space="preserve">Related </w:t>
      </w:r>
      <w:r w:rsidR="00275AD9" w:rsidRPr="007106D3">
        <w:rPr>
          <w:b/>
          <w:sz w:val="22"/>
          <w:szCs w:val="22"/>
          <w:u w:val="single"/>
        </w:rPr>
        <w:t xml:space="preserve">literature </w:t>
      </w:r>
    </w:p>
    <w:p w14:paraId="0DBAFA58" w14:textId="5C130CCE" w:rsidR="00450BDC" w:rsidRPr="00D301E5" w:rsidRDefault="00511559" w:rsidP="00275AD9">
      <w:pPr>
        <w:pStyle w:val="Default"/>
        <w:rPr>
          <w:sz w:val="22"/>
          <w:szCs w:val="22"/>
        </w:rPr>
      </w:pPr>
      <w:r w:rsidRPr="00D301E5">
        <w:rPr>
          <w:sz w:val="22"/>
          <w:szCs w:val="22"/>
        </w:rPr>
        <w:t xml:space="preserve">As mentioned before this research was published by same authors of LIME and expected to address its’ shortcomings. </w:t>
      </w:r>
      <w:r w:rsidR="00CE5D79" w:rsidRPr="00D301E5">
        <w:rPr>
          <w:sz w:val="22"/>
          <w:szCs w:val="22"/>
        </w:rPr>
        <w:t xml:space="preserve">It mainly addresses </w:t>
      </w:r>
      <w:r w:rsidR="0036757D" w:rsidRPr="00D301E5">
        <w:rPr>
          <w:sz w:val="22"/>
          <w:szCs w:val="22"/>
        </w:rPr>
        <w:t>unclear coverage and performs well w</w:t>
      </w:r>
      <w:r w:rsidR="00C044E0" w:rsidRPr="00D301E5">
        <w:rPr>
          <w:sz w:val="22"/>
          <w:szCs w:val="22"/>
        </w:rPr>
        <w:t>hen</w:t>
      </w:r>
      <w:r w:rsidR="0036757D" w:rsidRPr="00D301E5">
        <w:rPr>
          <w:sz w:val="22"/>
          <w:szCs w:val="22"/>
        </w:rPr>
        <w:t xml:space="preserve"> original model</w:t>
      </w:r>
      <w:r w:rsidR="00C044E0" w:rsidRPr="00D301E5">
        <w:rPr>
          <w:sz w:val="22"/>
          <w:szCs w:val="22"/>
        </w:rPr>
        <w:t xml:space="preserve"> predictions</w:t>
      </w:r>
      <w:r w:rsidR="0036757D" w:rsidRPr="00D301E5">
        <w:rPr>
          <w:sz w:val="22"/>
          <w:szCs w:val="22"/>
        </w:rPr>
        <w:t xml:space="preserve"> </w:t>
      </w:r>
      <w:r w:rsidR="00C044E0" w:rsidRPr="00D301E5">
        <w:rPr>
          <w:sz w:val="22"/>
          <w:szCs w:val="22"/>
        </w:rPr>
        <w:t>are</w:t>
      </w:r>
      <w:r w:rsidR="0036757D" w:rsidRPr="00D301E5">
        <w:rPr>
          <w:sz w:val="22"/>
          <w:szCs w:val="22"/>
        </w:rPr>
        <w:t xml:space="preserve"> non-linear</w:t>
      </w:r>
      <w:r w:rsidR="00C044E0" w:rsidRPr="00D301E5">
        <w:rPr>
          <w:sz w:val="22"/>
          <w:szCs w:val="22"/>
        </w:rPr>
        <w:t xml:space="preserve"> or complex</w:t>
      </w:r>
      <w:r w:rsidR="0036757D" w:rsidRPr="00D301E5">
        <w:rPr>
          <w:sz w:val="22"/>
          <w:szCs w:val="22"/>
        </w:rPr>
        <w:t>, whe</w:t>
      </w:r>
      <w:r w:rsidR="00C044E0" w:rsidRPr="00D301E5">
        <w:rPr>
          <w:sz w:val="22"/>
          <w:szCs w:val="22"/>
        </w:rPr>
        <w:t>re</w:t>
      </w:r>
      <w:r w:rsidR="0036757D" w:rsidRPr="00D301E5">
        <w:rPr>
          <w:sz w:val="22"/>
          <w:szCs w:val="22"/>
        </w:rPr>
        <w:t xml:space="preserve"> LIME tends to fail as it</w:t>
      </w:r>
      <w:r w:rsidR="00062889" w:rsidRPr="00D301E5">
        <w:rPr>
          <w:sz w:val="22"/>
          <w:szCs w:val="22"/>
        </w:rPr>
        <w:t xml:space="preserve"> </w:t>
      </w:r>
      <w:r w:rsidR="0036757D" w:rsidRPr="00D301E5">
        <w:rPr>
          <w:sz w:val="22"/>
          <w:szCs w:val="22"/>
        </w:rPr>
        <w:t>only fit</w:t>
      </w:r>
      <w:r w:rsidR="00BD7933" w:rsidRPr="00D301E5">
        <w:rPr>
          <w:sz w:val="22"/>
          <w:szCs w:val="22"/>
        </w:rPr>
        <w:t>s</w:t>
      </w:r>
      <w:r w:rsidR="0036757D" w:rsidRPr="00D301E5">
        <w:rPr>
          <w:sz w:val="22"/>
          <w:szCs w:val="22"/>
        </w:rPr>
        <w:t xml:space="preserve"> linear surrogate models. </w:t>
      </w:r>
      <w:r w:rsidR="001A2879">
        <w:rPr>
          <w:sz w:val="22"/>
          <w:szCs w:val="22"/>
        </w:rPr>
        <w:br/>
      </w:r>
    </w:p>
    <w:p w14:paraId="17472A3B" w14:textId="3AACB9DF" w:rsidR="00C53A2C" w:rsidRPr="00D301E5" w:rsidRDefault="0085112F" w:rsidP="001A2879">
      <w:pPr>
        <w:pStyle w:val="Default"/>
        <w:jc w:val="both"/>
        <w:rPr>
          <w:sz w:val="22"/>
          <w:szCs w:val="22"/>
        </w:rPr>
      </w:pPr>
      <w:r w:rsidRPr="00D301E5">
        <w:rPr>
          <w:sz w:val="22"/>
          <w:szCs w:val="22"/>
        </w:rPr>
        <w:t>LORE</w:t>
      </w:r>
      <w:r w:rsidR="00F70062" w:rsidRPr="00D301E5">
        <w:rPr>
          <w:rStyle w:val="FootnoteReference"/>
          <w:sz w:val="22"/>
          <w:szCs w:val="22"/>
        </w:rPr>
        <w:footnoteReference w:id="6"/>
      </w:r>
      <w:r w:rsidRPr="00D301E5">
        <w:rPr>
          <w:sz w:val="22"/>
          <w:szCs w:val="22"/>
        </w:rPr>
        <w:t xml:space="preserve"> proposed by </w:t>
      </w:r>
      <w:proofErr w:type="spellStart"/>
      <w:r w:rsidR="00EB3309" w:rsidRPr="00D301E5">
        <w:rPr>
          <w:sz w:val="22"/>
          <w:szCs w:val="22"/>
        </w:rPr>
        <w:t>Guidotti</w:t>
      </w:r>
      <w:proofErr w:type="spellEnd"/>
      <w:r w:rsidRPr="00D301E5">
        <w:rPr>
          <w:sz w:val="22"/>
          <w:szCs w:val="22"/>
        </w:rPr>
        <w:t xml:space="preserve"> et. al,</w:t>
      </w:r>
      <w:r w:rsidR="003665D8">
        <w:rPr>
          <w:sz w:val="22"/>
          <w:szCs w:val="22"/>
        </w:rPr>
        <w:t>2018</w:t>
      </w:r>
      <w:r w:rsidRPr="00D301E5">
        <w:rPr>
          <w:sz w:val="22"/>
          <w:szCs w:val="22"/>
        </w:rPr>
        <w:t xml:space="preserve"> takes</w:t>
      </w:r>
      <w:r w:rsidR="009359B3" w:rsidRPr="00D301E5">
        <w:rPr>
          <w:sz w:val="22"/>
          <w:szCs w:val="22"/>
        </w:rPr>
        <w:t xml:space="preserve"> a</w:t>
      </w:r>
      <w:r w:rsidRPr="00D301E5">
        <w:rPr>
          <w:sz w:val="22"/>
          <w:szCs w:val="22"/>
        </w:rPr>
        <w:t xml:space="preserve"> similar </w:t>
      </w:r>
      <w:r w:rsidR="00260807" w:rsidRPr="00D301E5">
        <w:rPr>
          <w:sz w:val="22"/>
          <w:szCs w:val="22"/>
        </w:rPr>
        <w:t>approach to interpret models.</w:t>
      </w:r>
      <w:r w:rsidR="009359B3" w:rsidRPr="00D301E5">
        <w:rPr>
          <w:sz w:val="22"/>
          <w:szCs w:val="22"/>
        </w:rPr>
        <w:t xml:space="preserve"> </w:t>
      </w:r>
      <w:r w:rsidR="00A31336" w:rsidRPr="00D301E5">
        <w:rPr>
          <w:sz w:val="22"/>
          <w:szCs w:val="22"/>
        </w:rPr>
        <w:t xml:space="preserve">There </w:t>
      </w:r>
      <w:r w:rsidR="009359B3" w:rsidRPr="00D301E5">
        <w:rPr>
          <w:sz w:val="22"/>
          <w:szCs w:val="22"/>
        </w:rPr>
        <w:t>are two main differences.</w:t>
      </w:r>
      <w:r w:rsidR="00A31336" w:rsidRPr="00D301E5">
        <w:rPr>
          <w:sz w:val="22"/>
          <w:szCs w:val="22"/>
        </w:rPr>
        <w:t xml:space="preserve"> LORE generates perturbation samples using a genetic algorithm</w:t>
      </w:r>
      <w:r w:rsidR="001E3C9B" w:rsidRPr="00D301E5">
        <w:rPr>
          <w:sz w:val="22"/>
          <w:szCs w:val="22"/>
        </w:rPr>
        <w:t>,</w:t>
      </w:r>
      <w:r w:rsidR="00A31336" w:rsidRPr="00D301E5">
        <w:rPr>
          <w:sz w:val="22"/>
          <w:szCs w:val="22"/>
        </w:rPr>
        <w:t xml:space="preserve"> </w:t>
      </w:r>
      <w:r w:rsidR="00E60D43" w:rsidRPr="00D301E5">
        <w:rPr>
          <w:sz w:val="22"/>
          <w:szCs w:val="22"/>
        </w:rPr>
        <w:t xml:space="preserve">in </w:t>
      </w:r>
      <w:r w:rsidR="00A31336" w:rsidRPr="00D301E5">
        <w:rPr>
          <w:sz w:val="22"/>
          <w:szCs w:val="22"/>
        </w:rPr>
        <w:t xml:space="preserve">two sets, using two fitness functions. </w:t>
      </w:r>
      <w:r w:rsidR="00D301E5" w:rsidRPr="00D301E5">
        <w:rPr>
          <w:sz w:val="22"/>
          <w:szCs w:val="22"/>
        </w:rPr>
        <w:t xml:space="preserve">This </w:t>
      </w:r>
      <w:r w:rsidR="00AC018B" w:rsidRPr="00AC018B">
        <w:rPr>
          <w:sz w:val="22"/>
          <w:szCs w:val="22"/>
        </w:rPr>
        <w:t xml:space="preserve">perturbation </w:t>
      </w:r>
      <w:r w:rsidR="00D301E5" w:rsidRPr="00D301E5">
        <w:rPr>
          <w:sz w:val="22"/>
          <w:szCs w:val="22"/>
        </w:rPr>
        <w:t xml:space="preserve">sampling approach expects to overcome, </w:t>
      </w:r>
      <w:r w:rsidR="00D301E5">
        <w:rPr>
          <w:sz w:val="22"/>
          <w:szCs w:val="22"/>
        </w:rPr>
        <w:t xml:space="preserve">the problem of </w:t>
      </w:r>
      <w:r w:rsidR="00D301E5" w:rsidRPr="00D301E5">
        <w:rPr>
          <w:sz w:val="22"/>
          <w:szCs w:val="22"/>
        </w:rPr>
        <w:t xml:space="preserve">not being data-agnostic nature of model-agnostic models. </w:t>
      </w:r>
      <w:r w:rsidR="00C53A2C" w:rsidRPr="00D301E5">
        <w:rPr>
          <w:sz w:val="22"/>
          <w:szCs w:val="22"/>
        </w:rPr>
        <w:t>Then,</w:t>
      </w:r>
      <w:r w:rsidR="004E771C" w:rsidRPr="00D301E5">
        <w:rPr>
          <w:sz w:val="22"/>
          <w:szCs w:val="22"/>
        </w:rPr>
        <w:t xml:space="preserve"> instead of MAB, </w:t>
      </w:r>
      <w:r w:rsidR="00AC018B">
        <w:rPr>
          <w:sz w:val="22"/>
          <w:szCs w:val="22"/>
        </w:rPr>
        <w:t>LORE</w:t>
      </w:r>
      <w:r w:rsidR="00C53A2C" w:rsidRPr="00D301E5">
        <w:rPr>
          <w:sz w:val="22"/>
          <w:szCs w:val="22"/>
        </w:rPr>
        <w:t xml:space="preserve"> trains a decision tree using the two sets </w:t>
      </w:r>
      <w:r w:rsidR="004E771C" w:rsidRPr="00D301E5">
        <w:rPr>
          <w:sz w:val="22"/>
          <w:szCs w:val="22"/>
        </w:rPr>
        <w:t xml:space="preserve">of samples </w:t>
      </w:r>
      <w:r w:rsidR="00C53A2C" w:rsidRPr="00D301E5">
        <w:rPr>
          <w:sz w:val="22"/>
          <w:szCs w:val="22"/>
        </w:rPr>
        <w:t xml:space="preserve">to extract a logic rule </w:t>
      </w:r>
      <w:r w:rsidR="005D2E28" w:rsidRPr="00D301E5">
        <w:rPr>
          <w:sz w:val="22"/>
          <w:szCs w:val="22"/>
        </w:rPr>
        <w:t>for interpretation</w:t>
      </w:r>
      <w:r w:rsidR="009A7202" w:rsidRPr="00D301E5">
        <w:rPr>
          <w:sz w:val="22"/>
          <w:szCs w:val="22"/>
        </w:rPr>
        <w:t xml:space="preserve">. </w:t>
      </w:r>
      <w:r w:rsidR="00AC018B">
        <w:rPr>
          <w:sz w:val="22"/>
          <w:szCs w:val="22"/>
        </w:rPr>
        <w:t xml:space="preserve"> </w:t>
      </w:r>
    </w:p>
    <w:p w14:paraId="4AF25A73" w14:textId="5CEC74D7" w:rsidR="00095806" w:rsidRPr="00D301E5" w:rsidRDefault="00095806" w:rsidP="001A2879">
      <w:pPr>
        <w:pStyle w:val="Default"/>
        <w:jc w:val="both"/>
        <w:rPr>
          <w:sz w:val="22"/>
          <w:szCs w:val="22"/>
        </w:rPr>
      </w:pPr>
    </w:p>
    <w:p w14:paraId="764B4A79" w14:textId="74441E7E" w:rsidR="00095806" w:rsidRPr="00D301E5" w:rsidRDefault="00B45D0B" w:rsidP="001A2879">
      <w:pPr>
        <w:pStyle w:val="Default"/>
        <w:jc w:val="both"/>
        <w:rPr>
          <w:sz w:val="22"/>
          <w:szCs w:val="22"/>
        </w:rPr>
      </w:pPr>
      <w:r w:rsidRPr="00D301E5">
        <w:rPr>
          <w:sz w:val="22"/>
          <w:szCs w:val="22"/>
        </w:rPr>
        <w:t>QLIME</w:t>
      </w:r>
      <w:r w:rsidR="00571C50" w:rsidRPr="00D301E5">
        <w:rPr>
          <w:rStyle w:val="FootnoteReference"/>
          <w:sz w:val="22"/>
          <w:szCs w:val="22"/>
        </w:rPr>
        <w:footnoteReference w:id="7"/>
      </w:r>
      <w:r w:rsidR="00E73B20" w:rsidRPr="00D301E5">
        <w:rPr>
          <w:sz w:val="22"/>
          <w:szCs w:val="22"/>
        </w:rPr>
        <w:t xml:space="preserve"> by Bramhall et. al,</w:t>
      </w:r>
      <w:r w:rsidR="003665D8">
        <w:rPr>
          <w:sz w:val="22"/>
          <w:szCs w:val="22"/>
        </w:rPr>
        <w:t>2020</w:t>
      </w:r>
      <w:r w:rsidR="00E73B20" w:rsidRPr="00D301E5">
        <w:rPr>
          <w:sz w:val="22"/>
          <w:szCs w:val="22"/>
        </w:rPr>
        <w:t xml:space="preserve"> expands on the linear limitations of LIME by </w:t>
      </w:r>
      <w:r w:rsidR="00DF0701" w:rsidRPr="00D301E5">
        <w:rPr>
          <w:sz w:val="22"/>
          <w:szCs w:val="22"/>
        </w:rPr>
        <w:t xml:space="preserve">fitting </w:t>
      </w:r>
      <w:r w:rsidR="00E73B20" w:rsidRPr="00D301E5">
        <w:rPr>
          <w:sz w:val="22"/>
          <w:szCs w:val="22"/>
        </w:rPr>
        <w:t xml:space="preserve">non-linear relationships using a quadratic approximation. </w:t>
      </w:r>
      <w:r w:rsidR="00DF0701" w:rsidRPr="00D301E5">
        <w:rPr>
          <w:sz w:val="22"/>
          <w:szCs w:val="22"/>
        </w:rPr>
        <w:t>However</w:t>
      </w:r>
      <w:r w:rsidR="005E006C" w:rsidRPr="00D301E5">
        <w:rPr>
          <w:sz w:val="22"/>
          <w:szCs w:val="22"/>
        </w:rPr>
        <w:t xml:space="preserve">, </w:t>
      </w:r>
      <w:r w:rsidR="00DF0701" w:rsidRPr="00D301E5">
        <w:rPr>
          <w:sz w:val="22"/>
          <w:szCs w:val="22"/>
        </w:rPr>
        <w:t>this method also suffers from unclear coverage</w:t>
      </w:r>
      <w:r w:rsidR="005E006C" w:rsidRPr="00D301E5">
        <w:rPr>
          <w:sz w:val="22"/>
          <w:szCs w:val="22"/>
        </w:rPr>
        <w:t>. When expanding local region, higher complexities need to be captured</w:t>
      </w:r>
      <w:r w:rsidR="00AA4FE3" w:rsidRPr="00D301E5">
        <w:rPr>
          <w:sz w:val="22"/>
          <w:szCs w:val="22"/>
        </w:rPr>
        <w:t xml:space="preserve"> and </w:t>
      </w:r>
      <w:r w:rsidR="001C4110" w:rsidRPr="00D301E5">
        <w:rPr>
          <w:sz w:val="22"/>
          <w:szCs w:val="22"/>
        </w:rPr>
        <w:t>accordingly</w:t>
      </w:r>
      <w:r w:rsidR="00756FAF" w:rsidRPr="00D301E5">
        <w:rPr>
          <w:sz w:val="22"/>
          <w:szCs w:val="22"/>
        </w:rPr>
        <w:t xml:space="preserve"> the </w:t>
      </w:r>
      <w:r w:rsidR="001C4110" w:rsidRPr="00D301E5">
        <w:rPr>
          <w:sz w:val="22"/>
          <w:szCs w:val="22"/>
        </w:rPr>
        <w:t>order</w:t>
      </w:r>
      <w:r w:rsidR="005E006C" w:rsidRPr="00D301E5">
        <w:rPr>
          <w:sz w:val="22"/>
          <w:szCs w:val="22"/>
        </w:rPr>
        <w:t xml:space="preserve"> of the explainer</w:t>
      </w:r>
      <w:r w:rsidR="00F10D9D" w:rsidRPr="00D301E5">
        <w:rPr>
          <w:sz w:val="22"/>
          <w:szCs w:val="22"/>
        </w:rPr>
        <w:t xml:space="preserve"> need to be increased</w:t>
      </w:r>
      <w:r w:rsidR="005E006C" w:rsidRPr="00D301E5">
        <w:rPr>
          <w:sz w:val="22"/>
          <w:szCs w:val="22"/>
        </w:rPr>
        <w:t xml:space="preserve"> into higher ordered polynomial</w:t>
      </w:r>
      <w:r w:rsidR="00F10D9D" w:rsidRPr="00D301E5">
        <w:rPr>
          <w:sz w:val="22"/>
          <w:szCs w:val="22"/>
        </w:rPr>
        <w:t>s.</w:t>
      </w:r>
    </w:p>
    <w:p w14:paraId="08862571" w14:textId="77777777" w:rsidR="00886FD3" w:rsidRPr="00D301E5" w:rsidRDefault="00886FD3" w:rsidP="00275AD9">
      <w:pPr>
        <w:pStyle w:val="Default"/>
        <w:rPr>
          <w:sz w:val="22"/>
          <w:szCs w:val="22"/>
        </w:rPr>
      </w:pPr>
    </w:p>
    <w:p w14:paraId="2380D346" w14:textId="6EA27D26" w:rsidR="00275AD9" w:rsidRPr="004A0055" w:rsidRDefault="004A0055" w:rsidP="00275AD9">
      <w:pPr>
        <w:pStyle w:val="Default"/>
        <w:rPr>
          <w:b/>
          <w:sz w:val="22"/>
          <w:szCs w:val="22"/>
          <w:u w:val="single"/>
        </w:rPr>
      </w:pPr>
      <w:r w:rsidRPr="004A0055">
        <w:rPr>
          <w:b/>
          <w:sz w:val="22"/>
          <w:szCs w:val="22"/>
          <w:u w:val="single"/>
        </w:rPr>
        <w:t>Reason for selecting</w:t>
      </w:r>
      <w:r w:rsidR="00275AD9" w:rsidRPr="004A0055">
        <w:rPr>
          <w:b/>
          <w:sz w:val="22"/>
          <w:szCs w:val="22"/>
          <w:u w:val="single"/>
        </w:rPr>
        <w:t xml:space="preserve"> </w:t>
      </w:r>
      <w:proofErr w:type="gramStart"/>
      <w:r w:rsidR="00275AD9" w:rsidRPr="004A0055">
        <w:rPr>
          <w:b/>
          <w:sz w:val="22"/>
          <w:szCs w:val="22"/>
          <w:u w:val="single"/>
        </w:rPr>
        <w:t>particular publication</w:t>
      </w:r>
      <w:proofErr w:type="gramEnd"/>
    </w:p>
    <w:p w14:paraId="7F87F1C9" w14:textId="38E0E677" w:rsidR="00275AD9" w:rsidRPr="00D301E5" w:rsidRDefault="005110BC" w:rsidP="00BD11F0">
      <w:pPr>
        <w:pStyle w:val="Default"/>
        <w:jc w:val="both"/>
        <w:rPr>
          <w:sz w:val="22"/>
          <w:szCs w:val="22"/>
        </w:rPr>
      </w:pPr>
      <w:r w:rsidRPr="00D301E5">
        <w:rPr>
          <w:sz w:val="22"/>
          <w:szCs w:val="22"/>
        </w:rPr>
        <w:t>I have deployed LIME before to interpret a ML model</w:t>
      </w:r>
      <w:r w:rsidR="00F623E2" w:rsidRPr="00D301E5">
        <w:rPr>
          <w:sz w:val="22"/>
          <w:szCs w:val="22"/>
        </w:rPr>
        <w:t xml:space="preserve"> which was designed to predict credit default probabilities of a lending portfolio. Before implementing </w:t>
      </w:r>
      <w:r w:rsidR="001606C8" w:rsidRPr="00D301E5">
        <w:rPr>
          <w:sz w:val="22"/>
          <w:szCs w:val="22"/>
        </w:rPr>
        <w:t>the</w:t>
      </w:r>
      <w:r w:rsidR="00626575" w:rsidRPr="00D301E5">
        <w:rPr>
          <w:sz w:val="22"/>
          <w:szCs w:val="22"/>
        </w:rPr>
        <w:t xml:space="preserve"> ML </w:t>
      </w:r>
      <w:r w:rsidR="00F623E2" w:rsidRPr="00D301E5">
        <w:rPr>
          <w:sz w:val="22"/>
          <w:szCs w:val="22"/>
        </w:rPr>
        <w:t xml:space="preserve">model, it was expected to inspect how the lending decision changes for different applicants, based on their local behavior. I </w:t>
      </w:r>
      <w:r w:rsidR="001606C8" w:rsidRPr="00D301E5">
        <w:rPr>
          <w:sz w:val="22"/>
          <w:szCs w:val="22"/>
        </w:rPr>
        <w:t>studied</w:t>
      </w:r>
      <w:r w:rsidR="00F623E2" w:rsidRPr="00D301E5">
        <w:rPr>
          <w:sz w:val="22"/>
          <w:szCs w:val="22"/>
        </w:rPr>
        <w:t xml:space="preserve"> the</w:t>
      </w:r>
      <w:r w:rsidR="001606C8" w:rsidRPr="00D301E5">
        <w:rPr>
          <w:sz w:val="22"/>
          <w:szCs w:val="22"/>
        </w:rPr>
        <w:t xml:space="preserve"> concept of</w:t>
      </w:r>
      <w:r w:rsidR="00F623E2" w:rsidRPr="00D301E5">
        <w:rPr>
          <w:sz w:val="22"/>
          <w:szCs w:val="22"/>
        </w:rPr>
        <w:t xml:space="preserve"> loca</w:t>
      </w:r>
      <w:r w:rsidR="001606C8" w:rsidRPr="00D301E5">
        <w:rPr>
          <w:sz w:val="22"/>
          <w:szCs w:val="22"/>
        </w:rPr>
        <w:t>l</w:t>
      </w:r>
      <w:r w:rsidR="00F623E2" w:rsidRPr="00D301E5">
        <w:rPr>
          <w:sz w:val="22"/>
          <w:szCs w:val="22"/>
        </w:rPr>
        <w:t xml:space="preserve">, model agnostic </w:t>
      </w:r>
      <w:r w:rsidR="001606C8" w:rsidRPr="00D301E5">
        <w:rPr>
          <w:sz w:val="22"/>
          <w:szCs w:val="22"/>
        </w:rPr>
        <w:t xml:space="preserve">interpretations </w:t>
      </w:r>
      <w:r w:rsidR="00F623E2" w:rsidRPr="00D301E5">
        <w:rPr>
          <w:sz w:val="22"/>
          <w:szCs w:val="22"/>
        </w:rPr>
        <w:t xml:space="preserve">and as well as the theory behind the LIME. </w:t>
      </w:r>
      <w:r w:rsidR="00C52361" w:rsidRPr="00D301E5">
        <w:rPr>
          <w:sz w:val="22"/>
          <w:szCs w:val="22"/>
        </w:rPr>
        <w:t>It</w:t>
      </w:r>
      <w:r w:rsidR="00BB4870" w:rsidRPr="00D301E5">
        <w:rPr>
          <w:sz w:val="22"/>
          <w:szCs w:val="22"/>
        </w:rPr>
        <w:t xml:space="preserve"> helped </w:t>
      </w:r>
      <w:r w:rsidR="00C52361" w:rsidRPr="00D301E5">
        <w:rPr>
          <w:sz w:val="22"/>
          <w:szCs w:val="22"/>
        </w:rPr>
        <w:t xml:space="preserve">me to grasp </w:t>
      </w:r>
      <w:r w:rsidR="00C52361" w:rsidRPr="00D301E5">
        <w:rPr>
          <w:sz w:val="22"/>
          <w:szCs w:val="22"/>
        </w:rPr>
        <w:lastRenderedPageBreak/>
        <w:t xml:space="preserve">the follow up research </w:t>
      </w:r>
      <w:r w:rsidR="00BB4870" w:rsidRPr="00D301E5">
        <w:rPr>
          <w:sz w:val="22"/>
          <w:szCs w:val="22"/>
        </w:rPr>
        <w:t>on</w:t>
      </w:r>
      <w:r w:rsidR="00C52361" w:rsidRPr="00D301E5">
        <w:rPr>
          <w:sz w:val="22"/>
          <w:szCs w:val="22"/>
        </w:rPr>
        <w:t xml:space="preserve"> Anchors</w:t>
      </w:r>
      <w:r w:rsidR="00BB4870" w:rsidRPr="00D301E5">
        <w:rPr>
          <w:sz w:val="22"/>
          <w:szCs w:val="22"/>
        </w:rPr>
        <w:t xml:space="preserve">, which addresses </w:t>
      </w:r>
      <w:r w:rsidR="002F22A5" w:rsidRPr="00D301E5">
        <w:rPr>
          <w:sz w:val="22"/>
          <w:szCs w:val="22"/>
        </w:rPr>
        <w:t>downfalls</w:t>
      </w:r>
      <w:r w:rsidR="00BB4870" w:rsidRPr="00D301E5">
        <w:rPr>
          <w:sz w:val="22"/>
          <w:szCs w:val="22"/>
        </w:rPr>
        <w:t xml:space="preserve"> of LIME</w:t>
      </w:r>
      <w:r w:rsidR="00C52361" w:rsidRPr="00D301E5">
        <w:rPr>
          <w:sz w:val="22"/>
          <w:szCs w:val="22"/>
        </w:rPr>
        <w:t xml:space="preserve">. And I recently studied MAB problem, in reinforcement learning, and was curious to know how it </w:t>
      </w:r>
      <w:r w:rsidR="005575A6" w:rsidRPr="00D301E5">
        <w:rPr>
          <w:sz w:val="22"/>
          <w:szCs w:val="22"/>
        </w:rPr>
        <w:t xml:space="preserve">has been </w:t>
      </w:r>
      <w:r w:rsidR="00C52361" w:rsidRPr="00D301E5">
        <w:rPr>
          <w:sz w:val="22"/>
          <w:szCs w:val="22"/>
        </w:rPr>
        <w:t xml:space="preserve">applied to construct Anchors. </w:t>
      </w:r>
    </w:p>
    <w:p w14:paraId="2B7C15A1" w14:textId="77777777" w:rsidR="00275AD9" w:rsidRDefault="00275AD9" w:rsidP="00BD11F0">
      <w:pPr>
        <w:pStyle w:val="Default"/>
        <w:jc w:val="both"/>
        <w:rPr>
          <w:sz w:val="23"/>
          <w:szCs w:val="23"/>
        </w:rPr>
      </w:pPr>
    </w:p>
    <w:p w14:paraId="2035DC54" w14:textId="73F1467B" w:rsidR="00275AD9" w:rsidRPr="002A24B4" w:rsidRDefault="002A24B4" w:rsidP="00275AD9">
      <w:pPr>
        <w:pStyle w:val="Default"/>
        <w:rPr>
          <w:b/>
          <w:sz w:val="22"/>
          <w:szCs w:val="22"/>
          <w:u w:val="single"/>
        </w:rPr>
      </w:pPr>
      <w:r w:rsidRPr="002A24B4">
        <w:rPr>
          <w:b/>
          <w:sz w:val="22"/>
          <w:szCs w:val="22"/>
          <w:u w:val="single"/>
        </w:rPr>
        <w:t>S</w:t>
      </w:r>
      <w:r w:rsidR="00275AD9" w:rsidRPr="002A24B4">
        <w:rPr>
          <w:b/>
          <w:sz w:val="22"/>
          <w:szCs w:val="22"/>
          <w:u w:val="single"/>
        </w:rPr>
        <w:t xml:space="preserve">trengths and </w:t>
      </w:r>
      <w:r w:rsidRPr="002A24B4">
        <w:rPr>
          <w:b/>
          <w:sz w:val="22"/>
          <w:szCs w:val="22"/>
          <w:u w:val="single"/>
        </w:rPr>
        <w:t>W</w:t>
      </w:r>
      <w:r w:rsidR="00275AD9" w:rsidRPr="002A24B4">
        <w:rPr>
          <w:b/>
          <w:sz w:val="22"/>
          <w:szCs w:val="22"/>
          <w:u w:val="single"/>
        </w:rPr>
        <w:t>eaknesses of the publication</w:t>
      </w:r>
    </w:p>
    <w:p w14:paraId="0734E57D" w14:textId="06DA215E" w:rsidR="001A1BA0" w:rsidRPr="00D6360C" w:rsidRDefault="001A1BA0" w:rsidP="00275AD9">
      <w:pPr>
        <w:pStyle w:val="Default"/>
        <w:rPr>
          <w:sz w:val="22"/>
          <w:szCs w:val="22"/>
        </w:rPr>
      </w:pPr>
      <w:r w:rsidRPr="00D6360C">
        <w:rPr>
          <w:sz w:val="22"/>
          <w:szCs w:val="22"/>
        </w:rPr>
        <w:t>Strengths:</w:t>
      </w:r>
    </w:p>
    <w:p w14:paraId="4B0B744A" w14:textId="07394EAD" w:rsidR="00023589" w:rsidRPr="00782378" w:rsidRDefault="008C3AA7" w:rsidP="00086A11">
      <w:pPr>
        <w:pStyle w:val="Default"/>
        <w:jc w:val="both"/>
        <w:rPr>
          <w:i/>
          <w:sz w:val="18"/>
          <w:szCs w:val="18"/>
        </w:rPr>
      </w:pPr>
      <w:r w:rsidRPr="00782378">
        <w:rPr>
          <w:i/>
          <w:sz w:val="18"/>
          <w:szCs w:val="22"/>
        </w:rPr>
        <w:t>*</w:t>
      </w:r>
      <w:r w:rsidR="008567A2" w:rsidRPr="00782378">
        <w:rPr>
          <w:i/>
          <w:sz w:val="18"/>
          <w:szCs w:val="18"/>
        </w:rPr>
        <w:t xml:space="preserve">As </w:t>
      </w:r>
      <w:r w:rsidR="001A1BA0" w:rsidRPr="00782378">
        <w:rPr>
          <w:i/>
          <w:sz w:val="18"/>
          <w:szCs w:val="18"/>
        </w:rPr>
        <w:t>Anchor was</w:t>
      </w:r>
      <w:r w:rsidR="008567A2" w:rsidRPr="00782378">
        <w:rPr>
          <w:i/>
          <w:sz w:val="18"/>
          <w:szCs w:val="18"/>
        </w:rPr>
        <w:t xml:space="preserve"> </w:t>
      </w:r>
      <w:r w:rsidR="001A1BA0" w:rsidRPr="00782378">
        <w:rPr>
          <w:i/>
          <w:sz w:val="18"/>
          <w:szCs w:val="18"/>
        </w:rPr>
        <w:t>introduced as a</w:t>
      </w:r>
      <w:r w:rsidR="007C58B2" w:rsidRPr="00782378">
        <w:rPr>
          <w:i/>
          <w:sz w:val="18"/>
          <w:szCs w:val="18"/>
        </w:rPr>
        <w:t>n improved</w:t>
      </w:r>
      <w:r w:rsidR="001A1BA0" w:rsidRPr="00782378">
        <w:rPr>
          <w:i/>
          <w:sz w:val="18"/>
          <w:szCs w:val="18"/>
        </w:rPr>
        <w:t xml:space="preserve"> approach for LIME, most of its’ strengths can be pointed over LIME. Please refer attached </w:t>
      </w:r>
      <w:proofErr w:type="spellStart"/>
      <w:r w:rsidR="001A1BA0" w:rsidRPr="00782378">
        <w:rPr>
          <w:i/>
          <w:sz w:val="18"/>
          <w:szCs w:val="18"/>
        </w:rPr>
        <w:t>Jupyter</w:t>
      </w:r>
      <w:proofErr w:type="spellEnd"/>
      <w:r w:rsidR="001A1BA0" w:rsidRPr="00782378">
        <w:rPr>
          <w:i/>
          <w:sz w:val="18"/>
          <w:szCs w:val="18"/>
        </w:rPr>
        <w:t xml:space="preserve"> notebooks where I performed both Anchors and LIME for same datasets</w:t>
      </w:r>
      <w:r w:rsidR="007C58B2" w:rsidRPr="00782378">
        <w:rPr>
          <w:i/>
          <w:sz w:val="18"/>
          <w:szCs w:val="18"/>
        </w:rPr>
        <w:t xml:space="preserve"> with</w:t>
      </w:r>
      <w:r w:rsidR="001A1BA0" w:rsidRPr="00782378">
        <w:rPr>
          <w:i/>
          <w:sz w:val="18"/>
          <w:szCs w:val="18"/>
        </w:rPr>
        <w:t xml:space="preserve"> same examples for tabular and text data.</w:t>
      </w:r>
    </w:p>
    <w:p w14:paraId="7B283955" w14:textId="25BB9073" w:rsidR="001A1BA0" w:rsidRPr="00D6360C" w:rsidRDefault="001A1BA0" w:rsidP="001A1BA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6360C">
        <w:rPr>
          <w:sz w:val="22"/>
          <w:szCs w:val="22"/>
        </w:rPr>
        <w:t xml:space="preserve">Easy to interpret the rules </w:t>
      </w:r>
      <w:r w:rsidR="007C58B2" w:rsidRPr="00D6360C">
        <w:rPr>
          <w:sz w:val="22"/>
          <w:szCs w:val="22"/>
        </w:rPr>
        <w:t>against the</w:t>
      </w:r>
      <w:r w:rsidRPr="00D6360C">
        <w:rPr>
          <w:sz w:val="22"/>
          <w:szCs w:val="22"/>
        </w:rPr>
        <w:t xml:space="preserve"> outcome, rather than explaining the effect of the relative importance </w:t>
      </w:r>
      <w:r w:rsidR="007C58B2" w:rsidRPr="00D6360C">
        <w:rPr>
          <w:sz w:val="22"/>
          <w:szCs w:val="22"/>
        </w:rPr>
        <w:t xml:space="preserve">of </w:t>
      </w:r>
      <w:r w:rsidRPr="00D6360C">
        <w:rPr>
          <w:sz w:val="22"/>
          <w:szCs w:val="22"/>
        </w:rPr>
        <w:t>variables in LIME</w:t>
      </w:r>
    </w:p>
    <w:p w14:paraId="69E75C78" w14:textId="590AA64F" w:rsidR="001A1BA0" w:rsidRPr="00D6360C" w:rsidRDefault="007C58B2" w:rsidP="001A1BA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6360C">
        <w:rPr>
          <w:sz w:val="22"/>
          <w:szCs w:val="22"/>
        </w:rPr>
        <w:t xml:space="preserve">Performs well when </w:t>
      </w:r>
      <w:r w:rsidR="00FA7F94" w:rsidRPr="00D6360C">
        <w:rPr>
          <w:sz w:val="22"/>
          <w:szCs w:val="22"/>
        </w:rPr>
        <w:t xml:space="preserve">the </w:t>
      </w:r>
      <w:r w:rsidRPr="00D6360C">
        <w:rPr>
          <w:sz w:val="22"/>
          <w:szCs w:val="22"/>
        </w:rPr>
        <w:t xml:space="preserve">model predictions are non-linear </w:t>
      </w:r>
      <w:r w:rsidR="00FA7F94" w:rsidRPr="00D6360C">
        <w:rPr>
          <w:sz w:val="22"/>
          <w:szCs w:val="22"/>
        </w:rPr>
        <w:t xml:space="preserve">(LIME only fits linear models) or </w:t>
      </w:r>
      <w:r w:rsidRPr="00D6360C">
        <w:rPr>
          <w:sz w:val="22"/>
          <w:szCs w:val="22"/>
        </w:rPr>
        <w:t>closed to decision boundary</w:t>
      </w:r>
    </w:p>
    <w:p w14:paraId="1942017E" w14:textId="329E2EA4" w:rsidR="007C58B2" w:rsidRPr="00D6360C" w:rsidRDefault="00277C5C" w:rsidP="001A1BA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6360C">
        <w:rPr>
          <w:sz w:val="22"/>
          <w:szCs w:val="22"/>
        </w:rPr>
        <w:t>Highly efficient with underlying MAB algorithm.</w:t>
      </w:r>
    </w:p>
    <w:tbl>
      <w:tblPr>
        <w:tblStyle w:val="TableGrid"/>
        <w:tblW w:w="4207" w:type="dxa"/>
        <w:tblInd w:w="720" w:type="dxa"/>
        <w:tblLook w:val="04A0" w:firstRow="1" w:lastRow="0" w:firstColumn="1" w:lastColumn="0" w:noHBand="0" w:noVBand="1"/>
      </w:tblPr>
      <w:tblGrid>
        <w:gridCol w:w="1042"/>
        <w:gridCol w:w="1434"/>
        <w:gridCol w:w="911"/>
        <w:gridCol w:w="820"/>
      </w:tblGrid>
      <w:tr w:rsidR="00277C5C" w14:paraId="2C1B2505" w14:textId="77777777" w:rsidTr="00F90D77">
        <w:trPr>
          <w:trHeight w:val="247"/>
        </w:trPr>
        <w:tc>
          <w:tcPr>
            <w:tcW w:w="0" w:type="auto"/>
            <w:vMerge w:val="restart"/>
          </w:tcPr>
          <w:p w14:paraId="5B5C9092" w14:textId="70E20A9B" w:rsidR="00277C5C" w:rsidRPr="00170821" w:rsidRDefault="00277C5C" w:rsidP="00277C5C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Data type</w:t>
            </w:r>
          </w:p>
        </w:tc>
        <w:tc>
          <w:tcPr>
            <w:tcW w:w="0" w:type="auto"/>
            <w:vMerge w:val="restart"/>
          </w:tcPr>
          <w:p w14:paraId="0923269B" w14:textId="397FCA70" w:rsidR="00277C5C" w:rsidRPr="00170821" w:rsidRDefault="00277C5C" w:rsidP="00277C5C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Model used</w:t>
            </w:r>
          </w:p>
        </w:tc>
        <w:tc>
          <w:tcPr>
            <w:tcW w:w="0" w:type="auto"/>
            <w:gridSpan w:val="2"/>
          </w:tcPr>
          <w:p w14:paraId="46044014" w14:textId="2AA9D67C" w:rsidR="00277C5C" w:rsidRPr="00170821" w:rsidRDefault="00277C5C" w:rsidP="00277C5C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Time taken</w:t>
            </w:r>
          </w:p>
        </w:tc>
      </w:tr>
      <w:tr w:rsidR="00277C5C" w14:paraId="7BBF951F" w14:textId="77777777" w:rsidTr="00F90D77">
        <w:trPr>
          <w:trHeight w:val="258"/>
        </w:trPr>
        <w:tc>
          <w:tcPr>
            <w:tcW w:w="0" w:type="auto"/>
            <w:vMerge/>
          </w:tcPr>
          <w:p w14:paraId="2867FDEB" w14:textId="77777777" w:rsidR="00277C5C" w:rsidRPr="00170821" w:rsidRDefault="00277C5C" w:rsidP="00277C5C">
            <w:pPr>
              <w:pStyle w:val="Default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3884F6B0" w14:textId="77777777" w:rsidR="00277C5C" w:rsidRPr="00170821" w:rsidRDefault="00277C5C" w:rsidP="00277C5C">
            <w:pPr>
              <w:pStyle w:val="Default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14:paraId="5FF8A15E" w14:textId="165268DD" w:rsidR="00277C5C" w:rsidRPr="00170821" w:rsidRDefault="00277C5C" w:rsidP="00277C5C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Anchors</w:t>
            </w:r>
          </w:p>
        </w:tc>
        <w:tc>
          <w:tcPr>
            <w:tcW w:w="0" w:type="auto"/>
          </w:tcPr>
          <w:p w14:paraId="60536E69" w14:textId="311F5DE2" w:rsidR="00277C5C" w:rsidRPr="00170821" w:rsidRDefault="00277C5C" w:rsidP="00277C5C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LIME</w:t>
            </w:r>
          </w:p>
        </w:tc>
      </w:tr>
      <w:tr w:rsidR="00277C5C" w14:paraId="28C7E9C8" w14:textId="77777777" w:rsidTr="00F90D77">
        <w:trPr>
          <w:trHeight w:val="247"/>
        </w:trPr>
        <w:tc>
          <w:tcPr>
            <w:tcW w:w="0" w:type="auto"/>
          </w:tcPr>
          <w:p w14:paraId="7FC8C470" w14:textId="2CD5F4A5" w:rsidR="00277C5C" w:rsidRPr="00170821" w:rsidRDefault="00277C5C" w:rsidP="00277C5C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Tabular</w:t>
            </w:r>
          </w:p>
        </w:tc>
        <w:tc>
          <w:tcPr>
            <w:tcW w:w="0" w:type="auto"/>
          </w:tcPr>
          <w:p w14:paraId="5424F865" w14:textId="498511A8" w:rsidR="00277C5C" w:rsidRPr="00170821" w:rsidRDefault="00277C5C" w:rsidP="00277C5C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 xml:space="preserve">Random forest </w:t>
            </w:r>
          </w:p>
        </w:tc>
        <w:tc>
          <w:tcPr>
            <w:tcW w:w="0" w:type="auto"/>
          </w:tcPr>
          <w:p w14:paraId="295A1056" w14:textId="6F429EBD" w:rsidR="00277C5C" w:rsidRPr="00170821" w:rsidRDefault="00277C5C" w:rsidP="00F90D77">
            <w:pPr>
              <w:pStyle w:val="Default"/>
              <w:jc w:val="righ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 xml:space="preserve">438 </w:t>
            </w:r>
            <w:proofErr w:type="spellStart"/>
            <w:r w:rsidRPr="00170821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</w:tcPr>
          <w:p w14:paraId="7F317E51" w14:textId="58C3C6D4" w:rsidR="00277C5C" w:rsidRPr="00170821" w:rsidRDefault="00277C5C" w:rsidP="00F90D77">
            <w:pPr>
              <w:pStyle w:val="Default"/>
              <w:jc w:val="righ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 xml:space="preserve">468 </w:t>
            </w:r>
            <w:proofErr w:type="spellStart"/>
            <w:r w:rsidRPr="00170821">
              <w:rPr>
                <w:sz w:val="18"/>
                <w:szCs w:val="18"/>
              </w:rPr>
              <w:t>ms</w:t>
            </w:r>
            <w:proofErr w:type="spellEnd"/>
          </w:p>
        </w:tc>
      </w:tr>
      <w:tr w:rsidR="00277C5C" w14:paraId="31DCD83D" w14:textId="77777777" w:rsidTr="00F90D77">
        <w:trPr>
          <w:trHeight w:val="247"/>
        </w:trPr>
        <w:tc>
          <w:tcPr>
            <w:tcW w:w="0" w:type="auto"/>
          </w:tcPr>
          <w:p w14:paraId="186056FB" w14:textId="5D6F5F6A" w:rsidR="00277C5C" w:rsidRPr="00170821" w:rsidRDefault="00277C5C" w:rsidP="00277C5C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2F58CF0" w14:textId="0BD3C235" w:rsidR="00277C5C" w:rsidRPr="00170821" w:rsidRDefault="00277C5C" w:rsidP="00277C5C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Naive Bayes</w:t>
            </w:r>
          </w:p>
        </w:tc>
        <w:tc>
          <w:tcPr>
            <w:tcW w:w="0" w:type="auto"/>
          </w:tcPr>
          <w:p w14:paraId="612C9E0A" w14:textId="42C4B353" w:rsidR="00277C5C" w:rsidRPr="00170821" w:rsidRDefault="00277C5C" w:rsidP="00F90D77">
            <w:pPr>
              <w:pStyle w:val="Default"/>
              <w:jc w:val="righ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1.41 s</w:t>
            </w:r>
          </w:p>
        </w:tc>
        <w:tc>
          <w:tcPr>
            <w:tcW w:w="0" w:type="auto"/>
          </w:tcPr>
          <w:p w14:paraId="07B7D115" w14:textId="24325A67" w:rsidR="00277C5C" w:rsidRPr="00170821" w:rsidRDefault="00277C5C" w:rsidP="00F90D77">
            <w:pPr>
              <w:pStyle w:val="Default"/>
              <w:keepNext/>
              <w:jc w:val="righ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 xml:space="preserve">527 </w:t>
            </w:r>
            <w:proofErr w:type="spellStart"/>
            <w:r w:rsidRPr="00170821">
              <w:rPr>
                <w:sz w:val="18"/>
                <w:szCs w:val="18"/>
              </w:rPr>
              <w:t>ms</w:t>
            </w:r>
            <w:proofErr w:type="spellEnd"/>
          </w:p>
        </w:tc>
      </w:tr>
    </w:tbl>
    <w:p w14:paraId="1C91EDF9" w14:textId="1138333B" w:rsidR="00277C5C" w:rsidRDefault="00FA7F94" w:rsidP="00FA7F94">
      <w:pPr>
        <w:pStyle w:val="Caption"/>
        <w:rPr>
          <w:sz w:val="23"/>
          <w:szCs w:val="23"/>
        </w:rPr>
      </w:pPr>
      <w:r>
        <w:t xml:space="preserve">                  Table </w:t>
      </w:r>
      <w:fldSimple w:instr=" SEQ Table \* ARABIC ">
        <w:r w:rsidR="004D50C0">
          <w:rPr>
            <w:noProof/>
          </w:rPr>
          <w:t>1</w:t>
        </w:r>
      </w:fldSimple>
      <w:r>
        <w:t xml:space="preserve">: time taken for my examples (with fewer data); </w:t>
      </w:r>
      <w:r w:rsidR="00C45804">
        <w:t>efficiency</w:t>
      </w:r>
      <w:r>
        <w:t xml:space="preserve"> might</w:t>
      </w:r>
      <w:r w:rsidR="00C45804">
        <w:t xml:space="preserve"> be apparent</w:t>
      </w:r>
      <w:r>
        <w:t xml:space="preserve"> with many data</w:t>
      </w:r>
    </w:p>
    <w:p w14:paraId="75DBD649" w14:textId="5A9B84D9" w:rsidR="001E3C9B" w:rsidRPr="00D6360C" w:rsidRDefault="00FA7F94" w:rsidP="00FA7F9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6360C">
        <w:rPr>
          <w:sz w:val="22"/>
          <w:szCs w:val="22"/>
        </w:rPr>
        <w:t xml:space="preserve">Guarantees a higher precision as best anchor in each MAB search is identified by highest estimated precision.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6"/>
        <w:gridCol w:w="1302"/>
        <w:gridCol w:w="896"/>
      </w:tblGrid>
      <w:tr w:rsidR="004D50C0" w14:paraId="5DCDEF4C" w14:textId="77777777" w:rsidTr="004D187B">
        <w:tc>
          <w:tcPr>
            <w:tcW w:w="0" w:type="auto"/>
            <w:vMerge w:val="restart"/>
          </w:tcPr>
          <w:p w14:paraId="29D939FE" w14:textId="77777777" w:rsidR="004D50C0" w:rsidRPr="00170821" w:rsidRDefault="004D50C0" w:rsidP="004D50C0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Data type</w:t>
            </w:r>
          </w:p>
        </w:tc>
        <w:tc>
          <w:tcPr>
            <w:tcW w:w="0" w:type="auto"/>
            <w:vMerge w:val="restart"/>
          </w:tcPr>
          <w:p w14:paraId="0D9299DF" w14:textId="77777777" w:rsidR="004D50C0" w:rsidRPr="00170821" w:rsidRDefault="004D50C0" w:rsidP="004D50C0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Model used</w:t>
            </w:r>
          </w:p>
        </w:tc>
        <w:tc>
          <w:tcPr>
            <w:tcW w:w="0" w:type="auto"/>
          </w:tcPr>
          <w:p w14:paraId="2A69CAB0" w14:textId="598D49D3" w:rsidR="004D50C0" w:rsidRPr="00170821" w:rsidRDefault="004D50C0" w:rsidP="004D50C0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Precision</w:t>
            </w:r>
          </w:p>
        </w:tc>
      </w:tr>
      <w:tr w:rsidR="004D50C0" w14:paraId="6347E52A" w14:textId="77777777" w:rsidTr="00CC7E89">
        <w:tc>
          <w:tcPr>
            <w:tcW w:w="0" w:type="auto"/>
            <w:vMerge/>
          </w:tcPr>
          <w:p w14:paraId="406210F9" w14:textId="77777777" w:rsidR="004D50C0" w:rsidRPr="00170821" w:rsidRDefault="004D50C0" w:rsidP="00CC7E89">
            <w:pPr>
              <w:pStyle w:val="Default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0D31FC8C" w14:textId="77777777" w:rsidR="004D50C0" w:rsidRPr="00170821" w:rsidRDefault="004D50C0" w:rsidP="00CC7E89">
            <w:pPr>
              <w:pStyle w:val="Default"/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14:paraId="51B24367" w14:textId="5D81BEBE" w:rsidR="004D50C0" w:rsidRPr="00170821" w:rsidRDefault="004D50C0" w:rsidP="00CC7E89">
            <w:pPr>
              <w:pStyle w:val="Default"/>
              <w:rPr>
                <w:b/>
                <w:sz w:val="18"/>
                <w:szCs w:val="18"/>
              </w:rPr>
            </w:pPr>
            <w:r w:rsidRPr="00170821">
              <w:rPr>
                <w:b/>
                <w:sz w:val="18"/>
                <w:szCs w:val="18"/>
              </w:rPr>
              <w:t>Anchors</w:t>
            </w:r>
          </w:p>
        </w:tc>
      </w:tr>
      <w:tr w:rsidR="004D50C0" w14:paraId="78F83C27" w14:textId="77777777" w:rsidTr="00CC7E89">
        <w:tc>
          <w:tcPr>
            <w:tcW w:w="0" w:type="auto"/>
          </w:tcPr>
          <w:p w14:paraId="582F77D0" w14:textId="77777777" w:rsidR="004D50C0" w:rsidRPr="00170821" w:rsidRDefault="004D50C0" w:rsidP="00CC7E89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Tabular</w:t>
            </w:r>
          </w:p>
        </w:tc>
        <w:tc>
          <w:tcPr>
            <w:tcW w:w="0" w:type="auto"/>
          </w:tcPr>
          <w:p w14:paraId="3014548F" w14:textId="77777777" w:rsidR="004D50C0" w:rsidRPr="00170821" w:rsidRDefault="004D50C0" w:rsidP="00CC7E89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 xml:space="preserve">Random forest </w:t>
            </w:r>
          </w:p>
        </w:tc>
        <w:tc>
          <w:tcPr>
            <w:tcW w:w="0" w:type="auto"/>
          </w:tcPr>
          <w:p w14:paraId="16FCBE4E" w14:textId="5E5E71AB" w:rsidR="004D50C0" w:rsidRPr="00170821" w:rsidRDefault="004D50C0" w:rsidP="005D0EFD">
            <w:pPr>
              <w:pStyle w:val="Default"/>
              <w:jc w:val="righ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95%</w:t>
            </w:r>
          </w:p>
        </w:tc>
      </w:tr>
      <w:tr w:rsidR="004D50C0" w14:paraId="4177CC64" w14:textId="77777777" w:rsidTr="00CC7E89">
        <w:tc>
          <w:tcPr>
            <w:tcW w:w="0" w:type="auto"/>
          </w:tcPr>
          <w:p w14:paraId="6628A21F" w14:textId="77777777" w:rsidR="004D50C0" w:rsidRPr="00170821" w:rsidRDefault="004D50C0" w:rsidP="00CC7E89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FE06623" w14:textId="77777777" w:rsidR="004D50C0" w:rsidRPr="00170821" w:rsidRDefault="004D50C0" w:rsidP="00CC7E89">
            <w:pPr>
              <w:pStyle w:val="Defaul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Naive Bayes</w:t>
            </w:r>
          </w:p>
        </w:tc>
        <w:tc>
          <w:tcPr>
            <w:tcW w:w="0" w:type="auto"/>
          </w:tcPr>
          <w:p w14:paraId="1EBB359E" w14:textId="5F437B9A" w:rsidR="004D50C0" w:rsidRPr="00170821" w:rsidRDefault="004D50C0" w:rsidP="005D0EFD">
            <w:pPr>
              <w:pStyle w:val="Default"/>
              <w:keepNext/>
              <w:jc w:val="right"/>
              <w:rPr>
                <w:sz w:val="18"/>
                <w:szCs w:val="18"/>
              </w:rPr>
            </w:pPr>
            <w:r w:rsidRPr="00170821">
              <w:rPr>
                <w:sz w:val="18"/>
                <w:szCs w:val="18"/>
              </w:rPr>
              <w:t>100%</w:t>
            </w:r>
          </w:p>
        </w:tc>
      </w:tr>
    </w:tbl>
    <w:p w14:paraId="1B4464BC" w14:textId="5659C68C" w:rsidR="004D50C0" w:rsidRDefault="004D50C0" w:rsidP="004D50C0">
      <w:pPr>
        <w:pStyle w:val="Caption"/>
        <w:rPr>
          <w:sz w:val="23"/>
          <w:szCs w:val="23"/>
        </w:rPr>
      </w:pPr>
      <w:r>
        <w:t xml:space="preserve">                 Table </w:t>
      </w:r>
      <w:fldSimple w:instr=" SEQ Table \* ARABIC ">
        <w:r>
          <w:rPr>
            <w:noProof/>
          </w:rPr>
          <w:t>2</w:t>
        </w:r>
      </w:fldSimple>
      <w:r>
        <w:t xml:space="preserve">: precision </w:t>
      </w:r>
      <w:r w:rsidR="000F75C0">
        <w:t xml:space="preserve">of </w:t>
      </w:r>
      <w:r>
        <w:t>Anchors for my examples</w:t>
      </w:r>
    </w:p>
    <w:p w14:paraId="119869A9" w14:textId="3660BB49" w:rsidR="004D50C0" w:rsidRPr="00D6360C" w:rsidRDefault="004D50C0" w:rsidP="00FA7F94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D6360C">
        <w:rPr>
          <w:sz w:val="22"/>
          <w:szCs w:val="22"/>
        </w:rPr>
        <w:t xml:space="preserve">Extremely clear </w:t>
      </w:r>
      <w:r w:rsidR="00AD0996" w:rsidRPr="00D6360C">
        <w:rPr>
          <w:sz w:val="22"/>
          <w:szCs w:val="22"/>
        </w:rPr>
        <w:t>coverage; relevance</w:t>
      </w:r>
      <w:r w:rsidR="00627611" w:rsidRPr="00D6360C">
        <w:rPr>
          <w:sz w:val="22"/>
          <w:szCs w:val="22"/>
        </w:rPr>
        <w:t xml:space="preserve"> of an explanation to other instances is </w:t>
      </w:r>
      <w:r w:rsidR="00AD0996" w:rsidRPr="00D6360C">
        <w:rPr>
          <w:sz w:val="22"/>
          <w:szCs w:val="22"/>
        </w:rPr>
        <w:t>determined based</w:t>
      </w:r>
      <w:r w:rsidR="00627611" w:rsidRPr="00D6360C">
        <w:rPr>
          <w:sz w:val="22"/>
          <w:szCs w:val="22"/>
        </w:rPr>
        <w:t xml:space="preserve"> on whether the rule is covering the new instance or not.</w:t>
      </w:r>
    </w:p>
    <w:p w14:paraId="5131D027" w14:textId="6ED83B69" w:rsidR="006D6236" w:rsidRPr="00D6360C" w:rsidRDefault="00722D8F" w:rsidP="006D62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Experiment codes:</w:t>
      </w:r>
    </w:p>
    <w:p w14:paraId="49E64D66" w14:textId="387D6B37" w:rsidR="006D6236" w:rsidRPr="00D6360C" w:rsidRDefault="006D6236" w:rsidP="006D6236">
      <w:pPr>
        <w:pStyle w:val="Default"/>
        <w:rPr>
          <w:sz w:val="22"/>
          <w:szCs w:val="22"/>
        </w:rPr>
      </w:pPr>
      <w:r w:rsidRPr="00D6360C">
        <w:rPr>
          <w:sz w:val="22"/>
          <w:szCs w:val="22"/>
        </w:rPr>
        <w:t>Weaknesses</w:t>
      </w:r>
      <w:r w:rsidR="00870E3E" w:rsidRPr="00D6360C">
        <w:rPr>
          <w:sz w:val="22"/>
          <w:szCs w:val="22"/>
        </w:rPr>
        <w:t>:</w:t>
      </w:r>
    </w:p>
    <w:p w14:paraId="3E86F2B3" w14:textId="4A2C6EC3" w:rsidR="00870E3E" w:rsidRPr="00D6360C" w:rsidRDefault="00A359F0" w:rsidP="00B234E8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D6360C">
        <w:rPr>
          <w:sz w:val="22"/>
          <w:szCs w:val="22"/>
        </w:rPr>
        <w:t>Requires</w:t>
      </w:r>
      <w:r w:rsidR="00B234E8" w:rsidRPr="00D6360C">
        <w:rPr>
          <w:sz w:val="22"/>
          <w:szCs w:val="22"/>
        </w:rPr>
        <w:t xml:space="preserve"> all features to be discrete and they pre-process any continuous features into quartile bins by default, which can result in loss of information</w:t>
      </w:r>
      <w:r w:rsidR="00C61B70" w:rsidRPr="00D6360C">
        <w:rPr>
          <w:sz w:val="22"/>
          <w:szCs w:val="22"/>
        </w:rPr>
        <w:t>.</w:t>
      </w:r>
    </w:p>
    <w:p w14:paraId="4BC4BE41" w14:textId="6307DDBF" w:rsidR="00B234E8" w:rsidRPr="00D6360C" w:rsidRDefault="009D1906" w:rsidP="00B234E8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D6360C">
        <w:rPr>
          <w:sz w:val="22"/>
          <w:szCs w:val="22"/>
        </w:rPr>
        <w:t xml:space="preserve">These model-agnostic methods are not data-agnostic. The perturbation </w:t>
      </w:r>
      <w:r w:rsidR="00653174" w:rsidRPr="00D6360C">
        <w:rPr>
          <w:sz w:val="22"/>
          <w:szCs w:val="22"/>
        </w:rPr>
        <w:t xml:space="preserve">samples </w:t>
      </w:r>
      <w:r w:rsidRPr="00D6360C">
        <w:rPr>
          <w:sz w:val="22"/>
          <w:szCs w:val="22"/>
        </w:rPr>
        <w:t xml:space="preserve">must be estimated from a joint distribution of the source data. </w:t>
      </w:r>
    </w:p>
    <w:p w14:paraId="3FD2E631" w14:textId="04890172" w:rsidR="00642401" w:rsidRDefault="00642401" w:rsidP="00B234E8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D6360C">
        <w:rPr>
          <w:sz w:val="22"/>
          <w:szCs w:val="22"/>
        </w:rPr>
        <w:t xml:space="preserve">Hyperparameters </w:t>
      </w:r>
      <w:r w:rsidR="00C40BBD" w:rsidRPr="00D6360C">
        <w:rPr>
          <w:sz w:val="22"/>
          <w:szCs w:val="22"/>
        </w:rPr>
        <w:t>like the precision threshold or</w:t>
      </w:r>
      <w:r w:rsidRPr="00D6360C">
        <w:rPr>
          <w:sz w:val="22"/>
          <w:szCs w:val="22"/>
        </w:rPr>
        <w:t xml:space="preserve"> the beam width</w:t>
      </w:r>
      <w:r w:rsidR="00C40BBD" w:rsidRPr="00D6360C">
        <w:rPr>
          <w:sz w:val="22"/>
          <w:szCs w:val="22"/>
        </w:rPr>
        <w:t xml:space="preserve"> </w:t>
      </w:r>
      <w:r w:rsidRPr="00D6360C">
        <w:rPr>
          <w:sz w:val="22"/>
          <w:szCs w:val="22"/>
        </w:rPr>
        <w:t xml:space="preserve">need to be </w:t>
      </w:r>
      <w:r w:rsidR="00F45394" w:rsidRPr="00D6360C">
        <w:rPr>
          <w:sz w:val="22"/>
          <w:szCs w:val="22"/>
        </w:rPr>
        <w:t>configured properly to</w:t>
      </w:r>
      <w:r w:rsidRPr="00D6360C">
        <w:rPr>
          <w:sz w:val="22"/>
          <w:szCs w:val="22"/>
        </w:rPr>
        <w:t xml:space="preserve"> yield meaningful results</w:t>
      </w:r>
      <w:r w:rsidR="00C40BBD" w:rsidRPr="00D6360C">
        <w:rPr>
          <w:sz w:val="22"/>
          <w:szCs w:val="22"/>
        </w:rPr>
        <w:t xml:space="preserve">. </w:t>
      </w:r>
    </w:p>
    <w:p w14:paraId="17091496" w14:textId="0149E7DC" w:rsidR="009541E3" w:rsidRPr="00D6360C" w:rsidRDefault="009541E3" w:rsidP="00B234E8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Overly </w:t>
      </w:r>
      <w:r w:rsidR="00F91480">
        <w:rPr>
          <w:sz w:val="22"/>
          <w:szCs w:val="22"/>
        </w:rPr>
        <w:t>c</w:t>
      </w:r>
      <w:r w:rsidRPr="009541E3">
        <w:rPr>
          <w:sz w:val="22"/>
          <w:szCs w:val="22"/>
        </w:rPr>
        <w:t>omplex output spaces</w:t>
      </w:r>
      <w:r w:rsidR="003D49C7" w:rsidRPr="003D49C7">
        <w:t xml:space="preserve"> </w:t>
      </w:r>
      <w:r w:rsidR="003D49C7" w:rsidRPr="003D49C7">
        <w:rPr>
          <w:sz w:val="22"/>
          <w:szCs w:val="22"/>
        </w:rPr>
        <w:t>may lead to non</w:t>
      </w:r>
      <w:r w:rsidR="003D49C7">
        <w:rPr>
          <w:sz w:val="22"/>
          <w:szCs w:val="22"/>
        </w:rPr>
        <w:t>-</w:t>
      </w:r>
      <w:r w:rsidR="003D49C7" w:rsidRPr="003D49C7">
        <w:rPr>
          <w:sz w:val="22"/>
          <w:szCs w:val="22"/>
        </w:rPr>
        <w:t>intuitive</w:t>
      </w:r>
      <w:r w:rsidR="003D49C7">
        <w:rPr>
          <w:sz w:val="22"/>
          <w:szCs w:val="22"/>
        </w:rPr>
        <w:t xml:space="preserve"> explanations.</w:t>
      </w:r>
    </w:p>
    <w:p w14:paraId="696B2290" w14:textId="60784FC2" w:rsidR="00275AD9" w:rsidRPr="00D6360C" w:rsidRDefault="00275AD9" w:rsidP="00275AD9">
      <w:pPr>
        <w:pStyle w:val="Default"/>
        <w:rPr>
          <w:sz w:val="22"/>
          <w:szCs w:val="22"/>
        </w:rPr>
      </w:pPr>
    </w:p>
    <w:p w14:paraId="6CF269E4" w14:textId="2DBED06A" w:rsidR="00D4766E" w:rsidRPr="00D4766E" w:rsidRDefault="00D4766E" w:rsidP="00275AD9">
      <w:pPr>
        <w:rPr>
          <w:b/>
          <w:u w:val="single"/>
        </w:rPr>
      </w:pPr>
      <w:r w:rsidRPr="00D4766E">
        <w:rPr>
          <w:b/>
          <w:u w:val="single"/>
        </w:rPr>
        <w:t xml:space="preserve">Relevance of this publication for </w:t>
      </w:r>
      <w:proofErr w:type="spellStart"/>
      <w:r w:rsidRPr="00D4766E">
        <w:rPr>
          <w:b/>
          <w:u w:val="single"/>
        </w:rPr>
        <w:t>neurocat</w:t>
      </w:r>
      <w:proofErr w:type="spellEnd"/>
      <w:r w:rsidRPr="00D4766E">
        <w:rPr>
          <w:b/>
          <w:u w:val="single"/>
        </w:rPr>
        <w:t xml:space="preserve">, or more precisely for the AI quality tool </w:t>
      </w:r>
      <w:proofErr w:type="spellStart"/>
      <w:r w:rsidRPr="00D4766E">
        <w:rPr>
          <w:b/>
          <w:u w:val="single"/>
        </w:rPr>
        <w:t>aidkit</w:t>
      </w:r>
      <w:proofErr w:type="spellEnd"/>
    </w:p>
    <w:p w14:paraId="668513E0" w14:textId="0F7B780C" w:rsidR="00CB35E6" w:rsidRPr="00D6360C" w:rsidRDefault="002C2D91" w:rsidP="00987D04">
      <w:pPr>
        <w:jc w:val="both"/>
      </w:pPr>
      <w:r>
        <w:t xml:space="preserve">One of key </w:t>
      </w:r>
      <w:r w:rsidR="009541E3">
        <w:t>focus</w:t>
      </w:r>
      <w:r>
        <w:t xml:space="preserve"> areas of </w:t>
      </w:r>
      <w:r w:rsidR="00C678E9" w:rsidRPr="00D6360C">
        <w:t xml:space="preserve">AI quality tool </w:t>
      </w:r>
      <w:proofErr w:type="spellStart"/>
      <w:r w:rsidR="00C678E9" w:rsidRPr="00D6360C">
        <w:t>aidkit</w:t>
      </w:r>
      <w:proofErr w:type="spellEnd"/>
      <w:r w:rsidR="00C678E9">
        <w:t xml:space="preserve"> </w:t>
      </w:r>
      <w:r>
        <w:t>is</w:t>
      </w:r>
      <w:r w:rsidR="009541E3">
        <w:t>,</w:t>
      </w:r>
      <w:r>
        <w:t xml:space="preserve"> understanding the risk associated with black-box AI models. Before accessing the risk, </w:t>
      </w:r>
      <w:r w:rsidR="000C118C">
        <w:t xml:space="preserve">the </w:t>
      </w:r>
      <w:r>
        <w:t xml:space="preserve">model </w:t>
      </w:r>
      <w:r w:rsidR="003E6B38">
        <w:t xml:space="preserve">and its local/global behaviors </w:t>
      </w:r>
      <w:r>
        <w:t xml:space="preserve">need </w:t>
      </w:r>
      <w:r w:rsidR="003E6B38">
        <w:t xml:space="preserve">to be </w:t>
      </w:r>
      <w:r w:rsidR="009541E3">
        <w:t xml:space="preserve">understood </w:t>
      </w:r>
      <w:r w:rsidR="003E6B38">
        <w:t>first</w:t>
      </w:r>
      <w:r w:rsidR="00675B91">
        <w:t xml:space="preserve"> by the team and end users</w:t>
      </w:r>
      <w:r w:rsidR="003E6B38">
        <w:t>.</w:t>
      </w:r>
      <w:r w:rsidR="000C118C">
        <w:t xml:space="preserve"> It is not much simple for end-users, to understand the other widely used </w:t>
      </w:r>
      <w:bookmarkStart w:id="1" w:name="_Hlk51164523"/>
      <w:r w:rsidR="000C118C" w:rsidRPr="000C118C">
        <w:t>model agnostic</w:t>
      </w:r>
      <w:r w:rsidR="000C118C">
        <w:t xml:space="preserve"> approaches </w:t>
      </w:r>
      <w:bookmarkEnd w:id="1"/>
      <w:r w:rsidR="000C118C">
        <w:t>for interpretability like LIME, SHARP</w:t>
      </w:r>
      <w:r w:rsidR="009541E3">
        <w:t>; where Anchors come in handy as set of IF THEN conditions.</w:t>
      </w:r>
      <w:r w:rsidR="00136298">
        <w:t xml:space="preserve"> </w:t>
      </w:r>
      <w:proofErr w:type="spellStart"/>
      <w:r w:rsidR="00136298">
        <w:t>Neurocat</w:t>
      </w:r>
      <w:proofErr w:type="spellEnd"/>
      <w:r w:rsidR="00136298">
        <w:t xml:space="preserve"> may serve SLA (</w:t>
      </w:r>
      <w:r w:rsidR="00136298" w:rsidRPr="00136298">
        <w:t>service-level agreement</w:t>
      </w:r>
      <w:r w:rsidR="00136298">
        <w:t xml:space="preserve">) customers where model is already in production and </w:t>
      </w:r>
      <w:r w:rsidR="002031ED">
        <w:t>original developers are not around to explain the model.</w:t>
      </w:r>
      <w:r w:rsidR="00E937A0">
        <w:t xml:space="preserve"> In this scenario,</w:t>
      </w:r>
      <w:r w:rsidR="002031ED">
        <w:t xml:space="preserve"> Anchor would be an ideal method for </w:t>
      </w:r>
      <w:r w:rsidR="001B15A5" w:rsidRPr="002031ED">
        <w:t>understand</w:t>
      </w:r>
      <w:r w:rsidR="001B15A5">
        <w:t>ing the</w:t>
      </w:r>
      <w:r w:rsidR="002031ED">
        <w:t xml:space="preserve"> model predictions</w:t>
      </w:r>
      <w:r w:rsidR="002031ED" w:rsidRPr="002031ED">
        <w:t xml:space="preserve"> at a glance with no detailed explanations</w:t>
      </w:r>
      <w:r w:rsidR="00E937A0">
        <w:t>, with minimum time and effort</w:t>
      </w:r>
      <w:r w:rsidR="002031ED">
        <w:t xml:space="preserve">. </w:t>
      </w:r>
      <w:r w:rsidR="00E86EDB">
        <w:t>Other than simplicity, in terms of</w:t>
      </w:r>
      <w:r w:rsidR="00ED54E7">
        <w:t xml:space="preserve"> comprehensibility</w:t>
      </w:r>
      <w:r w:rsidR="006A3B7A">
        <w:t xml:space="preserve"> Anchors outperforms existing </w:t>
      </w:r>
      <w:r w:rsidR="00ED54E7">
        <w:t xml:space="preserve"> </w:t>
      </w:r>
      <w:r w:rsidR="006A3B7A" w:rsidRPr="006A3B7A">
        <w:t>model agnostic approaches</w:t>
      </w:r>
      <w:r w:rsidR="006A3B7A">
        <w:t xml:space="preserve"> with higher precision, coverage and efficiency as well. </w:t>
      </w:r>
    </w:p>
    <w:sectPr w:rsidR="00CB35E6" w:rsidRPr="00D6360C" w:rsidSect="00FD26BB">
      <w:pgSz w:w="12240" w:h="15840"/>
      <w:pgMar w:top="1440" w:right="1440" w:bottom="720" w:left="1440" w:header="720" w:footer="432" w:gutter="0"/>
      <w:cols w:space="720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ECE14" w14:textId="77777777" w:rsidR="00B75F94" w:rsidRDefault="00B75F94" w:rsidP="00275AD9">
      <w:pPr>
        <w:spacing w:after="0" w:line="240" w:lineRule="auto"/>
      </w:pPr>
      <w:r>
        <w:separator/>
      </w:r>
    </w:p>
  </w:endnote>
  <w:endnote w:type="continuationSeparator" w:id="0">
    <w:p w14:paraId="4F0F9F26" w14:textId="77777777" w:rsidR="00B75F94" w:rsidRDefault="00B75F94" w:rsidP="0027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D88BB" w14:textId="77777777" w:rsidR="00B75F94" w:rsidRDefault="00B75F94" w:rsidP="00275AD9">
      <w:pPr>
        <w:spacing w:after="0" w:line="240" w:lineRule="auto"/>
      </w:pPr>
      <w:r>
        <w:separator/>
      </w:r>
    </w:p>
  </w:footnote>
  <w:footnote w:type="continuationSeparator" w:id="0">
    <w:p w14:paraId="5C1F740E" w14:textId="77777777" w:rsidR="00B75F94" w:rsidRDefault="00B75F94" w:rsidP="00275AD9">
      <w:pPr>
        <w:spacing w:after="0" w:line="240" w:lineRule="auto"/>
      </w:pPr>
      <w:r>
        <w:continuationSeparator/>
      </w:r>
    </w:p>
  </w:footnote>
  <w:footnote w:id="1">
    <w:p w14:paraId="40DF53C8" w14:textId="43F84831" w:rsidR="009B0D14" w:rsidRDefault="009B0D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B0D14">
        <w:t>replicate original model’s behavior in the vicinity of a selected instance</w:t>
      </w:r>
    </w:p>
  </w:footnote>
  <w:footnote w:id="2">
    <w:p w14:paraId="4BC935F4" w14:textId="4A8BB3B5" w:rsidR="009B0D14" w:rsidRDefault="009B0D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B0D14">
        <w:t>treat the original model as a black box, hence re-usable for any model</w:t>
      </w:r>
    </w:p>
  </w:footnote>
  <w:footnote w:id="3">
    <w:p w14:paraId="2BAB3379" w14:textId="1F295594" w:rsidR="009B0D14" w:rsidRDefault="009B0D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B0D14">
        <w:t>interpretation using reverse engineering</w:t>
      </w:r>
    </w:p>
  </w:footnote>
  <w:footnote w:id="4">
    <w:p w14:paraId="68118048" w14:textId="3CD7BE9E" w:rsidR="00204D77" w:rsidRDefault="00204D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F39F5">
        <w:rPr>
          <w:b/>
        </w:rPr>
        <w:t>L</w:t>
      </w:r>
      <w:r w:rsidRPr="00204D77">
        <w:t xml:space="preserve">ocal </w:t>
      </w:r>
      <w:r w:rsidRPr="007F39F5">
        <w:rPr>
          <w:b/>
        </w:rPr>
        <w:t>I</w:t>
      </w:r>
      <w:r w:rsidRPr="00204D77">
        <w:t xml:space="preserve">nterpretable </w:t>
      </w:r>
      <w:r w:rsidRPr="007F39F5">
        <w:rPr>
          <w:b/>
        </w:rPr>
        <w:t>M</w:t>
      </w:r>
      <w:r w:rsidRPr="00204D77">
        <w:t xml:space="preserve">odel-agnostic </w:t>
      </w:r>
      <w:r w:rsidRPr="007F39F5">
        <w:rPr>
          <w:b/>
        </w:rPr>
        <w:t>E</w:t>
      </w:r>
      <w:r w:rsidRPr="00204D77">
        <w:t>xplanations</w:t>
      </w:r>
    </w:p>
  </w:footnote>
  <w:footnote w:id="5">
    <w:p w14:paraId="7250C1CA" w14:textId="2B3D200E" w:rsidR="00204D77" w:rsidRDefault="00204D77" w:rsidP="00204D77">
      <w:pPr>
        <w:pStyle w:val="FootnoteText"/>
      </w:pPr>
      <w:r>
        <w:rPr>
          <w:rStyle w:val="FootnoteReference"/>
        </w:rPr>
        <w:footnoteRef/>
      </w:r>
      <w:r>
        <w:t xml:space="preserve"> algorithm works by constructing confidence regions based on KL divergence; each step, it selects best mean and highest upper bound</w:t>
      </w:r>
    </w:p>
  </w:footnote>
  <w:footnote w:id="6">
    <w:p w14:paraId="23990DFC" w14:textId="1675ED9C" w:rsidR="00F70062" w:rsidRDefault="00F70062" w:rsidP="007F39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F39F5" w:rsidRPr="007F39F5">
        <w:rPr>
          <w:b/>
        </w:rPr>
        <w:t>Lo</w:t>
      </w:r>
      <w:r w:rsidR="007F39F5">
        <w:t xml:space="preserve">cal </w:t>
      </w:r>
      <w:r w:rsidR="007F39F5" w:rsidRPr="007F39F5">
        <w:rPr>
          <w:b/>
        </w:rPr>
        <w:t>R</w:t>
      </w:r>
      <w:r w:rsidR="007F39F5">
        <w:t xml:space="preserve">ule-based </w:t>
      </w:r>
      <w:r w:rsidR="007F39F5" w:rsidRPr="007F39F5">
        <w:rPr>
          <w:b/>
        </w:rPr>
        <w:t>E</w:t>
      </w:r>
      <w:r w:rsidR="007F39F5">
        <w:t>xplanations</w:t>
      </w:r>
    </w:p>
  </w:footnote>
  <w:footnote w:id="7">
    <w:p w14:paraId="65A3C06A" w14:textId="77777777" w:rsidR="00571C50" w:rsidRDefault="00571C50" w:rsidP="00571C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1C50">
        <w:rPr>
          <w:b/>
        </w:rPr>
        <w:t>Q</w:t>
      </w:r>
      <w:r>
        <w:t xml:space="preserve">uadratic </w:t>
      </w:r>
      <w:r w:rsidRPr="00571C50">
        <w:rPr>
          <w:b/>
        </w:rPr>
        <w:t>L</w:t>
      </w:r>
      <w:r>
        <w:t>ocal</w:t>
      </w:r>
      <w:r w:rsidRPr="00571C50">
        <w:rPr>
          <w:b/>
        </w:rPr>
        <w:t xml:space="preserve"> I</w:t>
      </w:r>
      <w:r>
        <w:t xml:space="preserve">nterpretable </w:t>
      </w:r>
      <w:r w:rsidRPr="00571C50">
        <w:rPr>
          <w:b/>
        </w:rPr>
        <w:t>M</w:t>
      </w:r>
      <w:r>
        <w:t>odel-Agnostic</w:t>
      </w:r>
    </w:p>
    <w:p w14:paraId="0627409E" w14:textId="2E2E0CB1" w:rsidR="00571C50" w:rsidRDefault="00571C50" w:rsidP="00571C50">
      <w:pPr>
        <w:pStyle w:val="FootnoteText"/>
      </w:pPr>
      <w:r w:rsidRPr="00571C50">
        <w:rPr>
          <w:b/>
        </w:rPr>
        <w:t>E</w:t>
      </w:r>
      <w:r>
        <w:t xml:space="preserve">xplanation Approach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33A8B"/>
    <w:multiLevelType w:val="hybridMultilevel"/>
    <w:tmpl w:val="4E22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B47"/>
    <w:multiLevelType w:val="hybridMultilevel"/>
    <w:tmpl w:val="9258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4E"/>
    <w:rsid w:val="00023589"/>
    <w:rsid w:val="00043FBC"/>
    <w:rsid w:val="00062889"/>
    <w:rsid w:val="00086A11"/>
    <w:rsid w:val="00095806"/>
    <w:rsid w:val="000C118C"/>
    <w:rsid w:val="000E2702"/>
    <w:rsid w:val="000E481C"/>
    <w:rsid w:val="000E714A"/>
    <w:rsid w:val="000F16BF"/>
    <w:rsid w:val="000F5A61"/>
    <w:rsid w:val="000F75C0"/>
    <w:rsid w:val="00136298"/>
    <w:rsid w:val="001415CE"/>
    <w:rsid w:val="001603F1"/>
    <w:rsid w:val="001606C8"/>
    <w:rsid w:val="00164004"/>
    <w:rsid w:val="00170821"/>
    <w:rsid w:val="001A1BA0"/>
    <w:rsid w:val="001A2879"/>
    <w:rsid w:val="001B15A5"/>
    <w:rsid w:val="001C0FF9"/>
    <w:rsid w:val="001C4110"/>
    <w:rsid w:val="001E3C9B"/>
    <w:rsid w:val="002031ED"/>
    <w:rsid w:val="00204D77"/>
    <w:rsid w:val="00215493"/>
    <w:rsid w:val="002228C6"/>
    <w:rsid w:val="00254E0B"/>
    <w:rsid w:val="00260807"/>
    <w:rsid w:val="00275AD9"/>
    <w:rsid w:val="00277C5C"/>
    <w:rsid w:val="00291D63"/>
    <w:rsid w:val="002A0AC7"/>
    <w:rsid w:val="002A24B4"/>
    <w:rsid w:val="002C2D91"/>
    <w:rsid w:val="002C35E0"/>
    <w:rsid w:val="002F22A5"/>
    <w:rsid w:val="0030250F"/>
    <w:rsid w:val="00303537"/>
    <w:rsid w:val="00336428"/>
    <w:rsid w:val="00346E7E"/>
    <w:rsid w:val="003665D8"/>
    <w:rsid w:val="00366903"/>
    <w:rsid w:val="0036757D"/>
    <w:rsid w:val="00372B04"/>
    <w:rsid w:val="0038430F"/>
    <w:rsid w:val="0039792D"/>
    <w:rsid w:val="003D49C7"/>
    <w:rsid w:val="003D72FD"/>
    <w:rsid w:val="003E6B38"/>
    <w:rsid w:val="004205DA"/>
    <w:rsid w:val="00450BDC"/>
    <w:rsid w:val="004515A4"/>
    <w:rsid w:val="004575E4"/>
    <w:rsid w:val="00477FC9"/>
    <w:rsid w:val="00495483"/>
    <w:rsid w:val="004A0055"/>
    <w:rsid w:val="004C05A2"/>
    <w:rsid w:val="004D3A17"/>
    <w:rsid w:val="004D50C0"/>
    <w:rsid w:val="004E771C"/>
    <w:rsid w:val="005110BC"/>
    <w:rsid w:val="005114E5"/>
    <w:rsid w:val="00511559"/>
    <w:rsid w:val="005250EE"/>
    <w:rsid w:val="005575A6"/>
    <w:rsid w:val="00571C50"/>
    <w:rsid w:val="005736F0"/>
    <w:rsid w:val="005D0EFD"/>
    <w:rsid w:val="005D2E28"/>
    <w:rsid w:val="005E006C"/>
    <w:rsid w:val="006141BB"/>
    <w:rsid w:val="006155F7"/>
    <w:rsid w:val="00621978"/>
    <w:rsid w:val="00626575"/>
    <w:rsid w:val="00627611"/>
    <w:rsid w:val="00642401"/>
    <w:rsid w:val="00653174"/>
    <w:rsid w:val="00663F8A"/>
    <w:rsid w:val="00675B91"/>
    <w:rsid w:val="0068397C"/>
    <w:rsid w:val="006951EA"/>
    <w:rsid w:val="006A3B7A"/>
    <w:rsid w:val="006C3FF4"/>
    <w:rsid w:val="006D5B91"/>
    <w:rsid w:val="006D6236"/>
    <w:rsid w:val="006E3206"/>
    <w:rsid w:val="006F541E"/>
    <w:rsid w:val="007106D3"/>
    <w:rsid w:val="00722D8F"/>
    <w:rsid w:val="00727F1E"/>
    <w:rsid w:val="00756FAF"/>
    <w:rsid w:val="00763580"/>
    <w:rsid w:val="00764742"/>
    <w:rsid w:val="007649A8"/>
    <w:rsid w:val="00782378"/>
    <w:rsid w:val="007B3BAC"/>
    <w:rsid w:val="007C58B2"/>
    <w:rsid w:val="007E55D0"/>
    <w:rsid w:val="007F39F5"/>
    <w:rsid w:val="00822A8C"/>
    <w:rsid w:val="008362F4"/>
    <w:rsid w:val="0085112F"/>
    <w:rsid w:val="008567A2"/>
    <w:rsid w:val="00870E3E"/>
    <w:rsid w:val="00872154"/>
    <w:rsid w:val="00876E9A"/>
    <w:rsid w:val="00886FD3"/>
    <w:rsid w:val="008C3AA7"/>
    <w:rsid w:val="008F30D9"/>
    <w:rsid w:val="009118E1"/>
    <w:rsid w:val="009359B3"/>
    <w:rsid w:val="00936FBB"/>
    <w:rsid w:val="00946B3B"/>
    <w:rsid w:val="009541E3"/>
    <w:rsid w:val="009843A3"/>
    <w:rsid w:val="00987D04"/>
    <w:rsid w:val="009A7202"/>
    <w:rsid w:val="009B0D14"/>
    <w:rsid w:val="009C294E"/>
    <w:rsid w:val="009C455D"/>
    <w:rsid w:val="009D1906"/>
    <w:rsid w:val="00A017FD"/>
    <w:rsid w:val="00A258AD"/>
    <w:rsid w:val="00A31336"/>
    <w:rsid w:val="00A359F0"/>
    <w:rsid w:val="00A512E5"/>
    <w:rsid w:val="00A561A2"/>
    <w:rsid w:val="00A9491A"/>
    <w:rsid w:val="00A94B0F"/>
    <w:rsid w:val="00AA4FE3"/>
    <w:rsid w:val="00AC018B"/>
    <w:rsid w:val="00AD0996"/>
    <w:rsid w:val="00AD6CEC"/>
    <w:rsid w:val="00AE1AB2"/>
    <w:rsid w:val="00B234E8"/>
    <w:rsid w:val="00B24C82"/>
    <w:rsid w:val="00B2707F"/>
    <w:rsid w:val="00B45D0B"/>
    <w:rsid w:val="00B75F94"/>
    <w:rsid w:val="00B76BE8"/>
    <w:rsid w:val="00B81C3B"/>
    <w:rsid w:val="00B92419"/>
    <w:rsid w:val="00BA3985"/>
    <w:rsid w:val="00BB1DAB"/>
    <w:rsid w:val="00BB4870"/>
    <w:rsid w:val="00BC6CEF"/>
    <w:rsid w:val="00BD11F0"/>
    <w:rsid w:val="00BD483C"/>
    <w:rsid w:val="00BD7933"/>
    <w:rsid w:val="00BE3490"/>
    <w:rsid w:val="00BF37E0"/>
    <w:rsid w:val="00C044E0"/>
    <w:rsid w:val="00C05ADA"/>
    <w:rsid w:val="00C40BBD"/>
    <w:rsid w:val="00C453B3"/>
    <w:rsid w:val="00C45804"/>
    <w:rsid w:val="00C45B9A"/>
    <w:rsid w:val="00C5064A"/>
    <w:rsid w:val="00C52361"/>
    <w:rsid w:val="00C53A2C"/>
    <w:rsid w:val="00C604F8"/>
    <w:rsid w:val="00C61B70"/>
    <w:rsid w:val="00C678E9"/>
    <w:rsid w:val="00C90BCE"/>
    <w:rsid w:val="00C93ACB"/>
    <w:rsid w:val="00CA4D06"/>
    <w:rsid w:val="00CB35E6"/>
    <w:rsid w:val="00CE5D79"/>
    <w:rsid w:val="00CF0604"/>
    <w:rsid w:val="00D253AD"/>
    <w:rsid w:val="00D301E5"/>
    <w:rsid w:val="00D4766E"/>
    <w:rsid w:val="00D521E7"/>
    <w:rsid w:val="00D5549D"/>
    <w:rsid w:val="00D6360C"/>
    <w:rsid w:val="00D873DC"/>
    <w:rsid w:val="00D96D19"/>
    <w:rsid w:val="00DB7F9D"/>
    <w:rsid w:val="00DF0701"/>
    <w:rsid w:val="00E023DA"/>
    <w:rsid w:val="00E37001"/>
    <w:rsid w:val="00E60D43"/>
    <w:rsid w:val="00E728E2"/>
    <w:rsid w:val="00E73B20"/>
    <w:rsid w:val="00E86EDB"/>
    <w:rsid w:val="00E937A0"/>
    <w:rsid w:val="00EB3309"/>
    <w:rsid w:val="00EC3E28"/>
    <w:rsid w:val="00ED54E7"/>
    <w:rsid w:val="00EF1974"/>
    <w:rsid w:val="00F03053"/>
    <w:rsid w:val="00F10D9D"/>
    <w:rsid w:val="00F12BA3"/>
    <w:rsid w:val="00F45394"/>
    <w:rsid w:val="00F606F1"/>
    <w:rsid w:val="00F623E2"/>
    <w:rsid w:val="00F63D18"/>
    <w:rsid w:val="00F70062"/>
    <w:rsid w:val="00F80E72"/>
    <w:rsid w:val="00F90D77"/>
    <w:rsid w:val="00F91480"/>
    <w:rsid w:val="00FA7F94"/>
    <w:rsid w:val="00FB03B5"/>
    <w:rsid w:val="00FD26BB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3C194"/>
  <w15:chartTrackingRefBased/>
  <w15:docId w15:val="{FB42FE90-99C0-44E8-A2B9-9DBFDB6A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5A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D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D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D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86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D3"/>
  </w:style>
  <w:style w:type="paragraph" w:styleId="Footer">
    <w:name w:val="footer"/>
    <w:basedOn w:val="Normal"/>
    <w:link w:val="FooterChar"/>
    <w:uiPriority w:val="99"/>
    <w:unhideWhenUsed/>
    <w:rsid w:val="00886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D3"/>
  </w:style>
  <w:style w:type="table" w:styleId="TableGrid">
    <w:name w:val="Table Grid"/>
    <w:basedOn w:val="TableNormal"/>
    <w:uiPriority w:val="39"/>
    <w:rsid w:val="0027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77C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771C-1310-48D6-BDD7-7F274B34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Brandix Lanka Ltd.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Erandani Dunumala</dc:creator>
  <cp:keywords/>
  <dc:description/>
  <cp:lastModifiedBy>Erandi Dunumala</cp:lastModifiedBy>
  <cp:revision>174</cp:revision>
  <dcterms:created xsi:type="dcterms:W3CDTF">2020-09-09T04:20:00Z</dcterms:created>
  <dcterms:modified xsi:type="dcterms:W3CDTF">2022-04-26T07:46:00Z</dcterms:modified>
</cp:coreProperties>
</file>