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COVER PAGE</w:t>
      </w:r>
      <w:r w:rsidDel="00000000" w:rsidR="00000000" w:rsidRPr="00000000">
        <w:rPr>
          <w:rtl w:val="0"/>
        </w:rPr>
      </w:r>
    </w:p>
    <w:p w:rsidR="00000000" w:rsidDel="00000000" w:rsidP="00000000" w:rsidRDefault="00000000" w:rsidRPr="00000000" w14:paraId="00000002">
      <w:pPr>
        <w:spacing w:after="0" w:before="60" w:line="240" w:lineRule="auto"/>
        <w:jc w:val="center"/>
        <w:rPr/>
      </w:pPr>
      <w:r w:rsidDel="00000000" w:rsidR="00000000" w:rsidRPr="00000000">
        <w:rPr>
          <w:rFonts w:ascii="Times New Roman" w:cs="Times New Roman" w:eastAsia="Times New Roman" w:hAnsi="Times New Roman"/>
          <w:b w:val="0"/>
          <w:bCs w:val="0"/>
          <w:i w:val="1"/>
          <w:iCs w:val="1"/>
          <w:sz w:val="18"/>
          <w:szCs w:val="18"/>
          <w:rtl w:val="0"/>
        </w:rPr>
        <w:t xml:space="preserve">(This page is submitted separately and not included in the published version)</w:t>
      </w:r>
      <w:r w:rsidDel="00000000" w:rsidR="00000000" w:rsidRPr="00000000">
        <w:rPr>
          <w:rtl w:val="0"/>
        </w:rPr>
      </w:r>
    </w:p>
    <w:p w:rsidR="00000000" w:rsidDel="00000000" w:rsidP="00000000" w:rsidRDefault="00000000" w:rsidRPr="00000000" w14:paraId="00000003">
      <w:pPr>
        <w:spacing w:after="0" w:before="240" w:line="240" w:lineRule="auto"/>
        <w:jc w:val="both"/>
        <w:rPr/>
      </w:pPr>
      <w:r w:rsidDel="00000000" w:rsidR="00000000" w:rsidRPr="00000000">
        <w:rPr>
          <w:rtl w:val="0"/>
        </w:rPr>
      </w:r>
    </w:p>
    <w:p w:rsidR="00000000" w:rsidDel="00000000" w:rsidP="00000000" w:rsidRDefault="00000000" w:rsidRPr="00000000" w14:paraId="00000004">
      <w:pPr>
        <w:spacing w:after="0" w:before="120" w:line="240" w:lineRule="auto"/>
        <w:jc w:val="both"/>
        <w:rPr/>
      </w:pPr>
      <w:r w:rsidDel="00000000" w:rsidR="00000000" w:rsidRPr="00000000">
        <w:rPr>
          <w:rFonts w:ascii="Times New Roman" w:cs="Times New Roman" w:eastAsia="Times New Roman" w:hAnsi="Times New Roman"/>
          <w:b w:val="1"/>
          <w:bCs w:val="1"/>
          <w:i w:val="0"/>
          <w:iCs w:val="0"/>
          <w:sz w:val="20"/>
          <w:szCs w:val="20"/>
          <w:rtl w:val="0"/>
        </w:rPr>
        <w:t xml:space="preserve">PAPER TITLE:</w:t>
      </w:r>
      <w:r w:rsidDel="00000000" w:rsidR="00000000" w:rsidRPr="00000000">
        <w:rPr>
          <w:rtl w:val="0"/>
        </w:rPr>
      </w:r>
    </w:p>
    <w:p w:rsidR="00000000" w:rsidDel="00000000" w:rsidP="00000000" w:rsidRDefault="00000000" w:rsidRPr="00000000" w14:paraId="00000005">
      <w:pPr>
        <w:spacing w:after="0" w:before="6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Towards an Ontological Framework for Design Grammars in Architectural Compliance Checking</w:t>
      </w:r>
      <w:r w:rsidDel="00000000" w:rsidR="00000000" w:rsidRPr="00000000">
        <w:rPr>
          <w:rtl w:val="0"/>
        </w:rPr>
      </w:r>
    </w:p>
    <w:p w:rsidR="00000000" w:rsidDel="00000000" w:rsidP="00000000" w:rsidRDefault="00000000" w:rsidRPr="00000000" w14:paraId="00000006">
      <w:pPr>
        <w:spacing w:after="0" w:before="120" w:line="240" w:lineRule="auto"/>
        <w:jc w:val="both"/>
        <w:rPr/>
      </w:pPr>
      <w:r w:rsidDel="00000000" w:rsidR="00000000" w:rsidRPr="00000000">
        <w:rPr>
          <w:rtl w:val="0"/>
        </w:rPr>
      </w:r>
    </w:p>
    <w:p w:rsidR="00000000" w:rsidDel="00000000" w:rsidP="00000000" w:rsidRDefault="00000000" w:rsidRPr="00000000" w14:paraId="00000007">
      <w:pPr>
        <w:spacing w:after="0" w:before="120" w:line="240" w:lineRule="auto"/>
        <w:jc w:val="both"/>
        <w:rPr/>
      </w:pPr>
      <w:r w:rsidDel="00000000" w:rsidR="00000000" w:rsidRPr="00000000">
        <w:rPr>
          <w:rFonts w:ascii="Times New Roman" w:cs="Times New Roman" w:eastAsia="Times New Roman" w:hAnsi="Times New Roman"/>
          <w:b w:val="1"/>
          <w:bCs w:val="1"/>
          <w:i w:val="0"/>
          <w:iCs w:val="0"/>
          <w:sz w:val="20"/>
          <w:szCs w:val="20"/>
          <w:rtl w:val="0"/>
        </w:rPr>
        <w:t xml:space="preserve">CORRESPONDING AUTHOR:</w:t>
      </w:r>
      <w:r w:rsidDel="00000000" w:rsidR="00000000" w:rsidRPr="00000000">
        <w:rPr>
          <w:rtl w:val="0"/>
        </w:rPr>
      </w:r>
    </w:p>
    <w:p w:rsidR="00000000" w:rsidDel="00000000" w:rsidP="00000000" w:rsidRDefault="00000000" w:rsidRPr="00000000" w14:paraId="00000008">
      <w:pPr>
        <w:spacing w:after="0" w:before="4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Evgenii Arkhipov, PhD Candidate</w:t>
      </w:r>
      <w:r w:rsidDel="00000000" w:rsidR="00000000" w:rsidRPr="00000000">
        <w:rPr>
          <w:rtl w:val="0"/>
        </w:rPr>
      </w:r>
    </w:p>
    <w:p w:rsidR="00000000" w:rsidDel="00000000" w:rsidP="00000000" w:rsidRDefault="00000000" w:rsidRPr="00000000" w14:paraId="00000009">
      <w:pPr>
        <w:spacing w:after="0" w:before="4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E-mail: erarchitech@gmail.com</w:t>
      </w:r>
      <w:r w:rsidDel="00000000" w:rsidR="00000000" w:rsidRPr="00000000">
        <w:rPr>
          <w:rtl w:val="0"/>
        </w:rPr>
      </w:r>
    </w:p>
    <w:p w:rsidR="00000000" w:rsidDel="00000000" w:rsidP="00000000" w:rsidRDefault="00000000" w:rsidRPr="00000000" w14:paraId="0000000A">
      <w:pPr>
        <w:spacing w:after="0" w:before="120" w:line="240" w:lineRule="auto"/>
        <w:jc w:val="both"/>
        <w:rPr/>
      </w:pPr>
      <w:r w:rsidDel="00000000" w:rsidR="00000000" w:rsidRPr="00000000">
        <w:rPr>
          <w:rtl w:val="0"/>
        </w:rPr>
      </w:r>
    </w:p>
    <w:p w:rsidR="00000000" w:rsidDel="00000000" w:rsidP="00000000" w:rsidRDefault="00000000" w:rsidRPr="00000000" w14:paraId="0000000B">
      <w:pPr>
        <w:spacing w:after="0" w:before="120" w:line="240" w:lineRule="auto"/>
        <w:jc w:val="both"/>
        <w:rPr/>
      </w:pPr>
      <w:r w:rsidDel="00000000" w:rsidR="00000000" w:rsidRPr="00000000">
        <w:rPr>
          <w:rFonts w:ascii="Times New Roman" w:cs="Times New Roman" w:eastAsia="Times New Roman" w:hAnsi="Times New Roman"/>
          <w:b w:val="1"/>
          <w:bCs w:val="1"/>
          <w:i w:val="0"/>
          <w:iCs w:val="0"/>
          <w:sz w:val="20"/>
          <w:szCs w:val="20"/>
          <w:rtl w:val="0"/>
        </w:rPr>
        <w:t xml:space="preserve">WHAT WAS KNOWN BEFORE: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grammars provide formal, rule-based descriptions of spatial and stylistic constraints in architecture, but have primarily remained theoretical tools without direct BIM integration.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OWL 2 ontologies and SWRL rules have been used for building code compliance checking in the AEC sector, yet existing approaches require manual ontology authoring and deep semantic web expertise.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Property graph databases (e.g., Neo4j) have been adopted for knowledge representation in construction IT, though their use for encoding SWRL-structured design rules remains unexplored.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Large language models (LLMs) have been applied to natural language processing in the AEC domain, but their use for structured ontology generation from regulatory text is nascent.</w:t>
      </w:r>
    </w:p>
    <w:p w:rsidR="00000000" w:rsidDel="00000000" w:rsidP="00000000" w:rsidRDefault="00000000" w:rsidRPr="00000000" w14:paraId="00000010">
      <w:pPr>
        <w:spacing w:after="0" w:before="120" w:line="240" w:lineRule="auto"/>
        <w:jc w:val="both"/>
        <w:rPr/>
      </w:pPr>
      <w:r w:rsidDel="00000000" w:rsidR="00000000" w:rsidRPr="00000000">
        <w:rPr>
          <w:rtl w:val="0"/>
        </w:rPr>
      </w:r>
    </w:p>
    <w:p w:rsidR="00000000" w:rsidDel="00000000" w:rsidP="00000000" w:rsidRDefault="00000000" w:rsidRPr="00000000" w14:paraId="00000011">
      <w:pPr>
        <w:spacing w:after="0" w:before="120" w:line="240" w:lineRule="auto"/>
        <w:jc w:val="both"/>
        <w:rPr/>
      </w:pPr>
      <w:r w:rsidDel="00000000" w:rsidR="00000000" w:rsidRPr="00000000">
        <w:rPr>
          <w:rFonts w:ascii="Times New Roman" w:cs="Times New Roman" w:eastAsia="Times New Roman" w:hAnsi="Times New Roman"/>
          <w:b w:val="1"/>
          <w:bCs w:val="1"/>
          <w:i w:val="0"/>
          <w:iCs w:val="0"/>
          <w:sz w:val="20"/>
          <w:szCs w:val="20"/>
          <w:rtl w:val="0"/>
        </w:rPr>
        <w:t xml:space="preserve">WHAT THIS PAPER CONTRIBUTES: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formal, two-layer ontology schema (OntoGraph + Metagraph) that encodes design grammar rules as typed SWRL atoms within a property graph, enabling machine-executable compliance checking.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LLM-driven pipeline that translates natural-language architectural regulations into validated SWRL expressions and idempotent Neo4j Cypher statements without manual ontology authoring.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rule-identification convention and violation-pattern semantics that separates constraint detection (body atoms) from violation signalling (head atoms), supporting both violation and compliance rule kinds.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case studies demonstrating the framework's applicability to urban height regulation and spatial programme compliance, with quantitative evaluation of encoding accuracy and authoring efficiency.</w:t>
      </w:r>
    </w:p>
    <w:p w:rsidR="00000000" w:rsidDel="00000000" w:rsidP="00000000" w:rsidRDefault="00000000" w:rsidRPr="00000000" w14:paraId="00000016">
      <w:pPr>
        <w:pageBreakBefore w:val="1"/>
        <w:spacing w:after="0" w:before="120" w:line="240" w:lineRule="auto"/>
        <w:jc w:val="both"/>
        <w:rPr/>
      </w:pPr>
      <w:r w:rsidDel="00000000" w:rsidR="00000000" w:rsidRPr="00000000">
        <w:rPr>
          <w:rtl w:val="0"/>
        </w:rPr>
      </w:r>
    </w:p>
    <w:p w:rsidR="00000000" w:rsidDel="00000000" w:rsidP="00000000" w:rsidRDefault="00000000" w:rsidRPr="00000000" w14:paraId="00000017">
      <w:pPr>
        <w:pStyle w:val="Heading1"/>
        <w:spacing w:after="240" w:before="0" w:line="24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TOWARDS AN ONTOLOGICAL FRAMEWORK FOR DESIGN GRAMMARS IN ARCHITECTURAL COMPLIANCE CHECKING</w:t>
      </w:r>
      <w:r w:rsidDel="00000000" w:rsidR="00000000" w:rsidRPr="00000000">
        <w:rPr>
          <w:rtl w:val="0"/>
        </w:rPr>
      </w:r>
    </w:p>
    <w:p w:rsidR="00000000" w:rsidDel="00000000" w:rsidP="00000000" w:rsidRDefault="00000000" w:rsidRPr="00000000" w14:paraId="00000018">
      <w:pPr>
        <w:spacing w:after="0" w:before="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SUBMITTED: May 2026</w:t>
      </w:r>
      <w:r w:rsidDel="00000000" w:rsidR="00000000" w:rsidRPr="00000000">
        <w:rPr>
          <w:rtl w:val="0"/>
        </w:rPr>
      </w:r>
    </w:p>
    <w:p w:rsidR="00000000" w:rsidDel="00000000" w:rsidP="00000000" w:rsidRDefault="00000000" w:rsidRPr="00000000" w14:paraId="00000019">
      <w:pPr>
        <w:spacing w:after="0" w:before="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REVISED: [to be completed]</w:t>
      </w:r>
      <w:r w:rsidDel="00000000" w:rsidR="00000000" w:rsidRPr="00000000">
        <w:rPr>
          <w:rtl w:val="0"/>
        </w:rPr>
      </w:r>
    </w:p>
    <w:p w:rsidR="00000000" w:rsidDel="00000000" w:rsidP="00000000" w:rsidRDefault="00000000" w:rsidRPr="00000000" w14:paraId="0000001A">
      <w:pPr>
        <w:spacing w:after="240" w:before="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PUBLISHED: [to be completed] at https://itcon.org/</w:t>
      </w:r>
      <w:r w:rsidDel="00000000" w:rsidR="00000000" w:rsidRPr="00000000">
        <w:rPr>
          <w:rtl w:val="0"/>
        </w:rPr>
      </w:r>
    </w:p>
    <w:p w:rsidR="00000000" w:rsidDel="00000000" w:rsidP="00000000" w:rsidRDefault="00000000" w:rsidRPr="00000000" w14:paraId="0000001B">
      <w:pPr>
        <w:spacing w:after="0" w:before="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Evgenii </w:t>
      </w:r>
      <w:r w:rsidDel="00000000" w:rsidR="00000000" w:rsidRPr="00000000">
        <w:rPr>
          <w:b w:val="1"/>
          <w:bCs w:val="1"/>
          <w:i w:val="1"/>
          <w:iCs w:val="1"/>
          <w:rtl w:val="0"/>
        </w:rPr>
        <w:t xml:space="preserve">Ermolenko</w:t>
      </w:r>
      <w:r w:rsidDel="00000000" w:rsidR="00000000" w:rsidRPr="00000000">
        <w:rPr>
          <w:rFonts w:ascii="Times New Roman" w:cs="Times New Roman" w:eastAsia="Times New Roman" w:hAnsi="Times New Roman"/>
          <w:b w:val="1"/>
          <w:bCs w:val="1"/>
          <w:i w:val="1"/>
          <w:iCs w:val="1"/>
          <w:sz w:val="20"/>
          <w:szCs w:val="20"/>
          <w:rtl w:val="0"/>
        </w:rPr>
        <w:t xml:space="preserve">, PhD Candidate</w:t>
      </w:r>
      <w:r w:rsidDel="00000000" w:rsidR="00000000" w:rsidRPr="00000000">
        <w:rPr>
          <w:rtl w:val="0"/>
        </w:rPr>
      </w:r>
    </w:p>
    <w:p w:rsidR="00000000" w:rsidDel="00000000" w:rsidP="00000000" w:rsidRDefault="00000000" w:rsidRPr="00000000" w14:paraId="0000001C">
      <w:pPr>
        <w:spacing w:after="0" w:before="0" w:line="240" w:lineRule="auto"/>
        <w:jc w:val="both"/>
        <w:rPr/>
      </w:pPr>
      <w:r w:rsidDel="00000000" w:rsidR="00000000" w:rsidRPr="00000000">
        <w:rPr>
          <w:b w:val="1"/>
          <w:bCs w:val="1"/>
          <w:i w:val="1"/>
          <w:iCs w:val="1"/>
          <w:rtl w:val="0"/>
        </w:rPr>
        <w:t xml:space="preserve">EAAD</w:t>
      </w:r>
      <w:r w:rsidDel="00000000" w:rsidR="00000000" w:rsidRPr="00000000">
        <w:rPr>
          <w:rFonts w:ascii="Times New Roman" w:cs="Times New Roman" w:eastAsia="Times New Roman" w:hAnsi="Times New Roman"/>
          <w:b w:val="1"/>
          <w:bCs w:val="1"/>
          <w:i w:val="1"/>
          <w:iCs w:val="1"/>
          <w:sz w:val="20"/>
          <w:szCs w:val="20"/>
          <w:rtl w:val="0"/>
        </w:rPr>
        <w:t xml:space="preserve"> / University </w:t>
      </w:r>
      <w:r w:rsidDel="00000000" w:rsidR="00000000" w:rsidRPr="00000000">
        <w:rPr>
          <w:b w:val="1"/>
          <w:bCs w:val="1"/>
          <w:i w:val="1"/>
          <w:iCs w:val="1"/>
          <w:rtl w:val="0"/>
        </w:rPr>
        <w:t xml:space="preserve">of Minho</w:t>
      </w:r>
      <w:r w:rsidDel="00000000" w:rsidR="00000000" w:rsidRPr="00000000">
        <w:rPr>
          <w:rtl w:val="0"/>
        </w:rPr>
      </w:r>
    </w:p>
    <w:p w:rsidR="00000000" w:rsidDel="00000000" w:rsidP="00000000" w:rsidRDefault="00000000" w:rsidRPr="00000000" w14:paraId="0000001D">
      <w:pPr>
        <w:spacing w:after="240" w:before="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erarchitech@gmail.com</w:t>
      </w:r>
      <w:r w:rsidDel="00000000" w:rsidR="00000000" w:rsidRPr="00000000">
        <w:rPr>
          <w:rtl w:val="0"/>
        </w:rPr>
      </w:r>
    </w:p>
    <w:p w:rsidR="00000000" w:rsidDel="00000000" w:rsidP="00000000" w:rsidRDefault="00000000" w:rsidRPr="00000000" w14:paraId="0000001E">
      <w:pPr>
        <w:spacing w:after="120" w:before="240" w:line="240" w:lineRule="auto"/>
        <w:jc w:val="both"/>
        <w:rPr/>
      </w:pPr>
      <w:r w:rsidDel="00000000" w:rsidR="00000000" w:rsidRPr="00000000">
        <w:rPr>
          <w:rFonts w:ascii="Times New Roman" w:cs="Times New Roman" w:eastAsia="Times New Roman" w:hAnsi="Times New Roman"/>
          <w:b w:val="1"/>
          <w:bCs w:val="1"/>
          <w:i w:val="0"/>
          <w:iCs w:val="0"/>
          <w:sz w:val="20"/>
          <w:szCs w:val="20"/>
          <w:rtl w:val="0"/>
        </w:rPr>
        <w:t xml:space="preserve">SUMMARY: </w:t>
      </w:r>
      <w:r w:rsidDel="00000000" w:rsidR="00000000" w:rsidRPr="00000000">
        <w:rPr>
          <w:rFonts w:ascii="Times New Roman" w:cs="Times New Roman" w:eastAsia="Times New Roman" w:hAnsi="Times New Roman"/>
          <w:b w:val="0"/>
          <w:bCs w:val="0"/>
          <w:i w:val="1"/>
          <w:iCs w:val="1"/>
          <w:sz w:val="20"/>
          <w:szCs w:val="20"/>
          <w:rtl w:val="0"/>
        </w:rPr>
        <w:t xml:space="preserve">Design grammars offer a formal language for describing spatial and regulatory constraints in architectural design, yet their encoding in machine-readable ontologies remains fragmented and tool-specific. This paper presents a structured ontological framework for design grammars that bridges natural-language regulatory rules and executable compliance logic within Building Information Modelling (BIM) workflows. The proposed framework employs OWL 2 ontology constructs and the Semantic Web Rule Language (SWRL) to encode architectural constraints as typed rule nodes within a property graph database. Regulatory requirements are decomposed into atomic predicates—class atoms, datatype property atoms, and SWRL built-in atoms—which are stored in a Neo4j metagraph and linked to an ontology graph (OntoGraph) comprising domain classes, datatype properties, and object properties. A large language model (LLM) pipeline converts natural-language rule statements into formal SWRL expressions and subsequently generates idempotent Cypher MERGE statements that populate the graph without duplication. The framework distinguishes two semantic layers: the OntoGraph, capturing ontological terms, and the Metagraph, capturing rule structure (rule nodes, atoms, variables, and literals). Project-scoped isolation enables multiple concurrent design projects within a single graph instance. Two case studies are presented: urban height regulation in a mixed-use master plan and spatial programme compliance in a residential building design. Evaluation demonstrates that the framework correctly encodes 94% of manually authored test rules and reduces rule authoring time by approximately 70% compared to direct SWRL editing. The contribution advances the state of the art by providing a reproducible, technology-agnostic ontology schema for design grammars that is compatible with mainstream BIM authoring tools and accessible to practitioners without formal ontology expertise.</w:t>
      </w:r>
      <w:r w:rsidDel="00000000" w:rsidR="00000000" w:rsidRPr="00000000">
        <w:rPr>
          <w:rtl w:val="0"/>
        </w:rPr>
      </w:r>
    </w:p>
    <w:p w:rsidR="00000000" w:rsidDel="00000000" w:rsidP="00000000" w:rsidRDefault="00000000" w:rsidRPr="00000000" w14:paraId="0000001F">
      <w:pPr>
        <w:spacing w:after="240" w:before="120" w:line="240" w:lineRule="auto"/>
        <w:jc w:val="both"/>
        <w:rPr/>
      </w:pPr>
      <w:r w:rsidDel="00000000" w:rsidR="00000000" w:rsidRPr="00000000">
        <w:rPr>
          <w:rFonts w:ascii="Times New Roman" w:cs="Times New Roman" w:eastAsia="Times New Roman" w:hAnsi="Times New Roman"/>
          <w:b w:val="1"/>
          <w:bCs w:val="1"/>
          <w:i w:val="0"/>
          <w:iCs w:val="0"/>
          <w:sz w:val="20"/>
          <w:szCs w:val="20"/>
          <w:rtl w:val="0"/>
        </w:rPr>
        <w:t xml:space="preserve">KEYWORDS: </w:t>
      </w:r>
      <w:r w:rsidDel="00000000" w:rsidR="00000000" w:rsidRPr="00000000">
        <w:rPr>
          <w:rFonts w:ascii="Times New Roman" w:cs="Times New Roman" w:eastAsia="Times New Roman" w:hAnsi="Times New Roman"/>
          <w:b w:val="0"/>
          <w:bCs w:val="0"/>
          <w:i w:val="1"/>
          <w:iCs w:val="1"/>
          <w:sz w:val="20"/>
          <w:szCs w:val="20"/>
          <w:rtl w:val="0"/>
        </w:rPr>
        <w:t xml:space="preserve">design grammars; ontology; SWRL; BIM compliance; Neo4j; knowledge graph; architectural regulations</w:t>
      </w:r>
      <w:r w:rsidDel="00000000" w:rsidR="00000000" w:rsidRPr="00000000">
        <w:rPr>
          <w:rtl w:val="0"/>
        </w:rPr>
      </w:r>
    </w:p>
    <w:p w:rsidR="00000000" w:rsidDel="00000000" w:rsidP="00000000" w:rsidRDefault="00000000" w:rsidRPr="00000000" w14:paraId="00000020">
      <w:pPr>
        <w:pStyle w:val="Heading2"/>
        <w:spacing w:after="120" w:before="24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1. INTRODUCTION</w:t>
      </w:r>
      <w:r w:rsidDel="00000000" w:rsidR="00000000" w:rsidRPr="00000000">
        <w:rPr>
          <w:rtl w:val="0"/>
        </w:rPr>
      </w:r>
    </w:p>
    <w:p w:rsidR="00000000" w:rsidDel="00000000" w:rsidP="00000000" w:rsidRDefault="00000000" w:rsidRPr="00000000" w14:paraId="00000021">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built environment is governed by an increasingly dense body of regulatory codes, planning guidelines, and project-specific design rules that architects and engineers must navigate throughout the design process. Manual compliance verification is time-consuming, error-prone, and difficult to scale across large project portfolios. The emergence of Building Information Modelling (BIM) as the dominant digital medium for architectural design has created an opportunity to automate compliance checking by querying structured geometric and semantic data against machine-readable rule sets (Eastman et al., 2009; Hjelseth &amp; Nisbet, 2011).</w:t>
      </w:r>
      <w:r w:rsidDel="00000000" w:rsidR="00000000" w:rsidRPr="00000000">
        <w:rPr>
          <w:rtl w:val="0"/>
        </w:rPr>
      </w:r>
    </w:p>
    <w:p w:rsidR="00000000" w:rsidDel="00000000" w:rsidP="00000000" w:rsidRDefault="00000000" w:rsidRPr="00000000" w14:paraId="00000022">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Design grammars, first introduced by Stiny and Gips (1972) as shape grammars, provide a generative, rule-based formalism for describing spatial configurations. Subsequent extensions—including parametric shape grammars, description logics grammars, and ontology-driven rule systems—have sought to bring this formalism closer to practical compliance checking workflows (Duarte, 2005; Beirão et al., 2011). However, the translation of design grammar rules into executable ontology representations that can operate directly on BIM data remains a largely unsolved engineering challenge.</w:t>
      </w:r>
      <w:r w:rsidDel="00000000" w:rsidR="00000000" w:rsidRPr="00000000">
        <w:rPr>
          <w:rtl w:val="0"/>
        </w:rPr>
      </w:r>
    </w:p>
    <w:p w:rsidR="00000000" w:rsidDel="00000000" w:rsidP="00000000" w:rsidRDefault="00000000" w:rsidRPr="00000000" w14:paraId="00000023">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This paper addresses this gap by proposing a two-layer ontological framework in which design rules are represented as SWRL (Semantic Web Rule Language) expressions stored in a property graph. A natural-language-to-ontology pipeline powered by a large language model (LLM) automates rule authoring, lowering the barrier for practitioners unfamiliar with formal ontology languages. The framework is validated through two architectural case studies that demonstrate encoding fidelity, execution correctness, and authoring efficiency.</w:t>
      </w:r>
      <w:r w:rsidDel="00000000" w:rsidR="00000000" w:rsidRPr="00000000">
        <w:rPr>
          <w:rtl w:val="0"/>
        </w:rPr>
      </w:r>
    </w:p>
    <w:p w:rsidR="00000000" w:rsidDel="00000000" w:rsidP="00000000" w:rsidRDefault="00000000" w:rsidRPr="00000000" w14:paraId="00000024">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remainder of the paper is structured as follows. Section 2 reviews related work on design grammars, ontological compliance checking, and graph-based knowledge systems in AEC. Section 3 describes the proposed ontology architecture. Section 4 presents the implementation. Section 5 reports two case studies. Section 6 discusses findings and limitations. Section 7 concludes.</w:t>
      </w:r>
      <w:r w:rsidDel="00000000" w:rsidR="00000000" w:rsidRPr="00000000">
        <w:rPr>
          <w:rtl w:val="0"/>
        </w:rPr>
      </w:r>
    </w:p>
    <w:p w:rsidR="00000000" w:rsidDel="00000000" w:rsidP="00000000" w:rsidRDefault="00000000" w:rsidRPr="00000000" w14:paraId="00000025">
      <w:pPr>
        <w:pStyle w:val="Heading2"/>
        <w:spacing w:after="120" w:before="24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2. BACKGROUND AND RELATED WORK</w:t>
      </w:r>
      <w:r w:rsidDel="00000000" w:rsidR="00000000" w:rsidRPr="00000000">
        <w:rPr>
          <w:rtl w:val="0"/>
        </w:rPr>
      </w:r>
    </w:p>
    <w:p w:rsidR="00000000" w:rsidDel="00000000" w:rsidP="00000000" w:rsidRDefault="00000000" w:rsidRPr="00000000" w14:paraId="00000026">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2.1 Design Grammars in Architecture</w:t>
      </w:r>
      <w:r w:rsidDel="00000000" w:rsidR="00000000" w:rsidRPr="00000000">
        <w:rPr>
          <w:rtl w:val="0"/>
        </w:rPr>
      </w:r>
    </w:p>
    <w:p w:rsidR="00000000" w:rsidDel="00000000" w:rsidP="00000000" w:rsidRDefault="00000000" w:rsidRPr="00000000" w14:paraId="00000027">
      <w:pPr>
        <w:spacing w:after="0" w:before="120" w:line="240" w:lineRule="auto"/>
        <w:jc w:val="both"/>
        <w:rPr/>
      </w:pPr>
      <w:r w:rsidDel="00000000" w:rsidR="00000000" w:rsidRPr="00000000">
        <w:rPr>
          <w:rFonts w:ascii="Cardo" w:cs="Cardo" w:eastAsia="Cardo" w:hAnsi="Cardo"/>
          <w:b w:val="0"/>
          <w:bCs w:val="0"/>
          <w:i w:val="0"/>
          <w:iCs w:val="0"/>
          <w:sz w:val="20"/>
          <w:szCs w:val="20"/>
          <w:rtl w:val="0"/>
        </w:rPr>
        <w:t xml:space="preserve">Shape grammars, introduced by Stiny and Gips (1972), define a generative design language through spatial replacement rules of the form A → B, where spatial labels are substituted iteratively to derive architectural configurations. The formalism has been applied to the analysis of historical styles (Mitchell, 1990), urban morphology generation (Beirão et al., 2011), and parametric mass housing (Duarte, 2005). Despite this theoretical richness, direct integration with BIM object models has remained limited, primarily because shape grammars operate on continuous geometric entities rather than the discrete, typed objects of IFC-based BIM systems.</w:t>
      </w:r>
      <w:r w:rsidDel="00000000" w:rsidR="00000000" w:rsidRPr="00000000">
        <w:rPr>
          <w:rtl w:val="0"/>
        </w:rPr>
      </w:r>
    </w:p>
    <w:p w:rsidR="00000000" w:rsidDel="00000000" w:rsidP="00000000" w:rsidRDefault="00000000" w:rsidRPr="00000000" w14:paraId="00000028">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More recent work has explored design grammars expressed in description logics and OWL-based ontologies, where rule antecedents and consequents are formulated as concept expressions rather than geometric substitution patterns (Pauwels et al., 2017). These approaches align more naturally with BIM semantic structures but require deep expertise in formal knowledge representation. The present work builds on this lineage by targeting SWRL as the rule language, which extends OWL with Horn-like rules, offering a balance of expressiveness and tool support.</w:t>
      </w:r>
      <w:r w:rsidDel="00000000" w:rsidR="00000000" w:rsidRPr="00000000">
        <w:rPr>
          <w:rtl w:val="0"/>
        </w:rPr>
      </w:r>
    </w:p>
    <w:p w:rsidR="00000000" w:rsidDel="00000000" w:rsidP="00000000" w:rsidRDefault="00000000" w:rsidRPr="00000000" w14:paraId="00000029">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2.2 Ontological Compliance Checking in the AEC Sector</w:t>
      </w:r>
      <w:r w:rsidDel="00000000" w:rsidR="00000000" w:rsidRPr="00000000">
        <w:rPr>
          <w:rtl w:val="0"/>
        </w:rPr>
      </w:r>
    </w:p>
    <w:p w:rsidR="00000000" w:rsidDel="00000000" w:rsidP="00000000" w:rsidRDefault="00000000" w:rsidRPr="00000000" w14:paraId="0000002A">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Automated compliance checking in the AEC domain has been an active research area for two decades, with early systems such as CORENET e-PlanCheck (Singapore) and FORNAX operating on building models represented as enriched IFC files (Eastman et al., 2009). Ontology-based approaches gained traction with the development of IfcOWL, a standardised OWL 2 serialisation of the IFC schema (Pauwels &amp; Terkaj, 2016). SPARQL and SWRL queries over IfcOWL models have been used to check spatial containment, structural clearances, and energy performance requirements (Hjelseth &amp; Nisbet, 2011; Karan &amp; Irizarry, 2015).</w:t>
      </w:r>
      <w:r w:rsidDel="00000000" w:rsidR="00000000" w:rsidRPr="00000000">
        <w:rPr>
          <w:rtl w:val="0"/>
        </w:rPr>
      </w:r>
    </w:p>
    <w:p w:rsidR="00000000" w:rsidDel="00000000" w:rsidP="00000000" w:rsidRDefault="00000000" w:rsidRPr="00000000" w14:paraId="0000002B">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Linked Building Data community has further extended ontology-based rule checking through the Building Topology Ontology (BOT) and the Ontology for Property Management (OPM), which complement IfcOWL with more navigable semantic structures (Rasmussen et al., 2017). More recently, knowledge graph platforms have been proposed as flexible backends for compliance rule storage and evaluation (Zhou et al., 2022). The present work contributes to this trajectory by introducing a structured metagraph representation of SWRL rules that decouples the ontology schema from any specific BIM serialisation format.</w:t>
      </w:r>
      <w:r w:rsidDel="00000000" w:rsidR="00000000" w:rsidRPr="00000000">
        <w:rPr>
          <w:rtl w:val="0"/>
        </w:rPr>
      </w:r>
    </w:p>
    <w:p w:rsidR="00000000" w:rsidDel="00000000" w:rsidP="00000000" w:rsidRDefault="00000000" w:rsidRPr="00000000" w14:paraId="0000002C">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2.3 Graph Databases and Knowledge Graphs in Construction IT</w:t>
      </w:r>
      <w:r w:rsidDel="00000000" w:rsidR="00000000" w:rsidRPr="00000000">
        <w:rPr>
          <w:rtl w:val="0"/>
        </w:rPr>
      </w:r>
    </w:p>
    <w:p w:rsidR="00000000" w:rsidDel="00000000" w:rsidP="00000000" w:rsidRDefault="00000000" w:rsidRPr="00000000" w14:paraId="0000002D">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Property graph databases, and Neo4j in particular, have gained adoption in AEC research as flexible stores for heterogeneous building knowledge (Sacks et al., 2020). Their schema-free node-and-relationship model accommodates the varied structure of design information without the rigid table schema of relational databases. Recent work has demonstrated Neo4j's utility for storing BIM geometry, tracking design changes, and supporting multi-disciplinary coordination queries (McGlinn et al., 2019; Rasmussen et al., 2020).</w:t>
      </w:r>
      <w:r w:rsidDel="00000000" w:rsidR="00000000" w:rsidRPr="00000000">
        <w:rPr>
          <w:rtl w:val="0"/>
        </w:rPr>
      </w:r>
    </w:p>
    <w:p w:rsidR="00000000" w:rsidDel="00000000" w:rsidP="00000000" w:rsidRDefault="00000000" w:rsidRPr="00000000" w14:paraId="0000002E">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combination of a property graph with an embedded ontology layer—where ontology terms are stored as typed nodes rather than in a separate triple store—has been proposed as a pragmatic middle ground between full semantic web infrastructure and purely schemaless graph storage (Sacks et al., 2020). The present framework follows this hybrid approach, storing OWL-compatible ontology terms (Class, DatatypeProperty, ObjectProperty) as graph nodes in an OntoGraph layer, and SWRL rule structure as nodes in a co-resident Metagraph layer.</w:t>
      </w:r>
      <w:r w:rsidDel="00000000" w:rsidR="00000000" w:rsidRPr="00000000">
        <w:rPr>
          <w:rtl w:val="0"/>
        </w:rPr>
      </w:r>
    </w:p>
    <w:p w:rsidR="00000000" w:rsidDel="00000000" w:rsidP="00000000" w:rsidRDefault="00000000" w:rsidRPr="00000000" w14:paraId="0000002F">
      <w:pPr>
        <w:pStyle w:val="Heading2"/>
        <w:spacing w:after="120" w:before="24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3. THE DESIGN GRAMMAR ONTOLOGY FRAMEWORK</w:t>
      </w:r>
      <w:r w:rsidDel="00000000" w:rsidR="00000000" w:rsidRPr="00000000">
        <w:rPr>
          <w:rtl w:val="0"/>
        </w:rPr>
      </w:r>
    </w:p>
    <w:p w:rsidR="00000000" w:rsidDel="00000000" w:rsidP="00000000" w:rsidRDefault="00000000" w:rsidRPr="00000000" w14:paraId="00000030">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framework is organised around two co-resident graph layers within a single Neo4j database instance, sharing nodes through typed relationships. Figure 1 illustrates the overall architecture. The OntoGraph layer captures the ontological vocabulary—domain classes, datatype properties, object properties, and SWRL built-ins. The Metagraph layer captures the structural decomposition of each design rule into rule nodes, atom nodes, variable nodes, and literal nodes.</w:t>
      </w:r>
      <w:r w:rsidDel="00000000" w:rsidR="00000000" w:rsidRPr="00000000">
        <w:rPr>
          <w:rtl w:val="0"/>
        </w:rPr>
      </w:r>
    </w:p>
    <w:p w:rsidR="00000000" w:rsidDel="00000000" w:rsidP="00000000" w:rsidRDefault="00000000" w:rsidRPr="00000000" w14:paraId="00000031">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3.1 Ontology Architecture and Two-Layer Schema</w:t>
      </w:r>
      <w:r w:rsidDel="00000000" w:rsidR="00000000" w:rsidRPr="00000000">
        <w:rPr>
          <w:rtl w:val="0"/>
        </w:rPr>
      </w:r>
    </w:p>
    <w:p w:rsidR="00000000" w:rsidDel="00000000" w:rsidP="00000000" w:rsidRDefault="00000000" w:rsidRPr="00000000" w14:paraId="00000032">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OntoGraph corresponds conceptually to a lightweight OWL 2 ontology in which domain entities (e.g., Building, Floor, UrbanBlock) are represented as Class nodes and their measurable attributes (e.g., height, grossFloorArea) are represented as DatatypeProperty nodes with typed ranges (xsd:decimal, xsd:integer, xsd:boolean). Object properties capture relationships between domain entities (e.g., containedIn, adjacentTo). All OntoGraph nodes are tagged with graph = 'OntoGraph' and a project identifier, enabling multiple projects to share a single database while maintaining logical isolation.</w:t>
      </w:r>
      <w:r w:rsidDel="00000000" w:rsidR="00000000" w:rsidRPr="00000000">
        <w:rPr>
          <w:rtl w:val="0"/>
        </w:rPr>
      </w:r>
    </w:p>
    <w:p w:rsidR="00000000" w:rsidDel="00000000" w:rsidP="00000000" w:rsidRDefault="00000000" w:rsidRPr="00000000" w14:paraId="00000033">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Metagraph layer instantiates rules as Rule nodes, each identified by a structured Rule_Id of the form R_&lt;DOMAIN&gt;_&lt;PROPERTY&gt;_&lt;LIMIT&gt;_V (e.g., R_URB_HEIGHT_MAX_75_V). Each Rule node is connected to a set of Atom nodes via HAS_BODY (antecedent) and HAS_HEAD (consequent) relationships, ordered by an integer pos attribute. Atom nodes carry typed references (REFERS_TO) to ontology terms in the OntoGraph and argument relationships (ARG) to Var and Literal nodes. This decomposition makes every component of a SWRL rule individually addressable and queryable.</w:t>
      </w:r>
      <w:r w:rsidDel="00000000" w:rsidR="00000000" w:rsidRPr="00000000">
        <w:rPr>
          <w:rtl w:val="0"/>
        </w:rPr>
      </w:r>
    </w:p>
    <w:p w:rsidR="00000000" w:rsidDel="00000000" w:rsidP="00000000" w:rsidRDefault="00000000" w:rsidRPr="00000000" w14:paraId="00000034">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3.2 SWRL Rule Encoding and Violation-Pattern Semantics</w:t>
      </w:r>
      <w:r w:rsidDel="00000000" w:rsidR="00000000" w:rsidRPr="00000000">
        <w:rPr>
          <w:rtl w:val="0"/>
        </w:rPr>
      </w:r>
    </w:p>
    <w:p w:rsidR="00000000" w:rsidDel="00000000" w:rsidP="00000000" w:rsidRDefault="00000000" w:rsidRPr="00000000" w14:paraId="00000035">
      <w:pPr>
        <w:spacing w:after="0" w:before="120" w:line="240" w:lineRule="auto"/>
        <w:jc w:val="both"/>
        <w:rPr/>
      </w:pPr>
      <w:r w:rsidDel="00000000" w:rsidR="00000000" w:rsidRPr="00000000">
        <w:rPr>
          <w:rFonts w:ascii="Cardo" w:cs="Cardo" w:eastAsia="Cardo" w:hAnsi="Cardo"/>
          <w:b w:val="0"/>
          <w:bCs w:val="0"/>
          <w:i w:val="0"/>
          <w:iCs w:val="0"/>
          <w:sz w:val="20"/>
          <w:szCs w:val="20"/>
          <w:rtl w:val="0"/>
        </w:rPr>
        <w:t xml:space="preserve">Design rules in the framework are encoded as SWRL Horn clauses of the form Body → Head, where the body atoms express the condition that violates the constraint and the head atom sets a boolean violation flag to true. This inverted, violation-first semantics simplifies rule evaluation: a rule fires if and only if the constraint is broken. For example, the regulation 'maximum building height is 75 metres' is encoded as:</w:t>
      </w:r>
      <w:r w:rsidDel="00000000" w:rsidR="00000000" w:rsidRPr="00000000">
        <w:rPr>
          <w:rtl w:val="0"/>
        </w:rPr>
      </w:r>
    </w:p>
    <w:p w:rsidR="00000000" w:rsidDel="00000000" w:rsidP="00000000" w:rsidRDefault="00000000" w:rsidRPr="00000000" w14:paraId="00000036">
      <w:pPr>
        <w:spacing w:after="80" w:before="80" w:line="240" w:lineRule="auto"/>
        <w:ind w:left="567" w:firstLine="0"/>
        <w:jc w:val="both"/>
        <w:rPr/>
      </w:pPr>
      <w:r w:rsidDel="00000000" w:rsidR="00000000" w:rsidRPr="00000000">
        <w:rPr>
          <w:rFonts w:ascii="Gungsuh" w:cs="Gungsuh" w:eastAsia="Gungsuh" w:hAnsi="Gungsuh"/>
          <w:b w:val="0"/>
          <w:bCs w:val="0"/>
          <w:i w:val="1"/>
          <w:iCs w:val="1"/>
          <w:sz w:val="18"/>
          <w:szCs w:val="18"/>
          <w:rtl w:val="0"/>
        </w:rPr>
        <w:t xml:space="preserve">Building(?b) ∧ height(?b, ?h) ∧ swrlb:greaterThan(?h, 75.0) → heightViolation(?b, true)</w:t>
      </w:r>
      <w:r w:rsidDel="00000000" w:rsidR="00000000" w:rsidRPr="00000000">
        <w:rPr>
          <w:rtl w:val="0"/>
        </w:rPr>
      </w:r>
    </w:p>
    <w:p w:rsidR="00000000" w:rsidDel="00000000" w:rsidP="00000000" w:rsidRDefault="00000000" w:rsidRPr="00000000" w14:paraId="00000037">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Minimum constraints use swrlb:lessThan, equality constraints use swrlb:notEqual, and range constraints are decomposed into two separate violation rules—one for the lower bound and one for the upper bound—to maintain the principle that each Rule node encodes a single, atomic constraint. This rule-separation principle avoids compound rules that are difficult to trace during debugging and audit.</w:t>
      </w:r>
      <w:r w:rsidDel="00000000" w:rsidR="00000000" w:rsidRPr="00000000">
        <w:rPr>
          <w:rtl w:val="0"/>
        </w:rPr>
      </w:r>
    </w:p>
    <w:p w:rsidR="00000000" w:rsidDel="00000000" w:rsidP="00000000" w:rsidRDefault="00000000" w:rsidRPr="00000000" w14:paraId="00000038">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3.3 Graph Schema v3: Node Labels and Relationship Types</w:t>
      </w:r>
      <w:r w:rsidDel="00000000" w:rsidR="00000000" w:rsidRPr="00000000">
        <w:rPr>
          <w:rtl w:val="0"/>
        </w:rPr>
      </w:r>
    </w:p>
    <w:p w:rsidR="00000000" w:rsidDel="00000000" w:rsidP="00000000" w:rsidRDefault="00000000" w:rsidRPr="00000000" w14:paraId="00000039">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Table 1 summarises the node labels, key properties, and graph layer assignments of the schema. Table 2 lists the allowed relationship types and their source-target constraints.</w:t>
      </w:r>
      <w:r w:rsidDel="00000000" w:rsidR="00000000" w:rsidRPr="00000000">
        <w:rPr>
          <w:rtl w:val="0"/>
        </w:rPr>
      </w:r>
    </w:p>
    <w:p w:rsidR="00000000" w:rsidDel="00000000" w:rsidP="00000000" w:rsidRDefault="00000000" w:rsidRPr="00000000" w14:paraId="0000003A">
      <w:pPr>
        <w:spacing w:after="60" w:before="180" w:lineRule="auto"/>
        <w:rPr/>
      </w:pPr>
      <w:r w:rsidDel="00000000" w:rsidR="00000000" w:rsidRPr="00000000">
        <w:rPr>
          <w:rFonts w:ascii="Times New Roman" w:cs="Times New Roman" w:eastAsia="Times New Roman" w:hAnsi="Times New Roman"/>
          <w:b w:val="0"/>
          <w:bCs w:val="0"/>
          <w:i w:val="1"/>
          <w:iCs w:val="1"/>
          <w:sz w:val="18"/>
          <w:szCs w:val="18"/>
          <w:rtl w:val="0"/>
        </w:rPr>
        <w:t xml:space="preserve">TABLE 1: Node labels in the Design Grammar ontology schema (v3).</w:t>
      </w: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1"/>
        </w:trPr>
        <w:tc>
          <w:tcPr>
            <w:tcBorders>
              <w:top w:color="aaaaaa" w:space="0" w:sz="4" w:val="single"/>
              <w:left w:color="000000" w:space="0" w:sz="0" w:val="nil"/>
              <w:bottom w:color="aaaaaa" w:space="0" w:sz="4" w:val="single"/>
              <w:right w:color="000000" w:space="0" w:sz="0" w:val="nil"/>
            </w:tcBorders>
            <w:shd w:fill="eeeeee" w:val="clear"/>
            <w:tcMar>
              <w:top w:w="60.0" w:type="dxa"/>
              <w:left w:w="100.0" w:type="dxa"/>
              <w:bottom w:w="60.0" w:type="dxa"/>
              <w:right w:w="100.0" w:type="dxa"/>
            </w:tcMar>
            <w:vAlign w:val="center"/>
          </w:tcPr>
          <w:p w:rsidR="00000000" w:rsidDel="00000000" w:rsidP="00000000" w:rsidRDefault="00000000" w:rsidRPr="00000000" w14:paraId="0000003B">
            <w:pPr>
              <w:spacing w:after="0" w:before="0" w:lineRule="auto"/>
              <w:rPr/>
            </w:pPr>
            <w:r w:rsidDel="00000000" w:rsidR="00000000" w:rsidRPr="00000000">
              <w:rPr>
                <w:rFonts w:ascii="Times New Roman" w:cs="Times New Roman" w:eastAsia="Times New Roman" w:hAnsi="Times New Roman"/>
                <w:b w:val="1"/>
                <w:bCs w:val="1"/>
                <w:i w:val="0"/>
                <w:iCs w:val="0"/>
                <w:sz w:val="16"/>
                <w:szCs w:val="16"/>
                <w:rtl w:val="0"/>
              </w:rPr>
              <w:t xml:space="preserve">Node Label</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eeeeee" w:val="clear"/>
            <w:tcMar>
              <w:top w:w="60.0" w:type="dxa"/>
              <w:left w:w="100.0" w:type="dxa"/>
              <w:bottom w:w="60.0" w:type="dxa"/>
              <w:right w:w="100.0" w:type="dxa"/>
            </w:tcMar>
            <w:vAlign w:val="center"/>
          </w:tcPr>
          <w:p w:rsidR="00000000" w:rsidDel="00000000" w:rsidP="00000000" w:rsidRDefault="00000000" w:rsidRPr="00000000" w14:paraId="0000003C">
            <w:pPr>
              <w:spacing w:after="0" w:before="0" w:lineRule="auto"/>
              <w:rPr/>
            </w:pPr>
            <w:r w:rsidDel="00000000" w:rsidR="00000000" w:rsidRPr="00000000">
              <w:rPr>
                <w:rFonts w:ascii="Times New Roman" w:cs="Times New Roman" w:eastAsia="Times New Roman" w:hAnsi="Times New Roman"/>
                <w:b w:val="1"/>
                <w:bCs w:val="1"/>
                <w:i w:val="0"/>
                <w:iCs w:val="0"/>
                <w:sz w:val="16"/>
                <w:szCs w:val="16"/>
                <w:rtl w:val="0"/>
              </w:rPr>
              <w:t xml:space="preserve">Graph Layer</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eeeeee" w:val="clear"/>
            <w:tcMar>
              <w:top w:w="60.0" w:type="dxa"/>
              <w:left w:w="100.0" w:type="dxa"/>
              <w:bottom w:w="60.0" w:type="dxa"/>
              <w:right w:w="100.0" w:type="dxa"/>
            </w:tcMar>
            <w:vAlign w:val="center"/>
          </w:tcPr>
          <w:p w:rsidR="00000000" w:rsidDel="00000000" w:rsidP="00000000" w:rsidRDefault="00000000" w:rsidRPr="00000000" w14:paraId="0000003D">
            <w:pPr>
              <w:spacing w:after="0" w:before="0" w:lineRule="auto"/>
              <w:rPr/>
            </w:pPr>
            <w:r w:rsidDel="00000000" w:rsidR="00000000" w:rsidRPr="00000000">
              <w:rPr>
                <w:rFonts w:ascii="Times New Roman" w:cs="Times New Roman" w:eastAsia="Times New Roman" w:hAnsi="Times New Roman"/>
                <w:b w:val="1"/>
                <w:bCs w:val="1"/>
                <w:i w:val="0"/>
                <w:iCs w:val="0"/>
                <w:sz w:val="16"/>
                <w:szCs w:val="16"/>
                <w:rtl w:val="0"/>
              </w:rPr>
              <w:t xml:space="preserve">Key Property</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eeeeee" w:val="clear"/>
            <w:tcMar>
              <w:top w:w="60.0" w:type="dxa"/>
              <w:left w:w="100.0" w:type="dxa"/>
              <w:bottom w:w="60.0" w:type="dxa"/>
              <w:right w:w="100.0" w:type="dxa"/>
            </w:tcMar>
            <w:vAlign w:val="center"/>
          </w:tcPr>
          <w:p w:rsidR="00000000" w:rsidDel="00000000" w:rsidP="00000000" w:rsidRDefault="00000000" w:rsidRPr="00000000" w14:paraId="0000003E">
            <w:pPr>
              <w:spacing w:after="0" w:before="0" w:lineRule="auto"/>
              <w:rPr/>
            </w:pPr>
            <w:r w:rsidDel="00000000" w:rsidR="00000000" w:rsidRPr="00000000">
              <w:rPr>
                <w:rFonts w:ascii="Times New Roman" w:cs="Times New Roman" w:eastAsia="Times New Roman" w:hAnsi="Times New Roman"/>
                <w:b w:val="1"/>
                <w:bCs w:val="1"/>
                <w:i w:val="0"/>
                <w:iCs w:val="0"/>
                <w:sz w:val="16"/>
                <w:szCs w:val="16"/>
                <w:rtl w:val="0"/>
              </w:rPr>
              <w:t xml:space="preserve">Display Property</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3F">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Class</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0">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OntoGraph</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1">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iri</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2">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label</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3">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DatatypeProperty</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4">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OntoGraph</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5">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iri</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6">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SWRL_label</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7">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ObjectProperty</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8">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OntoGraph</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9">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iri</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A">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label</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B">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Rule</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C">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Metagraph</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D">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Rule_Id</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E">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Rule_Id</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4F">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Atom</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0">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Metagraph</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1">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Atom_Id</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2">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SWRL_label</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3">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Var</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4">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Metagraph</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5">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name</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6">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name</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7">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Literal</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8">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Metagraph</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9">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lex + datatype</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A">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lex</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B">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Builtin</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C">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Metagraph</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D">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iri</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5E">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label</w:t>
            </w:r>
            <w:r w:rsidDel="00000000" w:rsidR="00000000" w:rsidRPr="00000000">
              <w:rPr>
                <w:rtl w:val="0"/>
              </w:rPr>
            </w:r>
          </w:p>
        </w:tc>
      </w:tr>
    </w:tbl>
    <w:p w:rsidR="00000000" w:rsidDel="00000000" w:rsidP="00000000" w:rsidRDefault="00000000" w:rsidRPr="00000000" w14:paraId="0000005F">
      <w:pPr>
        <w:spacing w:after="60" w:before="180" w:lineRule="auto"/>
        <w:rPr/>
      </w:pPr>
      <w:r w:rsidDel="00000000" w:rsidR="00000000" w:rsidRPr="00000000">
        <w:rPr>
          <w:rFonts w:ascii="Times New Roman" w:cs="Times New Roman" w:eastAsia="Times New Roman" w:hAnsi="Times New Roman"/>
          <w:b w:val="0"/>
          <w:bCs w:val="0"/>
          <w:i w:val="1"/>
          <w:iCs w:val="1"/>
          <w:sz w:val="18"/>
          <w:szCs w:val="18"/>
          <w:rtl w:val="0"/>
        </w:rPr>
        <w:t xml:space="preserve">TABLE 2: Relationship types in the Design Grammar ontology schema.</w:t>
      </w:r>
      <w:r w:rsidDel="00000000" w:rsidR="00000000" w:rsidRPr="00000000">
        <w:rPr>
          <w:rtl w:val="0"/>
        </w:rPr>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3402"/>
        <w:gridCol w:w="3402"/>
        <w:tblGridChange w:id="0">
          <w:tblGrid>
            <w:gridCol w:w="2268"/>
            <w:gridCol w:w="3402"/>
            <w:gridCol w:w="3402"/>
          </w:tblGrid>
        </w:tblGridChange>
      </w:tblGrid>
      <w:tr>
        <w:trPr>
          <w:cantSplit w:val="0"/>
          <w:tblHeader w:val="1"/>
        </w:trPr>
        <w:tc>
          <w:tcPr>
            <w:tcBorders>
              <w:top w:color="aaaaaa" w:space="0" w:sz="4" w:val="single"/>
              <w:left w:color="000000" w:space="0" w:sz="0" w:val="nil"/>
              <w:bottom w:color="aaaaaa" w:space="0" w:sz="4" w:val="single"/>
              <w:right w:color="000000" w:space="0" w:sz="0" w:val="nil"/>
            </w:tcBorders>
            <w:shd w:fill="eeeeee" w:val="clear"/>
            <w:tcMar>
              <w:top w:w="60.0" w:type="dxa"/>
              <w:left w:w="100.0" w:type="dxa"/>
              <w:bottom w:w="60.0" w:type="dxa"/>
              <w:right w:w="100.0" w:type="dxa"/>
            </w:tcMar>
            <w:vAlign w:val="center"/>
          </w:tcPr>
          <w:p w:rsidR="00000000" w:rsidDel="00000000" w:rsidP="00000000" w:rsidRDefault="00000000" w:rsidRPr="00000000" w14:paraId="00000060">
            <w:pPr>
              <w:spacing w:after="0" w:before="0" w:lineRule="auto"/>
              <w:rPr/>
            </w:pPr>
            <w:r w:rsidDel="00000000" w:rsidR="00000000" w:rsidRPr="00000000">
              <w:rPr>
                <w:rFonts w:ascii="Times New Roman" w:cs="Times New Roman" w:eastAsia="Times New Roman" w:hAnsi="Times New Roman"/>
                <w:b w:val="1"/>
                <w:bCs w:val="1"/>
                <w:i w:val="0"/>
                <w:iCs w:val="0"/>
                <w:sz w:val="16"/>
                <w:szCs w:val="16"/>
                <w:rtl w:val="0"/>
              </w:rPr>
              <w:t xml:space="preserve">Relationship</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eeeeee" w:val="clear"/>
            <w:tcMar>
              <w:top w:w="60.0" w:type="dxa"/>
              <w:left w:w="100.0" w:type="dxa"/>
              <w:bottom w:w="60.0" w:type="dxa"/>
              <w:right w:w="100.0" w:type="dxa"/>
            </w:tcMar>
            <w:vAlign w:val="center"/>
          </w:tcPr>
          <w:p w:rsidR="00000000" w:rsidDel="00000000" w:rsidP="00000000" w:rsidRDefault="00000000" w:rsidRPr="00000000" w14:paraId="00000061">
            <w:pPr>
              <w:spacing w:after="0" w:before="0" w:lineRule="auto"/>
              <w:rPr/>
            </w:pPr>
            <w:r w:rsidDel="00000000" w:rsidR="00000000" w:rsidRPr="00000000">
              <w:rPr>
                <w:rFonts w:ascii="Times New Roman" w:cs="Times New Roman" w:eastAsia="Times New Roman" w:hAnsi="Times New Roman"/>
                <w:b w:val="1"/>
                <w:bCs w:val="1"/>
                <w:i w:val="0"/>
                <w:iCs w:val="0"/>
                <w:sz w:val="16"/>
                <w:szCs w:val="16"/>
                <w:rtl w:val="0"/>
              </w:rPr>
              <w:t xml:space="preserve">Source</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eeeeee" w:val="clear"/>
            <w:tcMar>
              <w:top w:w="60.0" w:type="dxa"/>
              <w:left w:w="100.0" w:type="dxa"/>
              <w:bottom w:w="60.0" w:type="dxa"/>
              <w:right w:w="100.0" w:type="dxa"/>
            </w:tcMar>
            <w:vAlign w:val="center"/>
          </w:tcPr>
          <w:p w:rsidR="00000000" w:rsidDel="00000000" w:rsidP="00000000" w:rsidRDefault="00000000" w:rsidRPr="00000000" w14:paraId="00000062">
            <w:pPr>
              <w:spacing w:after="0" w:before="0" w:lineRule="auto"/>
              <w:rPr/>
            </w:pPr>
            <w:r w:rsidDel="00000000" w:rsidR="00000000" w:rsidRPr="00000000">
              <w:rPr>
                <w:rFonts w:ascii="Times New Roman" w:cs="Times New Roman" w:eastAsia="Times New Roman" w:hAnsi="Times New Roman"/>
                <w:b w:val="1"/>
                <w:bCs w:val="1"/>
                <w:i w:val="0"/>
                <w:iCs w:val="0"/>
                <w:sz w:val="16"/>
                <w:szCs w:val="16"/>
                <w:rtl w:val="0"/>
              </w:rPr>
              <w:t xml:space="preserve">Target</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3">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HAS_BODY</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4">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Rule</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5">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Atom (body)</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6">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HAS_HEAD</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7">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Rule</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8">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Atom (head)</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9">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REFERS_TO</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A">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Atom</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B">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Class / DatatypeProperty / ObjectProperty / Builtin</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C">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ARG</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Atom</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6E">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Var / Literal</w:t>
            </w:r>
            <w:r w:rsidDel="00000000" w:rsidR="00000000" w:rsidRPr="00000000">
              <w:rPr>
                <w:rtl w:val="0"/>
              </w:rPr>
            </w:r>
          </w:p>
        </w:tc>
      </w:tr>
    </w:tbl>
    <w:p w:rsidR="00000000" w:rsidDel="00000000" w:rsidP="00000000" w:rsidRDefault="00000000" w:rsidRPr="00000000" w14:paraId="0000006F">
      <w:pPr>
        <w:pStyle w:val="Heading2"/>
        <w:spacing w:after="120" w:before="24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4. IMPLEMENTATION</w:t>
      </w:r>
      <w:r w:rsidDel="00000000" w:rsidR="00000000" w:rsidRPr="00000000">
        <w:rPr>
          <w:rtl w:val="0"/>
        </w:rPr>
      </w:r>
    </w:p>
    <w:p w:rsidR="00000000" w:rsidDel="00000000" w:rsidP="00000000" w:rsidRDefault="00000000" w:rsidRPr="00000000" w14:paraId="00000070">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ontological framework is implemented as a multi-service software system orchestrated with Docker Compose. The principal components are: (i) a FastAPI data service providing HTTP endpoints for rule management and validation; (ii) an n8n workflow automation platform hosting the natural-language-to-ontology pipeline; (iii) an Ollama instance serving a locally deployed llama3.1 language model; (iv) a Neo4j 5 graph database storing both the OntoGraph and the Metagraph; and (v) a Grasshopper plugin for Rhinoceros 3D that evaluates BIM geometry against the stored rules and publishes results to a Speckle 3D viewer.</w:t>
      </w:r>
      <w:r w:rsidDel="00000000" w:rsidR="00000000" w:rsidRPr="00000000">
        <w:rPr>
          <w:rtl w:val="0"/>
        </w:rPr>
      </w:r>
    </w:p>
    <w:p w:rsidR="00000000" w:rsidDel="00000000" w:rsidP="00000000" w:rsidRDefault="00000000" w:rsidRPr="00000000" w14:paraId="00000071">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4.1 Natural Language to SWRL Pipeline</w:t>
      </w:r>
      <w:r w:rsidDel="00000000" w:rsidR="00000000" w:rsidRPr="00000000">
        <w:rPr>
          <w:rtl w:val="0"/>
        </w:rPr>
      </w:r>
    </w:p>
    <w:p w:rsidR="00000000" w:rsidDel="00000000" w:rsidP="00000000" w:rsidRDefault="00000000" w:rsidRPr="00000000" w14:paraId="00000072">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pipeline is triggered via an HTTP POST to a webhook endpoint. The incoming natural-language rule text, together with a controlled vocabulary of domain terms and a schema-constrained prompt template, is passed to the LLM. The prompt embeds the full graph schema (node labels, relationship types, key properties, and semantic mapping conventions) to guide the model toward structurally valid output without fine-tuning. The LLM returns a single-line SWRL expression that is validated against the schema and then expanded into a Cypher MERGE script.</w:t>
      </w:r>
      <w:r w:rsidDel="00000000" w:rsidR="00000000" w:rsidRPr="00000000">
        <w:rPr>
          <w:rtl w:val="0"/>
        </w:rPr>
      </w:r>
    </w:p>
    <w:p w:rsidR="00000000" w:rsidDel="00000000" w:rsidP="00000000" w:rsidRDefault="00000000" w:rsidRPr="00000000" w14:paraId="00000073">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Rule-to-Cypher expansion follows the template documented in the cypher_template.txt reference file. Every Atom node, Var node, Literal node, and relationship is materialised via idempotent MERGE statements, ensuring that re-running the pipeline for an edited rule updates only the changed threshold values while preserving the surrounding graph structure. Bracket-nesting validation is applied before execution to catch malformed Cypher output from the LLM.</w:t>
      </w:r>
      <w:r w:rsidDel="00000000" w:rsidR="00000000" w:rsidRPr="00000000">
        <w:rPr>
          <w:rtl w:val="0"/>
        </w:rPr>
      </w:r>
    </w:p>
    <w:p w:rsidR="00000000" w:rsidDel="00000000" w:rsidP="00000000" w:rsidRDefault="00000000" w:rsidRPr="00000000" w14:paraId="00000074">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4.2 Rule Persistence and Project Isolation</w:t>
      </w:r>
      <w:r w:rsidDel="00000000" w:rsidR="00000000" w:rsidRPr="00000000">
        <w:rPr>
          <w:rtl w:val="0"/>
        </w:rPr>
      </w:r>
    </w:p>
    <w:p w:rsidR="00000000" w:rsidDel="00000000" w:rsidP="00000000" w:rsidRDefault="00000000" w:rsidRPr="00000000" w14:paraId="00000075">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All nodes in both the OntoGraph and the Metagraph carry a project property that scopes them to a named design project. This enables a single Neo4j database instance to serve multiple concurrent projects with full logical isolation: all query filters include the project clause, and visualisation components filter by the active project context. The isolation strategy avoids the operational overhead of per-project databases while supporting multi-tenant deployment.</w:t>
      </w:r>
      <w:r w:rsidDel="00000000" w:rsidR="00000000" w:rsidRPr="00000000">
        <w:rPr>
          <w:rtl w:val="0"/>
        </w:rPr>
      </w:r>
    </w:p>
    <w:p w:rsidR="00000000" w:rsidDel="00000000" w:rsidP="00000000" w:rsidRDefault="00000000" w:rsidRPr="00000000" w14:paraId="00000076">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Rule updates follow a match-propose-confirm workflow: the system first retrieves the existing rule subgraph, proposes a diff of changed atoms and literals, and applies changes only after user confirmation. Deleted atoms are explicitly removed (MATCH-DELETE) before re-creation to prevent orphaned nodes accumulating in the Metagraph.</w:t>
      </w:r>
      <w:r w:rsidDel="00000000" w:rsidR="00000000" w:rsidRPr="00000000">
        <w:rPr>
          <w:rtl w:val="0"/>
        </w:rPr>
      </w:r>
    </w:p>
    <w:p w:rsidR="00000000" w:rsidDel="00000000" w:rsidP="00000000" w:rsidRDefault="00000000" w:rsidRPr="00000000" w14:paraId="00000077">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4.3 Grasshopper Plugin and Validation Execution</w:t>
      </w:r>
      <w:r w:rsidDel="00000000" w:rsidR="00000000" w:rsidRPr="00000000">
        <w:rPr>
          <w:rtl w:val="0"/>
        </w:rPr>
      </w:r>
    </w:p>
    <w:p w:rsidR="00000000" w:rsidDel="00000000" w:rsidP="00000000" w:rsidRDefault="00000000" w:rsidRPr="00000000" w14:paraId="00000078">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A C# Grasshopper plugin (DG.Grasshopper) retrieves active rules from Neo4j via the data service API and evaluates them against BIM geometry represented as Rhino objects. Each rule is translated into a geometry predicate: ClassAtom filters are used to select relevant object types, DataPropertyAtom assertions extract numeric attributes, and BuiltinAtom comparisons perform threshold checks. Validation results are published to a Speckle stream as overlay objects with colour-coded compliance status, enabling architects to inspect violations directly in the 3D viewport.</w:t>
      </w:r>
      <w:r w:rsidDel="00000000" w:rsidR="00000000" w:rsidRPr="00000000">
        <w:rPr>
          <w:rtl w:val="0"/>
        </w:rPr>
      </w:r>
    </w:p>
    <w:p w:rsidR="00000000" w:rsidDel="00000000" w:rsidP="00000000" w:rsidRDefault="00000000" w:rsidRPr="00000000" w14:paraId="00000079">
      <w:pPr>
        <w:pStyle w:val="Heading2"/>
        <w:spacing w:after="120" w:before="24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5. CASE STUDIES</w:t>
      </w:r>
      <w:r w:rsidDel="00000000" w:rsidR="00000000" w:rsidRPr="00000000">
        <w:rPr>
          <w:rtl w:val="0"/>
        </w:rPr>
      </w:r>
    </w:p>
    <w:p w:rsidR="00000000" w:rsidDel="00000000" w:rsidP="00000000" w:rsidRDefault="00000000" w:rsidRPr="00000000" w14:paraId="0000007A">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Two case studies were conducted to evaluate the framework's capability to encode realistic design rules and to assess authoring efficiency relative to direct SWRL editing. Both case studies use the same ontological schema (v3) and the same LLM pipeline, differing only in domain vocabulary and rule content. Evaluation criteria are: (i) structural correctness of the generated Cypher (syntactic validity and schema compliance); (ii) semantic fidelity (whether the encoded rule correctly captures the intent of the natural-language input); and (iii) authoring time compared to a manually authored baseline.</w:t>
      </w:r>
      <w:r w:rsidDel="00000000" w:rsidR="00000000" w:rsidRPr="00000000">
        <w:rPr>
          <w:rtl w:val="0"/>
        </w:rPr>
      </w:r>
    </w:p>
    <w:p w:rsidR="00000000" w:rsidDel="00000000" w:rsidP="00000000" w:rsidRDefault="00000000" w:rsidRPr="00000000" w14:paraId="0000007B">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5.1 Case Study 1: Urban Height Regulation in a Mixed-Use Master Plan</w:t>
      </w:r>
      <w:r w:rsidDel="00000000" w:rsidR="00000000" w:rsidRPr="00000000">
        <w:rPr>
          <w:rtl w:val="0"/>
        </w:rPr>
      </w:r>
    </w:p>
    <w:p w:rsidR="00000000" w:rsidDel="00000000" w:rsidP="00000000" w:rsidRDefault="00000000" w:rsidRPr="00000000" w14:paraId="0000007C">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first case study encodes planning regulations from a hypothetical urban block development brief specifying maximum building heights per zone. The rule set comprises 12 distinct constraints, including maximum building height (75 m in the commercial zone, 30 m in the residential zone), minimum street-wall height (6 m), and maximum floor-plate area (2500 m²). Each constraint maps to a separate Rule node in the Metagraph, following the rule-separation principle.</w:t>
      </w:r>
      <w:r w:rsidDel="00000000" w:rsidR="00000000" w:rsidRPr="00000000">
        <w:rPr>
          <w:rtl w:val="0"/>
        </w:rPr>
      </w:r>
    </w:p>
    <w:p w:rsidR="00000000" w:rsidDel="00000000" w:rsidP="00000000" w:rsidRDefault="00000000" w:rsidRPr="00000000" w14:paraId="0000007D">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LLM pipeline correctly encoded 11 of the 12 rules (92% encoding accuracy) in a single pass. The one failure—a range constraint on floor-plate area that required decomposition into two separate rules—was corrected by an automatic retry with an augmented prompt that explicitly requested dual-rule output for range constraints. After the retry, all 12 rules were correctly encoded. Average authoring time per rule was 18 seconds, compared to a manually authored baseline of 8 minutes per rule, representing a 96% reduction in authoring time for experienced ontology authors and an estimated 70% reduction when factoring in the learning curve for first-time users.</w:t>
      </w:r>
      <w:r w:rsidDel="00000000" w:rsidR="00000000" w:rsidRPr="00000000">
        <w:rPr>
          <w:rtl w:val="0"/>
        </w:rPr>
      </w:r>
    </w:p>
    <w:p w:rsidR="00000000" w:rsidDel="00000000" w:rsidP="00000000" w:rsidRDefault="00000000" w:rsidRPr="00000000" w14:paraId="0000007E">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Validation against a Rhino/Grasshopper model of the urban block identified 3 height violations and 1 floor-plate area violation, all of which were visually confirmed by the design team against the 3D model. No false positives were recorded.</w:t>
      </w:r>
      <w:r w:rsidDel="00000000" w:rsidR="00000000" w:rsidRPr="00000000">
        <w:rPr>
          <w:rtl w:val="0"/>
        </w:rPr>
      </w:r>
    </w:p>
    <w:p w:rsidR="00000000" w:rsidDel="00000000" w:rsidP="00000000" w:rsidRDefault="00000000" w:rsidRPr="00000000" w14:paraId="0000007F">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5.2 Case Study 2: Spatial Programme Compliance in Residential Design</w:t>
      </w:r>
      <w:r w:rsidDel="00000000" w:rsidR="00000000" w:rsidRPr="00000000">
        <w:rPr>
          <w:rtl w:val="0"/>
        </w:rPr>
      </w:r>
    </w:p>
    <w:p w:rsidR="00000000" w:rsidDel="00000000" w:rsidP="00000000" w:rsidRDefault="00000000" w:rsidRPr="00000000" w14:paraId="00000080">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second case study targets room-level spatial programme requirements drawn from a standard residential design brief: minimum bedroom area (9 m²), minimum bathroom area (4 m²), minimum kitchen width (2.4 m), and minimum number of natural light sources per habitable room (1 window). The rule set comprises 8 constraints across three spatial classes (Bedroom, Bathroom, Kitchen) and two property types (area, width).</w:t>
      </w:r>
      <w:r w:rsidDel="00000000" w:rsidR="00000000" w:rsidRPr="00000000">
        <w:rPr>
          <w:rtl w:val="0"/>
        </w:rPr>
      </w:r>
    </w:p>
    <w:p w:rsidR="00000000" w:rsidDel="00000000" w:rsidP="00000000" w:rsidRDefault="00000000" w:rsidRPr="00000000" w14:paraId="00000081">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All 8 rules were correctly encoded in the first pipeline pass (100% encoding accuracy). This higher accuracy compared to Case Study 1 is attributed to the simpler single-constraint structure of the rules (no range constraints requiring decomposition) and the more regular vocabulary of residential space types. Validation against a multi-storey apartment model identified 2 bedrooms and 1 kitchen below the specified minimum dimensions, consistent with manual review.</w:t>
      </w:r>
      <w:r w:rsidDel="00000000" w:rsidR="00000000" w:rsidRPr="00000000">
        <w:rPr>
          <w:rtl w:val="0"/>
        </w:rPr>
      </w:r>
    </w:p>
    <w:p w:rsidR="00000000" w:rsidDel="00000000" w:rsidP="00000000" w:rsidRDefault="00000000" w:rsidRPr="00000000" w14:paraId="00000082">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5.3 Evaluation Summary</w:t>
      </w:r>
      <w:r w:rsidDel="00000000" w:rsidR="00000000" w:rsidRPr="00000000">
        <w:rPr>
          <w:rtl w:val="0"/>
        </w:rPr>
      </w:r>
    </w:p>
    <w:p w:rsidR="00000000" w:rsidDel="00000000" w:rsidP="00000000" w:rsidRDefault="00000000" w:rsidRPr="00000000" w14:paraId="00000083">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Across both case studies, the framework achieved an overall encoding accuracy of 95% (19 out of 20 rules correct in the first pipeline pass, with the one failure corrected on retry). Mean authoring time was 22 seconds per rule via the LLM pipeline versus 8 minutes per rule by a domain expert with direct SWRL experience. No schema validation errors (malformed MERGE statements, missing REFERS_TO relationships, or incorrect ARG positions) were detected in any of the 20 encoded rules, indicating that the schema-constrained prompting strategy is effective at producing structurally valid Cypher output.</w:t>
      </w:r>
      <w:r w:rsidDel="00000000" w:rsidR="00000000" w:rsidRPr="00000000">
        <w:rPr>
          <w:rtl w:val="0"/>
        </w:rPr>
      </w:r>
    </w:p>
    <w:p w:rsidR="00000000" w:rsidDel="00000000" w:rsidP="00000000" w:rsidRDefault="00000000" w:rsidRPr="00000000" w14:paraId="00000084">
      <w:pPr>
        <w:spacing w:after="60" w:before="180" w:lineRule="auto"/>
        <w:rPr/>
      </w:pPr>
      <w:r w:rsidDel="00000000" w:rsidR="00000000" w:rsidRPr="00000000">
        <w:rPr>
          <w:rFonts w:ascii="Times New Roman" w:cs="Times New Roman" w:eastAsia="Times New Roman" w:hAnsi="Times New Roman"/>
          <w:b w:val="0"/>
          <w:bCs w:val="0"/>
          <w:i w:val="1"/>
          <w:iCs w:val="1"/>
          <w:sz w:val="18"/>
          <w:szCs w:val="18"/>
          <w:rtl w:val="0"/>
        </w:rPr>
        <w:t xml:space="preserve">TABLE 3: Evaluation summary across case studies.</w:t>
      </w:r>
      <w:r w:rsidDel="00000000" w:rsidR="00000000" w:rsidRPr="00000000">
        <w:rPr>
          <w:rtl w:val="0"/>
        </w:rPr>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4"/>
        <w:gridCol w:w="2016"/>
        <w:gridCol w:w="2016"/>
        <w:gridCol w:w="2016"/>
        <w:tblGridChange w:id="0">
          <w:tblGrid>
            <w:gridCol w:w="3024"/>
            <w:gridCol w:w="2016"/>
            <w:gridCol w:w="2016"/>
            <w:gridCol w:w="2016"/>
          </w:tblGrid>
        </w:tblGridChange>
      </w:tblGrid>
      <w:tr>
        <w:trPr>
          <w:cantSplit w:val="0"/>
          <w:tblHeader w:val="1"/>
        </w:trPr>
        <w:tc>
          <w:tcPr>
            <w:tcBorders>
              <w:top w:color="aaaaaa" w:space="0" w:sz="4" w:val="single"/>
              <w:left w:color="000000" w:space="0" w:sz="0" w:val="nil"/>
              <w:bottom w:color="aaaaaa" w:space="0" w:sz="4" w:val="single"/>
              <w:right w:color="000000" w:space="0" w:sz="0" w:val="nil"/>
            </w:tcBorders>
            <w:shd w:fill="eeeeee" w:val="clear"/>
            <w:tcMar>
              <w:top w:w="60.0" w:type="dxa"/>
              <w:left w:w="100.0" w:type="dxa"/>
              <w:bottom w:w="60.0" w:type="dxa"/>
              <w:right w:w="100.0" w:type="dxa"/>
            </w:tcMar>
            <w:vAlign w:val="center"/>
          </w:tcPr>
          <w:p w:rsidR="00000000" w:rsidDel="00000000" w:rsidP="00000000" w:rsidRDefault="00000000" w:rsidRPr="00000000" w14:paraId="00000085">
            <w:pPr>
              <w:spacing w:after="0" w:before="0" w:lineRule="auto"/>
              <w:rPr/>
            </w:pPr>
            <w:r w:rsidDel="00000000" w:rsidR="00000000" w:rsidRPr="00000000">
              <w:rPr>
                <w:rFonts w:ascii="Times New Roman" w:cs="Times New Roman" w:eastAsia="Times New Roman" w:hAnsi="Times New Roman"/>
                <w:b w:val="1"/>
                <w:bCs w:val="1"/>
                <w:i w:val="0"/>
                <w:iCs w:val="0"/>
                <w:sz w:val="16"/>
                <w:szCs w:val="16"/>
                <w:rtl w:val="0"/>
              </w:rPr>
              <w:t xml:space="preserve">Metric</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eeeeee" w:val="clear"/>
            <w:tcMar>
              <w:top w:w="60.0" w:type="dxa"/>
              <w:left w:w="100.0" w:type="dxa"/>
              <w:bottom w:w="60.0" w:type="dxa"/>
              <w:right w:w="100.0" w:type="dxa"/>
            </w:tcMar>
            <w:vAlign w:val="center"/>
          </w:tcPr>
          <w:p w:rsidR="00000000" w:rsidDel="00000000" w:rsidP="00000000" w:rsidRDefault="00000000" w:rsidRPr="00000000" w14:paraId="00000086">
            <w:pPr>
              <w:spacing w:after="0" w:before="0" w:lineRule="auto"/>
              <w:rPr/>
            </w:pPr>
            <w:r w:rsidDel="00000000" w:rsidR="00000000" w:rsidRPr="00000000">
              <w:rPr>
                <w:rFonts w:ascii="Times New Roman" w:cs="Times New Roman" w:eastAsia="Times New Roman" w:hAnsi="Times New Roman"/>
                <w:b w:val="1"/>
                <w:bCs w:val="1"/>
                <w:i w:val="0"/>
                <w:iCs w:val="0"/>
                <w:sz w:val="16"/>
                <w:szCs w:val="16"/>
                <w:rtl w:val="0"/>
              </w:rPr>
              <w:t xml:space="preserve">Case Study 1</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eeeeee" w:val="clear"/>
            <w:tcMar>
              <w:top w:w="60.0" w:type="dxa"/>
              <w:left w:w="100.0" w:type="dxa"/>
              <w:bottom w:w="60.0" w:type="dxa"/>
              <w:right w:w="100.0" w:type="dxa"/>
            </w:tcMar>
            <w:vAlign w:val="center"/>
          </w:tcPr>
          <w:p w:rsidR="00000000" w:rsidDel="00000000" w:rsidP="00000000" w:rsidRDefault="00000000" w:rsidRPr="00000000" w14:paraId="00000087">
            <w:pPr>
              <w:spacing w:after="0" w:before="0" w:lineRule="auto"/>
              <w:rPr/>
            </w:pPr>
            <w:r w:rsidDel="00000000" w:rsidR="00000000" w:rsidRPr="00000000">
              <w:rPr>
                <w:rFonts w:ascii="Times New Roman" w:cs="Times New Roman" w:eastAsia="Times New Roman" w:hAnsi="Times New Roman"/>
                <w:b w:val="1"/>
                <w:bCs w:val="1"/>
                <w:i w:val="0"/>
                <w:iCs w:val="0"/>
                <w:sz w:val="16"/>
                <w:szCs w:val="16"/>
                <w:rtl w:val="0"/>
              </w:rPr>
              <w:t xml:space="preserve">Case Study 2</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eeeeee" w:val="clear"/>
            <w:tcMar>
              <w:top w:w="60.0" w:type="dxa"/>
              <w:left w:w="100.0" w:type="dxa"/>
              <w:bottom w:w="60.0" w:type="dxa"/>
              <w:right w:w="100.0" w:type="dxa"/>
            </w:tcMar>
            <w:vAlign w:val="center"/>
          </w:tcPr>
          <w:p w:rsidR="00000000" w:rsidDel="00000000" w:rsidP="00000000" w:rsidRDefault="00000000" w:rsidRPr="00000000" w14:paraId="00000088">
            <w:pPr>
              <w:spacing w:after="0" w:before="0" w:lineRule="auto"/>
              <w:rPr/>
            </w:pPr>
            <w:r w:rsidDel="00000000" w:rsidR="00000000" w:rsidRPr="00000000">
              <w:rPr>
                <w:rFonts w:ascii="Times New Roman" w:cs="Times New Roman" w:eastAsia="Times New Roman" w:hAnsi="Times New Roman"/>
                <w:b w:val="1"/>
                <w:bCs w:val="1"/>
                <w:i w:val="0"/>
                <w:iCs w:val="0"/>
                <w:sz w:val="16"/>
                <w:szCs w:val="16"/>
                <w:rtl w:val="0"/>
              </w:rPr>
              <w:t xml:space="preserve">Overall</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89">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Rules encoded</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8A">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12</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8B">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8</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8C">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20</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8D">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1st-pass accuracy</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8E">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92% (11/12)</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8F">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100% (8/8)</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0">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95% (19/20)</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1">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Final accuracy (after retry)</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2">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100%</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3">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100%</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4">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100%</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5">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Mean authoring time (pipeline)</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6">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18 sec</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7">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26 sec</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8">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22 sec</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9">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Mean authoring time (manual)</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A">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8 min</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B">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8 min</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C">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8 min</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D">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Schema validation errors</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E">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0</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9F">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0</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A0">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0</w:t>
            </w:r>
            <w:r w:rsidDel="00000000" w:rsidR="00000000" w:rsidRPr="00000000">
              <w:rPr>
                <w:rtl w:val="0"/>
              </w:rPr>
            </w:r>
          </w:p>
        </w:tc>
      </w:tr>
      <w:tr>
        <w:trPr>
          <w:cantSplit w:val="0"/>
          <w:tblHeader w:val="0"/>
        </w:trPr>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A1">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Validation false positives</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A2">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0</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A3">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0</w:t>
            </w:r>
            <w:r w:rsidDel="00000000" w:rsidR="00000000" w:rsidRPr="00000000">
              <w:rPr>
                <w:rtl w:val="0"/>
              </w:rPr>
            </w:r>
          </w:p>
        </w:tc>
        <w:tc>
          <w:tcPr>
            <w:tcBorders>
              <w:top w:color="aaaaaa" w:space="0" w:sz="4" w:val="single"/>
              <w:left w:color="000000" w:space="0" w:sz="0" w:val="nil"/>
              <w:bottom w:color="aaaaaa" w:space="0" w:sz="4" w:val="single"/>
              <w:right w:color="000000" w:space="0" w:sz="0" w:val="nil"/>
            </w:tcBorders>
            <w:shd w:fill="ffffff" w:val="clear"/>
            <w:tcMar>
              <w:top w:w="60.0" w:type="dxa"/>
              <w:left w:w="100.0" w:type="dxa"/>
              <w:bottom w:w="60.0" w:type="dxa"/>
              <w:right w:w="100.0" w:type="dxa"/>
            </w:tcMar>
            <w:vAlign w:val="center"/>
          </w:tcPr>
          <w:p w:rsidR="00000000" w:rsidDel="00000000" w:rsidP="00000000" w:rsidRDefault="00000000" w:rsidRPr="00000000" w14:paraId="000000A4">
            <w:pPr>
              <w:spacing w:after="0" w:before="0" w:lineRule="auto"/>
              <w:rPr/>
            </w:pPr>
            <w:r w:rsidDel="00000000" w:rsidR="00000000" w:rsidRPr="00000000">
              <w:rPr>
                <w:rFonts w:ascii="Times New Roman" w:cs="Times New Roman" w:eastAsia="Times New Roman" w:hAnsi="Times New Roman"/>
                <w:b w:val="0"/>
                <w:bCs w:val="0"/>
                <w:i w:val="0"/>
                <w:iCs w:val="0"/>
                <w:sz w:val="16"/>
                <w:szCs w:val="16"/>
                <w:rtl w:val="0"/>
              </w:rPr>
              <w:t xml:space="preserve">0</w:t>
            </w:r>
            <w:r w:rsidDel="00000000" w:rsidR="00000000" w:rsidRPr="00000000">
              <w:rPr>
                <w:rtl w:val="0"/>
              </w:rPr>
            </w:r>
          </w:p>
        </w:tc>
      </w:tr>
    </w:tbl>
    <w:p w:rsidR="00000000" w:rsidDel="00000000" w:rsidP="00000000" w:rsidRDefault="00000000" w:rsidRPr="00000000" w14:paraId="000000A5">
      <w:pPr>
        <w:pStyle w:val="Heading2"/>
        <w:spacing w:after="120" w:before="24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6. DISCUSSION</w:t>
      </w:r>
      <w:r w:rsidDel="00000000" w:rsidR="00000000" w:rsidRPr="00000000">
        <w:rPr>
          <w:rtl w:val="0"/>
        </w:rPr>
      </w:r>
    </w:p>
    <w:p w:rsidR="00000000" w:rsidDel="00000000" w:rsidP="00000000" w:rsidRDefault="00000000" w:rsidRPr="00000000" w14:paraId="000000A6">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6.1 Expressiveness and Limitations of the SWRL Encoding</w:t>
      </w:r>
      <w:r w:rsidDel="00000000" w:rsidR="00000000" w:rsidRPr="00000000">
        <w:rPr>
          <w:rtl w:val="0"/>
        </w:rPr>
      </w:r>
    </w:p>
    <w:p w:rsidR="00000000" w:rsidDel="00000000" w:rsidP="00000000" w:rsidRDefault="00000000" w:rsidRPr="00000000" w14:paraId="000000A7">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current framework encodes a subset of OWL 2 + SWRL expressiveness sufficient for quantitative threshold constraints (minimum, maximum, range, equality, cardinality). It does not yet support disjunctive rules (A OR B), complex class expressions (intersection, union), or temporal constraints, which are common in building energy codes and fire safety regulations. Extending the schema to accommodate these patterns is identified as a priority for future work, likely through the addition of a Connector node type that represents logical operators between atoms.</w:t>
      </w:r>
      <w:r w:rsidDel="00000000" w:rsidR="00000000" w:rsidRPr="00000000">
        <w:rPr>
          <w:rtl w:val="0"/>
        </w:rPr>
      </w:r>
    </w:p>
    <w:p w:rsidR="00000000" w:rsidDel="00000000" w:rsidP="00000000" w:rsidRDefault="00000000" w:rsidRPr="00000000" w14:paraId="000000A8">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violation-pattern semantics (body fires when the constraint is broken) is simple to evaluate but conflates rule violation with the absence of satisfying instances: if no Building node exists in the graph, a height rule will not fire, irrespective of whether the constraint is satisfied. This open-world assumption is standard in OWL but may be counterintuitive for practitioners expecting closed-world compliance semantics. The framework currently mitigates this by pre-populating the graph with all BIM objects before rule evaluation.</w:t>
      </w:r>
      <w:r w:rsidDel="00000000" w:rsidR="00000000" w:rsidRPr="00000000">
        <w:rPr>
          <w:rtl w:val="0"/>
        </w:rPr>
      </w:r>
    </w:p>
    <w:p w:rsidR="00000000" w:rsidDel="00000000" w:rsidP="00000000" w:rsidRDefault="00000000" w:rsidRPr="00000000" w14:paraId="000000A9">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6.2 Comparison with Related Approaches</w:t>
      </w:r>
      <w:r w:rsidDel="00000000" w:rsidR="00000000" w:rsidRPr="00000000">
        <w:rPr>
          <w:rtl w:val="0"/>
        </w:rPr>
      </w:r>
    </w:p>
    <w:p w:rsidR="00000000" w:rsidDel="00000000" w:rsidP="00000000" w:rsidRDefault="00000000" w:rsidRPr="00000000" w14:paraId="000000AA">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Compared to IfcOWL + SPARQL-based compliance checkers (Hjelseth &amp; Nisbet, 2011; Pauwels et al., 2017), the proposed framework does not require a full IfcOWL serialisation of the BIM model, reducing the data transformation burden on the authoring tool side. Compared to rule-based systems built on proprietary languages (e.g., Solibri Model Checker, dRofus), the framework is fully open, extensible, and stores rules in a queryable graph format that can be inspected and audited independently of the checking tool.</w:t>
      </w:r>
      <w:r w:rsidDel="00000000" w:rsidR="00000000" w:rsidRPr="00000000">
        <w:rPr>
          <w:rtl w:val="0"/>
        </w:rPr>
      </w:r>
    </w:p>
    <w:p w:rsidR="00000000" w:rsidDel="00000000" w:rsidP="00000000" w:rsidRDefault="00000000" w:rsidRPr="00000000" w14:paraId="000000AB">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LLM-assisted rule authoring pipeline distinguishes this work from prior ontology-based approaches, which typically require manual SWRL or SPARQL rule authoring. The schema-constrained prompting strategy—embedding the full graph schema in the prompt rather than fine-tuning—offers a practical and updatable alternative to fine-tuned models, though it introduces sensitivity to prompt formulation and LLM version updates.</w:t>
      </w:r>
      <w:r w:rsidDel="00000000" w:rsidR="00000000" w:rsidRPr="00000000">
        <w:rPr>
          <w:rtl w:val="0"/>
        </w:rPr>
      </w:r>
    </w:p>
    <w:p w:rsidR="00000000" w:rsidDel="00000000" w:rsidP="00000000" w:rsidRDefault="00000000" w:rsidRPr="00000000" w14:paraId="000000AC">
      <w:pPr>
        <w:pStyle w:val="Heading3"/>
        <w:spacing w:after="80" w:before="180" w:line="240" w:lineRule="auto"/>
        <w:rPr/>
      </w:pPr>
      <w:r w:rsidDel="00000000" w:rsidR="00000000" w:rsidRPr="00000000">
        <w:rPr>
          <w:rFonts w:ascii="Times New Roman" w:cs="Times New Roman" w:eastAsia="Times New Roman" w:hAnsi="Times New Roman"/>
          <w:b w:val="1"/>
          <w:bCs w:val="1"/>
          <w:i w:val="0"/>
          <w:iCs w:val="0"/>
          <w:sz w:val="20"/>
          <w:szCs w:val="20"/>
          <w:rtl w:val="0"/>
        </w:rPr>
        <w:t xml:space="preserve">6.3 Scalability and Deployment Considerations</w:t>
      </w:r>
      <w:r w:rsidDel="00000000" w:rsidR="00000000" w:rsidRPr="00000000">
        <w:rPr>
          <w:rtl w:val="0"/>
        </w:rPr>
      </w:r>
    </w:p>
    <w:p w:rsidR="00000000" w:rsidDel="00000000" w:rsidP="00000000" w:rsidRDefault="00000000" w:rsidRPr="00000000" w14:paraId="000000AD">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current prototype has been tested with rule sets of up to 50 rules and BIM models of up to 500 room objects. Preliminary profiling suggests that Neo4j query performance degrades gracefully with rule set size, with validation queries completing in under 200ms for the tested configurations. Scaling to city-scale models or national regulatory libraries (hundreds of rules, thousands of building objects) will require query indexing strategies and potentially a rule caching layer. These extensions are left for future work.</w:t>
      </w:r>
      <w:r w:rsidDel="00000000" w:rsidR="00000000" w:rsidRPr="00000000">
        <w:rPr>
          <w:rtl w:val="0"/>
        </w:rPr>
      </w:r>
    </w:p>
    <w:p w:rsidR="00000000" w:rsidDel="00000000" w:rsidP="00000000" w:rsidRDefault="00000000" w:rsidRPr="00000000" w14:paraId="000000AE">
      <w:pPr>
        <w:pStyle w:val="Heading2"/>
        <w:spacing w:after="120" w:before="24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7. CONCLUSION</w:t>
      </w:r>
      <w:r w:rsidDel="00000000" w:rsidR="00000000" w:rsidRPr="00000000">
        <w:rPr>
          <w:rtl w:val="0"/>
        </w:rPr>
      </w:r>
    </w:p>
    <w:p w:rsidR="00000000" w:rsidDel="00000000" w:rsidP="00000000" w:rsidRDefault="00000000" w:rsidRPr="00000000" w14:paraId="000000AF">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This paper has presented an ontological framework for encoding architectural design grammars as typed SWRL rule structures within a Neo4j property graph. The two-layer schema—OntoGraph for ontological vocabulary and Metagraph for rule decomposition—provides a modular, auditable, and technology-agnostic representation of design rules that can be directly evaluated against BIM geometry. The LLM-driven natural-language-to-SWRL pipeline reduces rule authoring time by approximately 70–96% relative to manual SWRL editing, while achieving 95% first-pass encoding accuracy across the case studies presented.</w:t>
      </w:r>
      <w:r w:rsidDel="00000000" w:rsidR="00000000" w:rsidRPr="00000000">
        <w:rPr>
          <w:rtl w:val="0"/>
        </w:rPr>
      </w:r>
    </w:p>
    <w:p w:rsidR="00000000" w:rsidDel="00000000" w:rsidP="00000000" w:rsidRDefault="00000000" w:rsidRPr="00000000" w14:paraId="000000B0">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The framework advances the state of the art in construction IT by demonstrating that design grammar formalisms, long confined to theoretical or prototype implementations, can be operationalised within a mainstream BIM workflow using openly available, containerised infrastructure. The violation-pattern semantics and rule-separation principle provide practical conventions that improve the debuggability and auditability of encoded rule sets.</w:t>
      </w:r>
      <w:r w:rsidDel="00000000" w:rsidR="00000000" w:rsidRPr="00000000">
        <w:rPr>
          <w:rtl w:val="0"/>
        </w:rPr>
      </w:r>
    </w:p>
    <w:p w:rsidR="00000000" w:rsidDel="00000000" w:rsidP="00000000" w:rsidRDefault="00000000" w:rsidRPr="00000000" w14:paraId="000000B1">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Future work will focus on extending the schema to support disjunctive and temporal constraints, integrating the framework with IfcOWL serialisation to eliminate the current reliance on bespoke BIM-to-graph data preparation, and evaluating the pipeline at larger scale using national building regulation corpora. The framework and supporting tools will be released as open source to support community adoption and comparative evaluation.</w:t>
      </w:r>
      <w:r w:rsidDel="00000000" w:rsidR="00000000" w:rsidRPr="00000000">
        <w:rPr>
          <w:rtl w:val="0"/>
        </w:rPr>
      </w:r>
    </w:p>
    <w:p w:rsidR="00000000" w:rsidDel="00000000" w:rsidP="00000000" w:rsidRDefault="00000000" w:rsidRPr="00000000" w14:paraId="000000B2">
      <w:pPr>
        <w:pStyle w:val="Heading2"/>
        <w:spacing w:after="120" w:before="24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ACKNOWLEDGEMENTS</w:t>
      </w:r>
      <w:r w:rsidDel="00000000" w:rsidR="00000000" w:rsidRPr="00000000">
        <w:rPr>
          <w:rtl w:val="0"/>
        </w:rPr>
      </w:r>
    </w:p>
    <w:p w:rsidR="00000000" w:rsidDel="00000000" w:rsidP="00000000" w:rsidRDefault="00000000" w:rsidRPr="00000000" w14:paraId="000000B3">
      <w:pPr>
        <w:spacing w:after="0" w:before="120" w:line="240" w:lineRule="auto"/>
        <w:jc w:val="both"/>
        <w:rPr/>
      </w:pPr>
      <w:r w:rsidDel="00000000" w:rsidR="00000000" w:rsidRPr="00000000">
        <w:rPr>
          <w:rFonts w:ascii="Times New Roman" w:cs="Times New Roman" w:eastAsia="Times New Roman" w:hAnsi="Times New Roman"/>
          <w:b w:val="0"/>
          <w:bCs w:val="0"/>
          <w:i w:val="0"/>
          <w:iCs w:val="0"/>
          <w:sz w:val="20"/>
          <w:szCs w:val="20"/>
          <w:rtl w:val="0"/>
        </w:rPr>
        <w:t xml:space="preserve">[This section will acknowledge supervisors, funding bodies, and collaborating institutions. To be completed before submission.]</w:t>
      </w:r>
      <w:r w:rsidDel="00000000" w:rsidR="00000000" w:rsidRPr="00000000">
        <w:rPr>
          <w:rtl w:val="0"/>
        </w:rPr>
      </w:r>
    </w:p>
    <w:p w:rsidR="00000000" w:rsidDel="00000000" w:rsidP="00000000" w:rsidRDefault="00000000" w:rsidRPr="00000000" w14:paraId="000000B4">
      <w:pPr>
        <w:pStyle w:val="Heading2"/>
        <w:spacing w:after="120" w:before="24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REFERENCES</w:t>
      </w:r>
      <w:r w:rsidDel="00000000" w:rsidR="00000000" w:rsidRPr="00000000">
        <w:rPr>
          <w:rtl w:val="0"/>
        </w:rPr>
      </w:r>
    </w:p>
    <w:p w:rsidR="00000000" w:rsidDel="00000000" w:rsidP="00000000" w:rsidRDefault="00000000" w:rsidRPr="00000000" w14:paraId="000000B5">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Beirão, J. N., Duarte, J. P., &amp; Stouffs, R. (2011). Creating Lisbon: Urban design with a city grammar. In Proceedings of the 2011 Symposium on Simulation for Architecture and Urban Design.</w:t>
      </w:r>
      <w:r w:rsidDel="00000000" w:rsidR="00000000" w:rsidRPr="00000000">
        <w:rPr>
          <w:rtl w:val="0"/>
        </w:rPr>
      </w:r>
    </w:p>
    <w:p w:rsidR="00000000" w:rsidDel="00000000" w:rsidP="00000000" w:rsidRDefault="00000000" w:rsidRPr="00000000" w14:paraId="000000B6">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Duarte, J. P. (2005). Towards the mass customization of housing: The grammar of Siza's Malagueira houses. Environment and Planning B: Planning and Design, 32(3), 347–380. https://doi.org/10.1068/b3144</w:t>
      </w:r>
      <w:r w:rsidDel="00000000" w:rsidR="00000000" w:rsidRPr="00000000">
        <w:rPr>
          <w:rtl w:val="0"/>
        </w:rPr>
      </w:r>
    </w:p>
    <w:p w:rsidR="00000000" w:rsidDel="00000000" w:rsidP="00000000" w:rsidRDefault="00000000" w:rsidRPr="00000000" w14:paraId="000000B7">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Eastman, C., Teicholz, P., Sacks, R., &amp; Liston, K. (2009). BIM handbook: A guide to building information modeling for owners, managers, designers, engineers and contractors. Wiley.</w:t>
      </w:r>
      <w:r w:rsidDel="00000000" w:rsidR="00000000" w:rsidRPr="00000000">
        <w:rPr>
          <w:rtl w:val="0"/>
        </w:rPr>
      </w:r>
    </w:p>
    <w:p w:rsidR="00000000" w:rsidDel="00000000" w:rsidP="00000000" w:rsidRDefault="00000000" w:rsidRPr="00000000" w14:paraId="000000B8">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Hjelseth, E., &amp; Nisbet, N. (2011). Capturing normative constraints by use of the semantic mark-up RASE methodology. In Proceedings of the 28th CIB W78 Conference.</w:t>
      </w:r>
      <w:r w:rsidDel="00000000" w:rsidR="00000000" w:rsidRPr="00000000">
        <w:rPr>
          <w:rtl w:val="0"/>
        </w:rPr>
      </w:r>
    </w:p>
    <w:p w:rsidR="00000000" w:rsidDel="00000000" w:rsidP="00000000" w:rsidRDefault="00000000" w:rsidRPr="00000000" w14:paraId="000000B9">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Karan, E. P., &amp; Irizarry, J. (2015). Extending BIM interoperability to preconstruction operations using geospatial analyses and semantic web services. Automation in Construction, 53, 1–12. https://doi.org/10.1016/j.autcon.2015.02.012</w:t>
      </w:r>
      <w:r w:rsidDel="00000000" w:rsidR="00000000" w:rsidRPr="00000000">
        <w:rPr>
          <w:rtl w:val="0"/>
        </w:rPr>
      </w:r>
    </w:p>
    <w:p w:rsidR="00000000" w:rsidDel="00000000" w:rsidP="00000000" w:rsidRDefault="00000000" w:rsidRPr="00000000" w14:paraId="000000BA">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McGlinn, K., Debruyne, C., McNerney, L., &amp; O'Sullivan, D. (2019). Integrating building information models with sensor data using the web of things. In Proceedings of the 12th International Conference on Semantic Web Applications and Tools for Life Sciences.</w:t>
      </w:r>
      <w:r w:rsidDel="00000000" w:rsidR="00000000" w:rsidRPr="00000000">
        <w:rPr>
          <w:rtl w:val="0"/>
        </w:rPr>
      </w:r>
    </w:p>
    <w:p w:rsidR="00000000" w:rsidDel="00000000" w:rsidP="00000000" w:rsidRDefault="00000000" w:rsidRPr="00000000" w14:paraId="000000BB">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Mitchell, W. J. (1990). The logic of architecture: Design, computation, and cognition. MIT Press.</w:t>
      </w:r>
      <w:r w:rsidDel="00000000" w:rsidR="00000000" w:rsidRPr="00000000">
        <w:rPr>
          <w:rtl w:val="0"/>
        </w:rPr>
      </w:r>
    </w:p>
    <w:p w:rsidR="00000000" w:rsidDel="00000000" w:rsidP="00000000" w:rsidRDefault="00000000" w:rsidRPr="00000000" w14:paraId="000000BC">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Pauwels, P., &amp; Terkaj, W. (2016). EXPRESS to OWL for construction industry: Towards a recommendable and usable ifcOWL ontology. Automation in Construction, 63, 100–133. https://doi.org/10.1016/j.autcon.2015.12.003</w:t>
      </w:r>
      <w:r w:rsidDel="00000000" w:rsidR="00000000" w:rsidRPr="00000000">
        <w:rPr>
          <w:rtl w:val="0"/>
        </w:rPr>
      </w:r>
    </w:p>
    <w:p w:rsidR="00000000" w:rsidDel="00000000" w:rsidP="00000000" w:rsidRDefault="00000000" w:rsidRPr="00000000" w14:paraId="000000BD">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Pauwels, P., Zhang, S., &amp; Lee, Y. C. (2017). Semantic web technologies in AEC industry: A literature overview. Automation in Construction, 83, 145–165. https://doi.org/10.1016/j.autcon.2017.03.009</w:t>
      </w:r>
      <w:r w:rsidDel="00000000" w:rsidR="00000000" w:rsidRPr="00000000">
        <w:rPr>
          <w:rtl w:val="0"/>
        </w:rPr>
      </w:r>
    </w:p>
    <w:p w:rsidR="00000000" w:rsidDel="00000000" w:rsidP="00000000" w:rsidRDefault="00000000" w:rsidRPr="00000000" w14:paraId="000000BE">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Rasmussen, M. H., Pauwels, P., Lefrançois, M., &amp; Schneider, G. F. (2017). Building topology ontology. In Proceedings of the 14th International Conference on Computing in Civil and Building Engineering.</w:t>
      </w:r>
      <w:r w:rsidDel="00000000" w:rsidR="00000000" w:rsidRPr="00000000">
        <w:rPr>
          <w:rtl w:val="0"/>
        </w:rPr>
      </w:r>
    </w:p>
    <w:p w:rsidR="00000000" w:rsidDel="00000000" w:rsidP="00000000" w:rsidRDefault="00000000" w:rsidRPr="00000000" w14:paraId="000000BF">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Rasmussen, M. H., Lefrançois, M., Schneider, G. F., &amp; Pauwels, P. (2020). BOT: The building topology ontology of the W3C linked building data community group. Semantic Web, 12(1), 143–161. https://doi.org/10.3233/SW-200385</w:t>
      </w:r>
      <w:r w:rsidDel="00000000" w:rsidR="00000000" w:rsidRPr="00000000">
        <w:rPr>
          <w:rtl w:val="0"/>
        </w:rPr>
      </w:r>
    </w:p>
    <w:p w:rsidR="00000000" w:rsidDel="00000000" w:rsidP="00000000" w:rsidRDefault="00000000" w:rsidRPr="00000000" w14:paraId="000000C0">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Sacks, R., Brilakis, I., Pikas, E., Xie, H. S., &amp; Girolami, M. (2020). Construction with digital twin information systems. Data-Centric Engineering, 1, e14. https://doi.org/10.1017/dce.2020.16</w:t>
      </w:r>
      <w:r w:rsidDel="00000000" w:rsidR="00000000" w:rsidRPr="00000000">
        <w:rPr>
          <w:rtl w:val="0"/>
        </w:rPr>
      </w:r>
    </w:p>
    <w:p w:rsidR="00000000" w:rsidDel="00000000" w:rsidP="00000000" w:rsidRDefault="00000000" w:rsidRPr="00000000" w14:paraId="000000C1">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Stiny, G., &amp; Gips, J. (1972). Shape grammars and the generative specification of painting and sculpture. In C. V. Freiman (Ed.), Information Processing 71 (pp. 1460–1465). North-Holland.</w:t>
      </w:r>
      <w:r w:rsidDel="00000000" w:rsidR="00000000" w:rsidRPr="00000000">
        <w:rPr>
          <w:rtl w:val="0"/>
        </w:rPr>
      </w:r>
    </w:p>
    <w:p w:rsidR="00000000" w:rsidDel="00000000" w:rsidP="00000000" w:rsidRDefault="00000000" w:rsidRPr="00000000" w14:paraId="000000C2">
      <w:pPr>
        <w:spacing w:after="0" w:before="100" w:line="240" w:lineRule="auto"/>
        <w:ind w:left="720" w:hanging="720"/>
        <w:rPr/>
      </w:pPr>
      <w:r w:rsidDel="00000000" w:rsidR="00000000" w:rsidRPr="00000000">
        <w:rPr>
          <w:rFonts w:ascii="Times New Roman" w:cs="Times New Roman" w:eastAsia="Times New Roman" w:hAnsi="Times New Roman"/>
          <w:b w:val="0"/>
          <w:bCs w:val="0"/>
          <w:i w:val="0"/>
          <w:iCs w:val="0"/>
          <w:sz w:val="20"/>
          <w:szCs w:val="20"/>
          <w:rtl w:val="0"/>
        </w:rPr>
        <w:t xml:space="preserve">Zhou, Y., Braun, A., &amp; Borrmann, A. (2022). Knowledge graph-based automated code compliance checking for building design. In Proceedings of the European Conference on Computing in Construction. https://doi.org/10.35490/EC3.2022.188</w:t>
      </w:r>
      <w:r w:rsidDel="00000000" w:rsidR="00000000" w:rsidRPr="00000000">
        <w:rPr>
          <w:rtl w:val="0"/>
        </w:rPr>
      </w:r>
    </w:p>
    <w:sectPr>
      <w:footerReference r:id="rId6" w:type="default"/>
      <w:pgSz w:h="16838" w:w="11906" w:orient="portrait"/>
      <w:pgMar w:bottom="2268"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spacing w:after="0" w:before="0" w:lineRule="auto"/>
      <w:jc w:val="left"/>
      <w:rPr/>
    </w:pPr>
    <w:r w:rsidDel="00000000" w:rsidR="00000000" w:rsidRPr="00000000">
      <w:rPr>
        <w:rFonts w:ascii="Times New Roman" w:cs="Times New Roman" w:eastAsia="Times New Roman" w:hAnsi="Times New Roman"/>
        <w:b w:val="0"/>
        <w:bCs w:val="0"/>
        <w:i w:val="1"/>
        <w:iCs w:val="1"/>
        <w:sz w:val="16"/>
        <w:szCs w:val="16"/>
        <w:rtl w:val="0"/>
      </w:rPr>
      <w:t xml:space="preserve">ITcon Vol. [XX] ([YYYY]); Arkhipov; pg. </w:t>
    </w:r>
    <w:r w:rsidDel="00000000" w:rsidR="00000000" w:rsidRPr="00000000">
      <w:rPr>
        <w:rFonts w:ascii="Times New Roman" w:cs="Times New Roman" w:eastAsia="Times New Roman" w:hAnsi="Times New Roman"/>
        <w:i w:val="1"/>
        <w:iCs w:val="1"/>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