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sz w:val="24"/>
          <w:szCs w:val="24"/>
        </w:rPr>
        <w:t xml:space="preserve">COVER PAGE</w:t>
      </w:r>
    </w:p>
    <w:p>
      <w:pPr>
        <w:spacing w:after="80" w:before="80" w:line="276" w:lineRule="auto"/>
        <w:jc w:val="both"/>
      </w:pPr>
      <w:r>
        <w:rPr>
          <w:rFonts w:ascii="Arial" w:cs="Arial" w:eastAsia="Arial" w:hAnsi="Arial"/>
          <w:sz w:val="22"/>
          <w:szCs w:val="22"/>
        </w:rPr>
        <w:t xml:space="preserve">(This page is submitted separately and is not included in the published version.)</w:t>
      </w:r>
    </w:p>
    <w:p>
      <w:pPr>
        <w:spacing w:after="60" w:before="60"/>
      </w:pPr>
      <w:r>
        <w:t xml:space="preserve"/>
      </w:r>
    </w:p>
    <w:p>
      <w:pPr>
        <w:spacing w:after="80" w:before="80"/>
      </w:pPr>
      <w:r>
        <w:rPr>
          <w:rFonts w:ascii="Arial" w:cs="Arial" w:eastAsia="Arial" w:hAnsi="Arial"/>
          <w:b/>
          <w:bCs/>
          <w:sz w:val="22"/>
          <w:szCs w:val="22"/>
        </w:rPr>
        <w:t xml:space="preserve">PAPER TITLE:</w:t>
      </w:r>
    </w:p>
    <w:p>
      <w:pPr>
        <w:spacing w:after="80" w:before="80" w:line="276" w:lineRule="auto"/>
        <w:jc w:val="both"/>
      </w:pPr>
      <w:r>
        <w:rPr>
          <w:rFonts w:ascii="Arial" w:cs="Arial" w:eastAsia="Arial" w:hAnsi="Arial"/>
          <w:sz w:val="22"/>
          <w:szCs w:val="22"/>
        </w:rPr>
        <w:t xml:space="preserve">Design Rule Encoding and Integration in Parametric Design Workflows</w:t>
      </w:r>
    </w:p>
    <w:p>
      <w:pPr>
        <w:spacing w:after="60" w:before="60"/>
      </w:pPr>
      <w:r>
        <w:t xml:space="preserve"/>
      </w:r>
    </w:p>
    <w:p>
      <w:pPr>
        <w:spacing w:after="80" w:before="80"/>
      </w:pPr>
      <w:r>
        <w:rPr>
          <w:rFonts w:ascii="Arial" w:cs="Arial" w:eastAsia="Arial" w:hAnsi="Arial"/>
          <w:b/>
          <w:bCs/>
          <w:sz w:val="22"/>
          <w:szCs w:val="22"/>
        </w:rPr>
        <w:t xml:space="preserve">CORRESPONDING AUTHOR:</w:t>
      </w:r>
    </w:p>
    <w:p>
      <w:pPr>
        <w:spacing w:after="80" w:before="80" w:line="276" w:lineRule="auto"/>
        <w:jc w:val="both"/>
      </w:pPr>
      <w:r>
        <w:rPr>
          <w:rFonts w:ascii="Arial" w:cs="Arial" w:eastAsia="Arial" w:hAnsi="Arial"/>
          <w:sz w:val="22"/>
          <w:szCs w:val="22"/>
        </w:rPr>
        <w:t xml:space="preserve">Evgenii Ermolenko, PhD Candidate</w:t>
      </w:r>
    </w:p>
    <w:p>
      <w:pPr>
        <w:spacing w:after="80" w:before="80" w:line="276" w:lineRule="auto"/>
        <w:jc w:val="both"/>
      </w:pPr>
      <w:r>
        <w:rPr>
          <w:rFonts w:ascii="Arial" w:cs="Arial" w:eastAsia="Arial" w:hAnsi="Arial"/>
          <w:sz w:val="22"/>
          <w:szCs w:val="22"/>
        </w:rPr>
        <w:t xml:space="preserve">EAAD / University of Minho</w:t>
      </w:r>
    </w:p>
    <w:p>
      <w:pPr>
        <w:spacing w:after="80" w:before="80" w:line="276" w:lineRule="auto"/>
        <w:jc w:val="both"/>
      </w:pPr>
      <w:r>
        <w:rPr>
          <w:rFonts w:ascii="Arial" w:cs="Arial" w:eastAsia="Arial" w:hAnsi="Arial"/>
          <w:sz w:val="22"/>
          <w:szCs w:val="22"/>
        </w:rPr>
        <w:t xml:space="preserve">E-mail: erarchitech@gmail.com</w:t>
      </w:r>
    </w:p>
    <w:p>
      <w:pPr>
        <w:spacing w:after="60" w:before="60"/>
      </w:pPr>
      <w:r>
        <w:t xml:space="preserve"/>
      </w:r>
    </w:p>
    <w:p>
      <w:pPr>
        <w:spacing w:after="80" w:before="80"/>
      </w:pPr>
      <w:r>
        <w:rPr>
          <w:rFonts w:ascii="Arial" w:cs="Arial" w:eastAsia="Arial" w:hAnsi="Arial"/>
          <w:b/>
          <w:bCs/>
          <w:sz w:val="22"/>
          <w:szCs w:val="22"/>
        </w:rPr>
        <w:t xml:space="preserve">WHAT WAS KNOWN BEFORE:</w:t>
      </w:r>
    </w:p>
    <w:p>
      <w:pPr>
        <w:spacing w:after="80" w:before="80" w:line="276" w:lineRule="auto"/>
        <w:jc w:val="both"/>
      </w:pPr>
      <w:r>
        <w:rPr>
          <w:rFonts w:ascii="Arial" w:cs="Arial" w:eastAsia="Arial" w:hAnsi="Arial"/>
          <w:sz w:val="22"/>
          <w:szCs w:val="22"/>
        </w:rPr>
        <w:t xml:space="preserve">•  SWRL-based rule representations for BIM compliance checking have been proposed in the literature, but their integration with live parametric authoring environments such as Grasshopper has not been systematically addressed.</w:t>
      </w:r>
    </w:p>
    <w:p>
      <w:pPr>
        <w:spacing w:after="80" w:before="80" w:line="276" w:lineRule="auto"/>
        <w:jc w:val="both"/>
      </w:pPr>
      <w:r>
        <w:rPr>
          <w:rFonts w:ascii="Arial" w:cs="Arial" w:eastAsia="Arial" w:hAnsi="Arial"/>
          <w:sz w:val="22"/>
          <w:szCs w:val="22"/>
        </w:rPr>
        <w:t xml:space="preserve">•  LLM-driven code generation for structured outputs (Cypher, SQL, SPARQL) has been demonstrated, but prompt engineering strategies for schema-constrained ontology generation remain underspecified in AEC research.</w:t>
      </w:r>
    </w:p>
    <w:p>
      <w:pPr>
        <w:spacing w:after="80" w:before="80" w:line="276" w:lineRule="auto"/>
        <w:jc w:val="both"/>
      </w:pPr>
      <w:r>
        <w:rPr>
          <w:rFonts w:ascii="Arial" w:cs="Arial" w:eastAsia="Arial" w:hAnsi="Arial"/>
          <w:sz w:val="22"/>
          <w:szCs w:val="22"/>
        </w:rPr>
        <w:t xml:space="preserve">•  Grasshopper has been used as a parametric evaluation environment in academic AEC studies, but component architectures for rule-driven compliance checking against graph-stored ontologies have not been described.</w:t>
      </w:r>
    </w:p>
    <w:p>
      <w:pPr>
        <w:spacing w:after="80" w:before="80" w:line="276" w:lineRule="auto"/>
        <w:jc w:val="both"/>
      </w:pPr>
      <w:r>
        <w:rPr>
          <w:rFonts w:ascii="Arial" w:cs="Arial" w:eastAsia="Arial" w:hAnsi="Arial"/>
          <w:sz w:val="22"/>
          <w:szCs w:val="22"/>
        </w:rPr>
        <w:t xml:space="preserve">•  Design state capture and multi-run comparison in parametric environments have been handled through file exports or proprietary tools, not through ontology-linked graph nodes queryable alongside rule results.</w:t>
      </w:r>
    </w:p>
    <w:p>
      <w:pPr>
        <w:spacing w:after="60" w:before="60"/>
      </w:pPr>
      <w:r>
        <w:t xml:space="preserve"/>
      </w:r>
    </w:p>
    <w:p>
      <w:pPr>
        <w:spacing w:after="80" w:before="80"/>
      </w:pPr>
      <w:r>
        <w:rPr>
          <w:rFonts w:ascii="Arial" w:cs="Arial" w:eastAsia="Arial" w:hAnsi="Arial"/>
          <w:b/>
          <w:bCs/>
          <w:sz w:val="22"/>
          <w:szCs w:val="22"/>
        </w:rPr>
        <w:t xml:space="preserve">WHAT THIS PAPER CONTRIBUTES:</w:t>
      </w:r>
    </w:p>
    <w:p>
      <w:pPr>
        <w:spacing w:after="80" w:before="80" w:line="276" w:lineRule="auto"/>
        <w:jc w:val="both"/>
      </w:pPr>
      <w:r>
        <w:rPr>
          <w:rFonts w:ascii="Arial" w:cs="Arial" w:eastAsia="Arial" w:hAnsi="Arial"/>
          <w:sz w:val="22"/>
          <w:szCs w:val="22"/>
        </w:rPr>
        <w:t xml:space="preserve">•  A detailed specification of the 17-node n8n workflow pipeline that converts natural-language design rules into validated SWRL expressions and idempotent Neo4j Cypher, including the async execution tracking pattern and the edit-mode match–propose–confirm round-trip.</w:t>
      </w:r>
    </w:p>
    <w:p>
      <w:pPr>
        <w:spacing w:after="80" w:before="80" w:line="276" w:lineRule="auto"/>
        <w:jc w:val="both"/>
      </w:pPr>
      <w:r>
        <w:rPr>
          <w:rFonts w:ascii="Arial" w:cs="Arial" w:eastAsia="Arial" w:hAnsi="Arial"/>
          <w:sz w:val="22"/>
          <w:szCs w:val="22"/>
        </w:rPr>
        <w:t xml:space="preserve">•  A bespoke SWRL parsing algorithm implemented as a C# regex-based classifier that decomposes SWRL atom chains into ClassAtom, DataPropertyAtom, and BuiltinAtom structures without dependence on external OWL libraries.</w:t>
      </w:r>
    </w:p>
    <w:p>
      <w:pPr>
        <w:spacing w:after="80" w:before="80" w:line="276" w:lineRule="auto"/>
        <w:jc w:val="both"/>
      </w:pPr>
      <w:r>
        <w:rPr>
          <w:rFonts w:ascii="Arial" w:cs="Arial" w:eastAsia="Arial" w:hAnsi="Arial"/>
          <w:sz w:val="22"/>
          <w:szCs w:val="22"/>
        </w:rPr>
        <w:t xml:space="preserve">•  An 8-component Grasshopper plugin architecture (CONNECTOR, METAGRAPH, RULE DECONSTRUCT, CLASSIFICATOR, DESIGN STATE, VALIDATOR, REINSTATE, VALIDATION RUNS) with documented I/O signatures, the ScheduleSolution async pattern, and the DataTree-to-variable binding mechanism.</w:t>
      </w:r>
    </w:p>
    <w:p>
      <w:pPr>
        <w:spacing w:after="80" w:before="80" w:line="276" w:lineRule="auto"/>
        <w:jc w:val="both"/>
      </w:pPr>
      <w:r>
        <w:rPr>
          <w:rFonts w:ascii="Arial" w:cs="Arial" w:eastAsia="Arial" w:hAnsi="Arial"/>
          <w:sz w:val="22"/>
          <w:szCs w:val="22"/>
        </w:rPr>
        <w:t xml:space="preserve">•  A workflow case study demonstrating the complete end-to-end cycle from natural-language rule ingestion through parametric evaluation to Speckle 3D overlay, including a constraint threshold edit round-trip and design state comparison.</w:t>
      </w:r>
    </w:p>
    <w:p>
      <w:pPr>
        <w:spacing w:after="60" w:before="60"/>
      </w:pPr>
      <w:r>
        <w:t xml:space="preserve"/>
      </w:r>
    </w:p>
    <w:p>
      <w:pPr>
        <w:spacing w:after="60" w:before="60"/>
      </w:pPr>
      <w:r>
        <w:t xml:space="preserve"/>
      </w:r>
    </w:p>
    <w:p>
      <w:pPr>
        <w:spacing w:after="140" w:before="280"/>
        <w:jc w:val="center"/>
      </w:pPr>
      <w:r>
        <w:rPr>
          <w:rFonts w:ascii="Arial" w:cs="Arial" w:eastAsia="Arial" w:hAnsi="Arial"/>
          <w:b/>
          <w:bCs/>
          <w:sz w:val="28"/>
          <w:szCs w:val="28"/>
        </w:rPr>
        <w:t xml:space="preserve">DESIGN RULE ENCODING AND INTEGRATION IN PARAMETRIC DESIGN WORKFLOWS</w:t>
      </w:r>
    </w:p>
    <w:p>
      <w:pPr>
        <w:spacing w:after="80" w:before="80"/>
        <w:jc w:val="center"/>
      </w:pPr>
      <w:r>
        <w:rPr>
          <w:rFonts w:ascii="Arial" w:cs="Arial" w:eastAsia="Arial" w:hAnsi="Arial"/>
          <w:i/>
          <w:iCs/>
          <w:sz w:val="20"/>
          <w:szCs w:val="20"/>
        </w:rPr>
        <w:t xml:space="preserve">SUBMITTED: May 2026     REVISED: [to be completed]     PUBLISHED: [to be completed] at https://itcon.org/</w:t>
      </w:r>
    </w:p>
    <w:p>
      <w:pPr>
        <w:spacing w:after="180" w:before="80"/>
        <w:jc w:val="center"/>
      </w:pPr>
      <w:r>
        <w:rPr>
          <w:rFonts w:ascii="Arial" w:cs="Arial" w:eastAsia="Arial" w:hAnsi="Arial"/>
          <w:sz w:val="22"/>
          <w:szCs w:val="22"/>
        </w:rPr>
        <w:t xml:space="preserve">Evgenii Ermolenko, PhD Candidate
EAAD / University of Minho
erarchitech@gmail.com</w:t>
      </w:r>
    </w:p>
    <w:p>
      <w:pPr>
        <w:spacing w:after="60" w:before="60"/>
      </w:pPr>
      <w:r>
        <w:t xml:space="preserve"/>
      </w:r>
    </w:p>
    <w:p>
      <w:pPr>
        <w:spacing w:after="80" w:before="80"/>
        <w:jc w:val="both"/>
      </w:pPr>
      <w:r>
        <w:rPr>
          <w:rFonts w:ascii="Arial" w:cs="Arial" w:eastAsia="Arial" w:hAnsi="Arial"/>
          <w:b/>
          <w:bCs/>
          <w:sz w:val="22"/>
          <w:szCs w:val="22"/>
        </w:rPr>
        <w:t xml:space="preserve">SUMMARY: </w:t>
      </w:r>
      <w:r>
        <w:rPr>
          <w:rFonts w:ascii="Arial" w:cs="Arial" w:eastAsia="Arial" w:hAnsi="Arial"/>
          <w:sz w:val="22"/>
          <w:szCs w:val="22"/>
        </w:rPr>
        <w:t xml:space="preserve">Integrating formal design rules with live parametric authoring environments requires a continuous engineering bridge between natural-language regulatory intent and machine-executable validation logic. Building on a two-layer ontology schema for design grammars reported previously (Ermolenko, 2026a), this paper presents the full engineering specification of the rule encoding and integration pipeline that populates and consumes that schema within a Grasshopper parametric workflow. The encoding pipeline is implemented as a 17-node n8n workflow that converts natural-language rule statements into validated SWRL expressions and idempotent Neo4j Cypher MERGE scripts. A schema-constrained prompt strategy embeds the full graph schema and a controlled domain vocabulary into each LLM inference call, keeping the system updatable without model retraining. A bespoke C# SWRL parser classifies atom chains into ClassAtom, DataPropertyAtom, and BuiltinAtom structures using handwritten regex, avoiding dependence on Java-based OWL libraries. An edit-mode mechanism detects update intent in natural-language input, extracts the target Rule identifier, and issues a MATCH–DELETE cleanup before re-creating only the changed atom subgraph. On the parametric side, an 8-component Grasshopper plugin provides a typed integration layer: CONNECTOR and METAGRAPH retrieve rules from Neo4j; RULE DECONSTRUCT and CLASSIFICATOR bind rule variables to parametric geometry; DESIGN STATE captures named slider values as versioned snapshots; VALIDATOR evaluates rules against bound values and publishes colour-coded violation overlays to a Speckle 3D viewer; and REINSTATE and VALIDATION RUNS enable retrieval and reinstatement of prior design states. A workflow case study on a residential facade design demonstrates the complete cycle from natural-language rule ingestion to Speckle overlay, including a constraint threshold edit and a two-state comparison. The contribution closes the engineering gap between ontological rule representations and live parametric compliance checking workflows.</w:t>
      </w:r>
    </w:p>
    <w:p>
      <w:pPr>
        <w:spacing w:after="60" w:before="60"/>
      </w:pPr>
      <w:r>
        <w:t xml:space="preserve"/>
      </w:r>
    </w:p>
    <w:p>
      <w:pPr>
        <w:spacing w:after="200" w:before="80"/>
      </w:pPr>
      <w:r>
        <w:rPr>
          <w:rFonts w:ascii="Arial" w:cs="Arial" w:eastAsia="Arial" w:hAnsi="Arial"/>
          <w:b/>
          <w:bCs/>
          <w:sz w:val="22"/>
          <w:szCs w:val="22"/>
        </w:rPr>
        <w:t xml:space="preserve">KEYWORDS: </w:t>
      </w:r>
      <w:r>
        <w:rPr>
          <w:rFonts w:ascii="Arial" w:cs="Arial" w:eastAsia="Arial" w:hAnsi="Arial"/>
          <w:i/>
          <w:iCs/>
          <w:sz w:val="22"/>
          <w:szCs w:val="22"/>
        </w:rPr>
        <w:t xml:space="preserve">design grammars; SWRL; rule encoding; Grasshopper; parametric compliance; LLM; Neo4j; Speckle; workflow integration</w:t>
      </w:r>
    </w:p>
    <w:p>
      <w:pPr>
        <w:pStyle w:val="Heading1"/>
        <w:spacing w:after="180" w:before="360"/>
      </w:pPr>
      <w:r>
        <w:rPr>
          <w:rFonts w:ascii="Arial" w:cs="Arial" w:eastAsia="Arial" w:hAnsi="Arial"/>
          <w:b/>
          <w:bCs/>
          <w:sz w:val="28"/>
          <w:szCs w:val="28"/>
        </w:rPr>
        <w:t xml:space="preserve">1. INTRODUCTION</w:t>
      </w:r>
    </w:p>
    <w:p>
      <w:pPr>
        <w:spacing w:after="80" w:before="80" w:line="276" w:lineRule="auto"/>
        <w:jc w:val="both"/>
      </w:pPr>
      <w:r>
        <w:rPr>
          <w:rFonts w:ascii="Arial" w:cs="Arial" w:eastAsia="Arial" w:hAnsi="Arial"/>
          <w:sz w:val="22"/>
          <w:szCs w:val="22"/>
        </w:rPr>
        <w:t xml:space="preserve">Automated compliance checking in architectural design has advanced considerably at the level of rule representation: ontological schemas now exist that encode design rules as SWRL expressions stored in property graph databases, and natural-language pipelines can populate these schemas with high accuracy (Eastman et al., 2009; Hjelseth &amp; Nisbet, 2011; Ermolenko, 2026a). However, a rule schema that exists in a graph database is only useful if it can be seamlessly consumed within the authoring environment where design decisions are actually made. For most computational designers, that environment is a visual programming platform such as Grasshopper for Rhinoceros 3D, where parametric sliders, geometry pipelines, and scripted components are wired together into evaluation networks that respond dynamically to design changes.</w:t>
      </w:r>
    </w:p>
    <w:p>
      <w:pPr>
        <w:spacing w:after="80" w:before="80" w:line="276" w:lineRule="auto"/>
        <w:jc w:val="both"/>
      </w:pPr>
      <w:r>
        <w:rPr>
          <w:rFonts w:ascii="Arial" w:cs="Arial" w:eastAsia="Arial" w:hAnsi="Arial"/>
          <w:sz w:val="22"/>
          <w:szCs w:val="22"/>
        </w:rPr>
        <w:t xml:space="preserve">Bridging the gap between graph-stored ontological rules and live parametric authoring requires solving several engineering problems that are distinct from the ontological modelling problem itself: how does a natural-language rule statement reliably become a graph-resident SWRL rule; how does a Grasshopper component retrieve, parse, and evaluate that rule against parametric geometry without synchronous blocking; how are design states captured and associated with validation runs so that iterative design histories remain queryable; and how does a constraint update propagate back through the graph without corrupting the surrounding rule structure.</w:t>
      </w:r>
    </w:p>
    <w:p>
      <w:pPr>
        <w:spacing w:after="80" w:before="80" w:line="276" w:lineRule="auto"/>
        <w:jc w:val="both"/>
      </w:pPr>
      <w:r>
        <w:rPr>
          <w:rFonts w:ascii="Arial" w:cs="Arial" w:eastAsia="Arial" w:hAnsi="Arial"/>
          <w:sz w:val="22"/>
          <w:szCs w:val="22"/>
        </w:rPr>
        <w:t xml:space="preserve">This paper addresses these engineering questions by presenting the full implementation of the rule encoding and integration pipeline for the Design Grammar System (DGS), a multi-service platform described at system level in Ermolenko (2026a). The ontological schema on which the pipeline operates—the two-layer OntoGraph and Metagraph structure, the node labels, relationship types, and violation-pattern semantics—is fully specified in that companion paper and is not redefined here. What this paper contributes is the engineering specification of the mechanisms that populate and consume the schema: the 17-node n8n workflow, the LLM prompt construction strategy, the C# SWRL parser, the Cypher idempotency mechanism, the edit-mode update flow, and the 8-component Grasshopper plugin architecture.</w:t>
      </w:r>
    </w:p>
    <w:p>
      <w:pPr>
        <w:spacing w:after="80" w:before="80" w:line="276" w:lineRule="auto"/>
        <w:jc w:val="both"/>
      </w:pPr>
      <w:r>
        <w:rPr>
          <w:rFonts w:ascii="Arial" w:cs="Arial" w:eastAsia="Arial" w:hAnsi="Arial"/>
          <w:sz w:val="22"/>
          <w:szCs w:val="22"/>
        </w:rPr>
        <w:t xml:space="preserve">The remainder of the paper is structured as follows. Section 2 reviews related work on rule encoding pipelines, parametric integration, and LLM-driven knowledge generation in AEC. Section 3 describes the overall system architecture as a data-flow pipeline. Section 4 details the rule encoding pipeline. Section 5 describes the Grasshopper plugin component architecture. Section 6 presents a workflow case study. Section 7 discusses design trade-offs and limitations. Section 8 concludes.</w:t>
      </w:r>
    </w:p>
    <w:p>
      <w:pPr>
        <w:pStyle w:val="Heading1"/>
        <w:spacing w:after="180" w:before="360"/>
      </w:pPr>
      <w:r>
        <w:rPr>
          <w:rFonts w:ascii="Arial" w:cs="Arial" w:eastAsia="Arial" w:hAnsi="Arial"/>
          <w:b/>
          <w:bCs/>
          <w:sz w:val="28"/>
          <w:szCs w:val="28"/>
        </w:rPr>
        <w:t xml:space="preserve">2. BACKGROUND AND RELATED WORK</w:t>
      </w:r>
    </w:p>
    <w:p>
      <w:pPr>
        <w:pStyle w:val="Heading2"/>
        <w:spacing w:after="140" w:before="280"/>
      </w:pPr>
      <w:r>
        <w:rPr>
          <w:rFonts w:ascii="Arial" w:cs="Arial" w:eastAsia="Arial" w:hAnsi="Arial"/>
          <w:b/>
          <w:bCs/>
          <w:sz w:val="24"/>
          <w:szCs w:val="24"/>
        </w:rPr>
        <w:t xml:space="preserve">2.1 Rule Encoding Pipelines in AEC Compliance Systems</w:t>
      </w:r>
    </w:p>
    <w:p>
      <w:pPr>
        <w:spacing w:after="80" w:before="80" w:line="276" w:lineRule="auto"/>
        <w:jc w:val="both"/>
      </w:pPr>
      <w:r>
        <w:rPr>
          <w:rFonts w:ascii="Arial" w:cs="Arial" w:eastAsia="Arial" w:hAnsi="Arial"/>
          <w:sz w:val="22"/>
          <w:szCs w:val="22"/>
        </w:rPr>
        <w:t xml:space="preserve">The translation of regulatory requirements into machine-executable rules has been approached in AEC research through a variety of representations: SPARQL queries over IfcOWL models (Pauwels &amp; Terkaj, 2016), SHACL constraint graphs over RDF data (Werbrouck et al., 2021), and LegalRuleML-based semantic markup (Hjelseth &amp; Nisbet, 2011). Common to these approaches is a requirement for either manual rule authoring by ontology experts or a bespoke parser trained on specific regulatory corpora. The manual authoring bottleneck has been identified as a principal barrier to practitioner adoption (Dimyadi &amp; Amor, 2013). Recent work has proposed LLM-assisted rule generation as a means of reducing this barrier, but most demonstrations remain at the level of isolated query generation (ChatCRS, various) rather than full pipeline integration with a BIM-connected execution environment.</w:t>
      </w:r>
    </w:p>
    <w:p>
      <w:pPr>
        <w:spacing w:after="80" w:before="80" w:line="276" w:lineRule="auto"/>
        <w:jc w:val="both"/>
      </w:pPr>
      <w:r>
        <w:rPr>
          <w:rFonts w:ascii="Arial" w:cs="Arial" w:eastAsia="Arial" w:hAnsi="Arial"/>
          <w:sz w:val="22"/>
          <w:szCs w:val="22"/>
        </w:rPr>
        <w:t xml:space="preserve">The DGS pipeline described here extends this line of work by providing a complete path from natural-language input to graph-committed rule to Grasshopper-evaluated compliance result, with async execution tracking and an edit-mode update round-trip—none of which have been reported in prior ontology-based compliance checking pipelines.</w:t>
      </w:r>
    </w:p>
    <w:p>
      <w:pPr>
        <w:pStyle w:val="Heading2"/>
        <w:spacing w:after="140" w:before="280"/>
      </w:pPr>
      <w:r>
        <w:rPr>
          <w:rFonts w:ascii="Arial" w:cs="Arial" w:eastAsia="Arial" w:hAnsi="Arial"/>
          <w:b/>
          <w:bCs/>
          <w:sz w:val="24"/>
          <w:szCs w:val="24"/>
        </w:rPr>
        <w:t xml:space="preserve">2.2 Parametric Environments and Rule-Based Evaluation</w:t>
      </w:r>
    </w:p>
    <w:p>
      <w:pPr>
        <w:spacing w:after="80" w:before="80" w:line="276" w:lineRule="auto"/>
        <w:jc w:val="both"/>
      </w:pPr>
      <w:r>
        <w:rPr>
          <w:rFonts w:ascii="Arial" w:cs="Arial" w:eastAsia="Arial" w:hAnsi="Arial"/>
          <w:sz w:val="22"/>
          <w:szCs w:val="22"/>
        </w:rPr>
        <w:t xml:space="preserve">Grasshopper for Rhinoceros 3D is widely used in computational architecture as a platform for parametric exploration (Woodbury, 2010). Its data-flow model, based on directed acyclic graphs of typed components, is well-suited to sequential rule evaluation pipelines. Prior work has used Grasshopper for geometry-driven constraint checking (Celani &amp; Vaz, 2012) and for live connection to IFC data (Vo et al., 2022), but integration with graph-stored ontological rule sets and asynchronous database retrieval has not been systematically described.</w:t>
      </w:r>
    </w:p>
    <w:p>
      <w:pPr>
        <w:spacing w:after="80" w:before="80" w:line="276" w:lineRule="auto"/>
        <w:jc w:val="both"/>
      </w:pPr>
      <w:r>
        <w:rPr>
          <w:rFonts w:ascii="Arial" w:cs="Arial" w:eastAsia="Arial" w:hAnsi="Arial"/>
          <w:sz w:val="22"/>
          <w:szCs w:val="22"/>
        </w:rPr>
        <w:t xml:space="preserve">A key engineering challenge in Grasshopper is the absence of native async/await support in component execution: all components must complete synchronously within a single ‘solution’ (evaluation cycle). The DGS plugin addresses this through the ScheduleSolution polling pattern described in Section 5.6, which enables non-blocking retrieval of Neo4j rule sets and HTTP-posted validation results within the synchronous Grasshopper execution model.</w:t>
      </w:r>
    </w:p>
    <w:p>
      <w:pPr>
        <w:pStyle w:val="Heading2"/>
        <w:spacing w:after="140" w:before="280"/>
      </w:pPr>
      <w:r>
        <w:rPr>
          <w:rFonts w:ascii="Arial" w:cs="Arial" w:eastAsia="Arial" w:hAnsi="Arial"/>
          <w:b/>
          <w:bCs/>
          <w:sz w:val="24"/>
          <w:szCs w:val="24"/>
        </w:rPr>
        <w:t xml:space="preserve">2.3 LLM-Driven Structured Output Generation</w:t>
      </w:r>
    </w:p>
    <w:p>
      <w:pPr>
        <w:spacing w:after="80" w:before="80" w:line="276" w:lineRule="auto"/>
        <w:jc w:val="both"/>
      </w:pPr>
      <w:r>
        <w:rPr>
          <w:rFonts w:ascii="Arial" w:cs="Arial" w:eastAsia="Arial" w:hAnsi="Arial"/>
          <w:sz w:val="22"/>
          <w:szCs w:val="22"/>
        </w:rPr>
        <w:t xml:space="preserve">The use of large language models for generating structured database queries has been demonstrated for SQL (Rajkumar et al., 2022) and Cypher (Jiang et al., 2023). A recurring finding is that embedding the target schema in the prompt—rather than fine-tuning on schema-specific examples—provides sufficient guidance for well-defined output grammars while remaining schema-agnostic (Wei et al., 2022). The DGS ingest pipeline applies this strategy to SWRL-plus-Cypher generation, augmenting the schema description with a controlled domain vocabulary, a few-shot example, and an IRI inventory of terms already resident in the graph, to maximise ontology reuse and reduce duplication.</w:t>
      </w:r>
    </w:p>
    <w:p>
      <w:pPr>
        <w:pStyle w:val="Heading2"/>
        <w:spacing w:after="140" w:before="280"/>
      </w:pPr>
      <w:r>
        <w:rPr>
          <w:rFonts w:ascii="Arial" w:cs="Arial" w:eastAsia="Arial" w:hAnsi="Arial"/>
          <w:b/>
          <w:bCs/>
          <w:sz w:val="24"/>
          <w:szCs w:val="24"/>
        </w:rPr>
        <w:t xml:space="preserve">2.4 Design State Management in Parametric Workflows</w:t>
      </w:r>
    </w:p>
    <w:p>
      <w:pPr>
        <w:spacing w:after="80" w:before="80" w:line="276" w:lineRule="auto"/>
        <w:jc w:val="both"/>
      </w:pPr>
      <w:r>
        <w:rPr>
          <w:rFonts w:ascii="Arial" w:cs="Arial" w:eastAsia="Arial" w:hAnsi="Arial"/>
          <w:sz w:val="22"/>
          <w:szCs w:val="22"/>
        </w:rPr>
        <w:t xml:space="preserve">Tracking and comparing parametric design states across iterative evaluation cycles is an open problem in computational design practice. Commercial tools such as Grasshopper’s native ‘Galapagos’ and third-party data management plugins (e.g., ShapeDiver, Speckle) provide partial solutions, but none couple state snapshots to rule-level compliance results in a queryable graph. The DESIGN STATE and VALIDATION RUNS components described in this paper address this gap by storing named parameter snapshots as DesignStateSnapshot nodes in the Neo4j Metagraph, directly associating each state with the validation run that produced it.</w:t>
      </w:r>
    </w:p>
    <w:p>
      <w:pPr>
        <w:pStyle w:val="Heading1"/>
        <w:spacing w:after="180" w:before="360"/>
      </w:pPr>
      <w:r>
        <w:rPr>
          <w:rFonts w:ascii="Arial" w:cs="Arial" w:eastAsia="Arial" w:hAnsi="Arial"/>
          <w:b/>
          <w:bCs/>
          <w:sz w:val="28"/>
          <w:szCs w:val="28"/>
        </w:rPr>
        <w:t xml:space="preserve">3. SYSTEM ARCHITECTURE</w:t>
      </w:r>
    </w:p>
    <w:p>
      <w:pPr>
        <w:spacing w:after="80" w:before="80" w:line="276" w:lineRule="auto"/>
        <w:jc w:val="both"/>
      </w:pPr>
      <w:r>
        <w:rPr>
          <w:rFonts w:ascii="Arial" w:cs="Arial" w:eastAsia="Arial" w:hAnsi="Arial"/>
          <w:sz w:val="22"/>
          <w:szCs w:val="22"/>
        </w:rPr>
        <w:t xml:space="preserve">Figure 1 illustrates the data-flow architecture of the Design Grammar System as a pipeline from natural-language input to Speckle 3D visualisation. The system comprises six principal service layers: (i) the browser-based single-page application (SPA) for rule authoring and graph visualisation; (ii) an n8n workflow automation platform hosting the NL→SWRL→Cypher encoding pipeline; (iii) an Ollama instance running a locally deployed llama3.1 language model at temperature 0.1 for deterministic output; (iv) a Neo4j 5 graph database storing the OntoGraph and Metagraph layers defined in Ermolenko (2026a); (v) a FastAPI data service providing the HTTP API for execution tracking, rule management, Speckle integration, and MCP access to Neo4j; and (vi) the Grasshopper plugin running within Rhinoceros 3D that retrieves rules from Neo4j, evaluates them against parametric geometry, and publishes results to a Speckle stream.</w:t>
      </w:r>
    </w:p>
    <w:p>
      <w:pPr>
        <w:spacing w:after="80" w:before="80" w:line="276" w:lineRule="auto"/>
        <w:jc w:val="both"/>
      </w:pPr>
      <w:r>
        <w:rPr>
          <w:rFonts w:ascii="Arial" w:cs="Arial" w:eastAsia="Arial" w:hAnsi="Arial"/>
          <w:sz w:val="22"/>
          <w:szCs w:val="22"/>
        </w:rPr>
        <w:t xml:space="preserve">All services are containerised and orchestrated via Docker Compose. The SPA communicates with Neo4j directly for graph visualisation via NeoVis and with the n8n webhooks for rule ingestion and graph querying. Grasshopper communicates exclusively through the FastAPI data service, which brokers all read and write operations to Neo4j and Speckle. This separation of concerns means the parametric environment never requires direct database credentials and can operate against a remote DGS deployment without reconfiguration beyond the data service URL.</w:t>
      </w:r>
    </w:p>
    <w:p>
      <w:pPr>
        <w:spacing w:after="80" w:before="80" w:line="276" w:lineRule="auto"/>
        <w:jc w:val="both"/>
      </w:pPr>
      <w:r>
        <w:rPr>
          <w:rFonts w:ascii="Arial" w:cs="Arial" w:eastAsia="Arial" w:hAnsi="Arial"/>
          <w:sz w:val="22"/>
          <w:szCs w:val="22"/>
        </w:rPr>
        <w:t xml:space="preserve">The encoding pipeline and the Grasshopper plugin operate on the same underlying graph schema. The schema itself—node labels, relationship types, key properties, and violation-pattern semantics—is fully defined in Ermolenko (2026a) and is not reproduced here. What follows in Sections 4 and 5 is the engineering specification of the mechanisms that write to and read from that schema.</w:t>
      </w:r>
    </w:p>
    <w:p>
      <w:pPr>
        <w:pStyle w:val="Heading1"/>
        <w:spacing w:after="180" w:before="360"/>
      </w:pPr>
      <w:r>
        <w:rPr>
          <w:rFonts w:ascii="Arial" w:cs="Arial" w:eastAsia="Arial" w:hAnsi="Arial"/>
          <w:b/>
          <w:bCs/>
          <w:sz w:val="28"/>
          <w:szCs w:val="28"/>
        </w:rPr>
        <w:t xml:space="preserve">4. THE RULE ENCODING PIPELINE</w:t>
      </w:r>
    </w:p>
    <w:p>
      <w:pPr>
        <w:pStyle w:val="Heading2"/>
        <w:spacing w:after="140" w:before="280"/>
      </w:pPr>
      <w:r>
        <w:rPr>
          <w:rFonts w:ascii="Arial" w:cs="Arial" w:eastAsia="Arial" w:hAnsi="Arial"/>
          <w:b/>
          <w:bCs/>
          <w:sz w:val="24"/>
          <w:szCs w:val="24"/>
        </w:rPr>
        <w:t xml:space="preserve">4.1 Overview: 17-Node n8n Workflow</w:t>
      </w:r>
    </w:p>
    <w:p>
      <w:pPr>
        <w:spacing w:after="80" w:before="80" w:line="276" w:lineRule="auto"/>
        <w:jc w:val="both"/>
      </w:pPr>
      <w:r>
        <w:rPr>
          <w:rFonts w:ascii="Arial" w:cs="Arial" w:eastAsia="Arial" w:hAnsi="Arial"/>
          <w:sz w:val="22"/>
          <w:szCs w:val="22"/>
        </w:rPr>
        <w:t xml:space="preserve">The rule encoding pipeline is implemented as an n8n workflow comprising 17 nodes, listed in Table 2. The workflow is triggered by an HTTP POST to a webhook endpoint, which immediately returns a 200 acknowledgement containing an executionId. This immediate acknowledgement pattern is necessary because LLM inference via the locally hosted Ollama instance takes 20–60 seconds, which exceeds the timeout threshold of most HTTP clients and reverse proxies. The caller receives the executionId and begins polling the FastAPI data service at ‘GET /execution-result/{executionId}’ every 1.5 seconds; each poll returns the current step number (1–5), progress percentage, and—once complete—the encoded rule summary.</w:t>
      </w:r>
    </w:p>
    <w:p>
      <w:pPr>
        <w:spacing w:after="80" w:before="80" w:line="276" w:lineRule="auto"/>
        <w:jc w:val="both"/>
      </w:pPr>
      <w:r>
        <w:rPr>
          <w:rFonts w:ascii="Arial" w:cs="Arial" w:eastAsia="Arial" w:hAnsi="Arial"/>
          <w:sz w:val="22"/>
          <w:szCs w:val="22"/>
        </w:rPr>
        <w:t xml:space="preserve">The workflow distinguishes two modes of operation based on keyword detection in the input text: creation mode (default) and edit mode. Edit mode is triggered when the input contains any of the keywords ‘edit’, ‘update’, ‘change’, or ‘modify’, followed by a Rule_Id pattern (e.g., R_URB_HEIGHT_MAX_75_V). In edit mode, the Parse LLM Output node extracts the target Rule_Id and the Prepare Graph Payload node prepends a MATCH–DELETE statement that removes all Atom, Var, and Literal nodes attached to the rule before the MERGE script re-creates them. This approach prevents orphaned atoms from accumulating in the Metagraph across successive edits, an important reliability property for long-lived projects with many iterative rule revisions.</w:t>
      </w:r>
    </w:p>
    <w:p>
      <w:pPr>
        <w:spacing w:after="60" w:before="60"/>
      </w:pPr>
      <w:r>
        <w:t xml:space="preserve"/>
      </w:r>
    </w:p>
    <w:p>
      <w:pPr>
        <w:spacing w:after="160" w:before="80"/>
        <w:jc w:val="center"/>
      </w:pPr>
      <w:r>
        <w:rPr>
          <w:rFonts w:ascii="Arial" w:cs="Arial" w:eastAsia="Arial" w:hAnsi="Arial"/>
          <w:i/>
          <w:iCs/>
          <w:sz w:val="20"/>
          <w:szCs w:val="20"/>
        </w:rPr>
        <w:t xml:space="preserve">Table 1. The 8-component Grasshopper plugin set, with inputs and outputs. [Figure 1 — data-flow architecture diagram to be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240"/>
        <w:gridCol w:w="2760"/>
      </w:tblGrid>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Component</w:t>
            </w:r>
          </w:p>
        </w:tc>
        <w:tc>
          <w:tcPr>
            <w:tcW w:type="dxa" w:w="1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Abbreviation</w:t>
            </w:r>
          </w:p>
        </w:tc>
        <w:tc>
          <w:tcPr>
            <w:tcW w:type="dxa" w:w="32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Primary inputs</w:t>
            </w:r>
          </w:p>
        </w:tc>
        <w:tc>
          <w:tcPr>
            <w:tcW w:type="dxa" w:w="27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Primary outputs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URI, User, Password, Database, Project, Connect (bool)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Connection (DG.ConnectionInfo)</w:t>
            </w:r>
          </w:p>
        </w:tc>
      </w:tr>
      <w:tr>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METAGRAPH</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w:t>
            </w:r>
          </w:p>
        </w:tc>
        <w:tc>
          <w:tcPr>
            <w:tcW w:type="dxa" w:w="32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Connection, Refresh (bool)</w:t>
            </w:r>
          </w:p>
        </w:tc>
        <w:tc>
          <w:tcPr>
            <w:tcW w:type="dxa" w:w="27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(DG.Rule list), RuleName, Count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 DECONSTRUCT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RDEC</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 (DG.Rule)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Variables (DG.Variable list), SWRL, RuleName, RuleDescription</w:t>
            </w:r>
          </w:p>
        </w:tc>
      </w:tr>
      <w:tr>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CLASSIFICATOR</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w:t>
            </w:r>
          </w:p>
        </w:tc>
        <w:tc>
          <w:tcPr>
            <w:tcW w:type="dxa" w:w="32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Variables, Values (DataTree), ElementRefs (DataTree, optional), State (optional)</w:t>
            </w:r>
          </w:p>
        </w:tc>
        <w:tc>
          <w:tcPr>
            <w:tcW w:type="dxa" w:w="27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BoundVariables (binding rows), MissingVariables, Status, State (pass-through)</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DESIGN STATE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DSGST</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 named inputs (Number / Integer / Boolean sliders, user-configurable)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(DG.DesignStateSnapshot)</w:t>
            </w:r>
          </w:p>
        </w:tc>
      </w:tr>
      <w:tr>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VALIDATOR</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w:t>
            </w:r>
          </w:p>
        </w:tc>
        <w:tc>
          <w:tcPr>
            <w:tcW w:type="dxa" w:w="32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Variables (binding rows), Run (bool), SendRules (bool), DataServiceUrl, State (optional)</w:t>
            </w:r>
          </w:p>
        </w:tc>
        <w:tc>
          <w:tcPr>
            <w:tcW w:type="dxa" w:w="27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 (bool list), RuleName, Report, FailingBindings, PublishStatus, ValidationRunId, ModelViewerUrl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REINSTATE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REIN</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(DesignStateSnapshot), DesignState (reference), Apply (bool rising-edge)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Result, Report (per-parameter status lines), Status</w:t>
            </w:r>
          </w:p>
        </w:tc>
      </w:tr>
      <w:tr>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RUNS</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VRUNS</w:t>
            </w:r>
          </w:p>
        </w:tc>
        <w:tc>
          <w:tcPr>
            <w:tcW w:type="dxa" w:w="32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Connection, Rule (filter, optional), State (filter, optional), Refresh (bool)</w:t>
            </w:r>
          </w:p>
        </w:tc>
        <w:tc>
          <w:tcPr>
            <w:tcW w:type="dxa" w:w="27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Runs (ValidationRunQueryResult list), Results, States (DesignStateSnapshot list), Status</w:t>
            </w:r>
          </w:p>
        </w:tc>
      </w:tr>
    </w:tbl>
    <w:p>
      <w:pPr>
        <w:spacing w:after="60" w:before="60"/>
      </w:pPr>
      <w:r>
        <w:t xml:space="preserve"/>
      </w:r>
    </w:p>
    <w:p>
      <w:pPr>
        <w:spacing w:after="60" w:before="60"/>
      </w:pPr>
      <w:r>
        <w:t xml:space="preserve"/>
      </w:r>
    </w:p>
    <w:p>
      <w:pPr>
        <w:spacing w:after="160" w:before="80"/>
        <w:jc w:val="center"/>
      </w:pPr>
      <w:r>
        <w:rPr>
          <w:rFonts w:ascii="Arial" w:cs="Arial" w:eastAsia="Arial" w:hAnsi="Arial"/>
          <w:i/>
          <w:iCs/>
          <w:sz w:val="20"/>
          <w:szCs w:val="20"/>
        </w:rPr>
        <w:t xml:space="preserve">Table 2. The 17-node n8n rule ingestion workflow, node types,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400"/>
        <w:gridCol w:w="4200"/>
      </w:tblGrid>
      <w:tr>
        <w:tc>
          <w:tcPr>
            <w:tcW w:type="dxa" w:w="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Node name</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Node type</w:t>
            </w:r>
          </w:p>
        </w:tc>
        <w:tc>
          <w:tcPr>
            <w:tcW w:type="dxa" w:w="4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Function</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Ingest Rules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Webhook</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Receives HTTP POST {rules_text, project}; responds with immediate 200 ACK + executionId</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Input Defaults</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Normalises missing fields; sets project default</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Mark Running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/execution-result {status:"running", step:1, progress:10}</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Fetch Existing Entities</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Reads OntoGraph IRIs already in Neo4j for the project (reuse via MERGE)</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 LLM Prompt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Function (JS)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Assembles schema constraints, controlled vocabulary, few-shot example, existing IRIs, and user rule text</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Mark Step 2</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/execution-result {step:2, progress:30}</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Ollama Generate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to Ollama API with prompt; temperature=0.1; returns single-line SWRL + Cypher block</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Mark Step 3</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/execution-result {step:3, progress:60}</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Parse LLM Output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Function (JS)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Strips markdown fences; validates bracket nesting; detects edit-mode keywords and extracts Rule_Id for cleanup</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Prepare Graph Payload</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Function (JS)</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Wraps Cypher in {statements:[{statement:...}]} for Neo4j HTTP API; prepends MATCH-DELETE cleanup in edit mode</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Execute LLM Cypher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/neo4j/db/neo4j/tx/commit; commits MERGE statements to graph</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Mark Step 4</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/execution-result {step:4, progress:85}</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Annotate Graph Props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Tags newly created nodes with graph and project properties where missing (post-ingestion cleanup)</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 Response</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Function (JS)</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Formats success/error payload with encoded rule summary</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 Result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 Request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/execution-result {status:"completed", progress:100, result:{…}}</w:t>
            </w:r>
          </w:p>
        </w:tc>
      </w:tr>
      <w:tr>
        <w:tc>
          <w:tcPr>
            <w:tcW w:type="dxa" w:w="3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Format Ack</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Function (JS)</w:t>
            </w:r>
          </w:p>
        </w:tc>
        <w:tc>
          <w:tcPr>
            <w:tcW w:type="dxa" w:w="42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Builds final human-readable confirmation message</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Respond Ack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Respond to Webhook</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Returns JSON response to original caller</w:t>
            </w:r>
          </w:p>
        </w:tc>
      </w:tr>
    </w:tbl>
    <w:p>
      <w:pPr>
        <w:spacing w:after="60" w:before="60"/>
      </w:pPr>
      <w:r>
        <w:t xml:space="preserve"/>
      </w:r>
    </w:p>
    <w:p>
      <w:pPr>
        <w:pStyle w:val="Heading2"/>
        <w:spacing w:after="140" w:before="280"/>
      </w:pPr>
      <w:r>
        <w:rPr>
          <w:rFonts w:ascii="Arial" w:cs="Arial" w:eastAsia="Arial" w:hAnsi="Arial"/>
          <w:b/>
          <w:bCs/>
          <w:sz w:val="24"/>
          <w:szCs w:val="24"/>
        </w:rPr>
        <w:t xml:space="preserve">4.2 LLM Prompt Construction</w:t>
      </w:r>
    </w:p>
    <w:p>
      <w:pPr>
        <w:spacing w:after="80" w:before="80" w:line="276" w:lineRule="auto"/>
        <w:jc w:val="both"/>
      </w:pPr>
      <w:r>
        <w:rPr>
          <w:rFonts w:ascii="Arial" w:cs="Arial" w:eastAsia="Arial" w:hAnsi="Arial"/>
          <w:sz w:val="22"/>
          <w:szCs w:val="22"/>
        </w:rPr>
        <w:t xml:space="preserve">The Build LLM Prompt node (node 5) assembles a structured prompt from five components concatenated in a fixed order. Component 1 is the graph schema specification: a verbatim description of the allowed node labels (Class, DatatypeProperty, ObjectProperty, Builtin, Rule, Atom, Var, Literal), their key properties and graph layer assignments, and the four allowed relationship types (HAS_BODY, HAS_HEAD, REFERS_TO, ARG). This schema block is derived directly from the cypher_template.txt reference file, ensuring that the LLM’s schema knowledge is always consistent with the live database schema.</w:t>
      </w:r>
    </w:p>
    <w:p>
      <w:pPr>
        <w:spacing w:after="80" w:before="80" w:line="276" w:lineRule="auto"/>
        <w:jc w:val="both"/>
      </w:pPr>
      <w:r>
        <w:rPr>
          <w:rFonts w:ascii="Arial" w:cs="Arial" w:eastAsia="Arial" w:hAnsi="Arial"/>
          <w:sz w:val="22"/>
          <w:szCs w:val="22"/>
        </w:rPr>
        <w:t xml:space="preserve">Component 2 is the semantic mapping table: a concise enumeration of how natural-language constraint phrases (e.g., ‘at most X’, ‘at least X’, ‘equal to X’) map to SWRL built-in predicates (swrlb:greaterThan, swrlb:lessThan, swrlb:notEqual) in violation-pattern semantics. Component 3 is the rule-separation directive, which explicitly states that range constraints must be decomposed into two separate Rule nodes. Component 4 is a list of IRI values for Class, DatatypeProperty, and ObjectProperty nodes already present in the graph for the active project—fetched by node 4 (Fetch Existing Entities) before prompt construction—so that the LLM can reuse existing terms via MERGE rather than creating duplicates with slightly different IRIs. Component 5 is the user’s natural-language rule text, appended verbatim at the end of the prompt.</w:t>
      </w:r>
    </w:p>
    <w:p>
      <w:pPr>
        <w:spacing w:after="80" w:before="80" w:line="276" w:lineRule="auto"/>
        <w:jc w:val="both"/>
      </w:pPr>
      <w:r>
        <w:rPr>
          <w:rFonts w:ascii="Arial" w:cs="Arial" w:eastAsia="Arial" w:hAnsi="Arial"/>
          <w:sz w:val="22"/>
          <w:szCs w:val="22"/>
        </w:rPr>
        <w:t xml:space="preserve">The model is called with temperature 0.1, which substantially reduces token-level entropy and promotes consistent, schema-compliant output across repeated calls with similar inputs. No system-level fine-tuning is applied: schema changes are absorbed by editing the cypher_template.txt reference file, which feeds component 1 of the prompt, without requiring model retraining or specialised tooling.</w:t>
      </w:r>
    </w:p>
    <w:p>
      <w:pPr>
        <w:pStyle w:val="Heading2"/>
        <w:spacing w:after="140" w:before="280"/>
      </w:pPr>
      <w:r>
        <w:rPr>
          <w:rFonts w:ascii="Arial" w:cs="Arial" w:eastAsia="Arial" w:hAnsi="Arial"/>
          <w:b/>
          <w:bCs/>
          <w:sz w:val="24"/>
          <w:szCs w:val="24"/>
        </w:rPr>
        <w:t xml:space="preserve">4.3 SWRL Parsing: Bespoke Regex Algorithm</w:t>
      </w:r>
    </w:p>
    <w:p>
      <w:pPr>
        <w:spacing w:after="80" w:before="80" w:line="276" w:lineRule="auto"/>
        <w:jc w:val="both"/>
      </w:pPr>
      <w:r>
        <w:rPr>
          <w:rFonts w:ascii="Arial" w:cs="Arial" w:eastAsia="Arial" w:hAnsi="Arial"/>
          <w:sz w:val="22"/>
          <w:szCs w:val="22"/>
        </w:rPr>
        <w:t xml:space="preserve">The output of the LLM inference step is a natural-language confirmation line followed by a Cypher MERGE block. Before the Cypher is executed, the Parse LLM Output node (node 9) extracts the embedded SWRL expression—a single-line string of the form Body→Head—and validates its structure. On the C# side of the pipeline (within the Grasshopper plugin), a dedicated SwrlRuleParser class in DG.Core.Parsing performs full structural decomposition of SWRL expressions retrieved from the graph into typed Atom objects consumed by the RuleEvaluator.</w:t>
      </w:r>
    </w:p>
    <w:p>
      <w:pPr>
        <w:spacing w:after="80" w:before="80" w:line="276" w:lineRule="auto"/>
        <w:jc w:val="both"/>
      </w:pPr>
      <w:r>
        <w:rPr>
          <w:rFonts w:ascii="Arial" w:cs="Arial" w:eastAsia="Arial" w:hAnsi="Arial"/>
          <w:sz w:val="22"/>
          <w:szCs w:val="22"/>
        </w:rPr>
        <w:t xml:space="preserve">The parsing algorithm proceeds as follows. The input string is split on the ‘→’ delimiter to separate the body clause from the head clause; an expression containing a number of ‘→’ tokens other than exactly one raises a FormatException. Each clause is then split on the ‘^’ delimiter to obtain individual atom text strings. Each atom text is matched against the regex ^(?&lt;predicate&gt;[^\(]+)\((?&lt;args&gt;.*)\)$ to extract the predicate name and argument list. Atom classification follows the rule shown in Table 3: predicates beginning with the prefix ‘swrlb:’ are classified as BuiltinAtom; predicates with a single argument are classified as ClassAtom; predicates with two or more arguments are classified as DataPropertyAtom. Each argument is independently classified as a Variable (if it begins with ‘?’), a Literal (if it is parseable as a decimal or integer constant), or a String (otherwise). Variables are deduplicated across body and head atoms to build the unified variable inventory exposed by the RULE DECONSTRUCT component.</w:t>
      </w:r>
    </w:p>
    <w:p>
      <w:pPr>
        <w:spacing w:after="80" w:before="80" w:line="276" w:lineRule="auto"/>
        <w:jc w:val="both"/>
      </w:pPr>
      <w:r>
        <w:rPr>
          <w:rFonts w:ascii="Arial" w:cs="Arial" w:eastAsia="Arial" w:hAnsi="Arial"/>
          <w:sz w:val="22"/>
          <w:szCs w:val="22"/>
        </w:rPr>
        <w:t xml:space="preserve">This approach deliberately targets the SWRL subset used by the Design Grammar System—ClassAtom, DataPropertyAtom, and BuiltinAtom patterns—rather than implementing a general SWRL parser. The trade-off is discussed in Section 7.1. The dependency footprint of DG.Core is kept minimal (Neo4j.Driver only), and the parser is exercised by a full unit test suite in DG.Tests that covers normal cases, edge cases (single-atom rules, head-only rules, boolean literals), and error cases (missing delimiter, malformed atom, unsupported predicate).</w:t>
      </w:r>
    </w:p>
    <w:p>
      <w:pPr>
        <w:spacing w:after="60" w:before="60"/>
      </w:pPr>
      <w:r>
        <w:t xml:space="preserve"/>
      </w:r>
    </w:p>
    <w:p>
      <w:pPr>
        <w:spacing w:after="160" w:before="80"/>
        <w:jc w:val="center"/>
      </w:pPr>
      <w:r>
        <w:rPr>
          <w:rFonts w:ascii="Arial" w:cs="Arial" w:eastAsia="Arial" w:hAnsi="Arial"/>
          <w:i/>
          <w:iCs/>
          <w:sz w:val="20"/>
          <w:szCs w:val="20"/>
        </w:rPr>
        <w:t xml:space="preserve">Table 3. SWRL atom type classification rules used by SwrlRuleParser.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Atom type</w:t>
            </w:r>
          </w:p>
        </w:tc>
        <w:tc>
          <w:tcPr>
            <w:tcW w:type="dxa" w:w="2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Regex classification rule</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Role in SWRL rule</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Example predicate</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ClassAtom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predicate does not start with swrlb: AND arg count = 1</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Asserts class membership of a variable (entity type filter)</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Building(?b)</w:t>
            </w:r>
          </w:p>
        </w:tc>
      </w:tr>
      <w:tr>
        <w:tc>
          <w:tcPr>
            <w:tcW w:type="dxa" w:w="21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DataPropertyAtom</w:t>
            </w:r>
          </w:p>
        </w:tc>
        <w:tc>
          <w:tcPr>
            <w:tcW w:type="dxa" w:w="21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predicate does not start with swrlb: AND arg count ≥ 2</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Binds a numeric or boolean attribute of an entity to a variable</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hasHeightM(?b, ?h)</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BuiltinAtom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predicate starts with swrlb: (prefix match)</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Numeric comparison or arithmetic operation; fires violation condition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swrlb:greaterThan(?h, 75.0)</w:t>
            </w:r>
          </w:p>
        </w:tc>
      </w:tr>
    </w:tbl>
    <w:p>
      <w:pPr>
        <w:spacing w:after="60" w:before="60"/>
      </w:pPr>
      <w:r>
        <w:t xml:space="preserve"/>
      </w:r>
    </w:p>
    <w:p>
      <w:pPr>
        <w:pStyle w:val="Heading2"/>
        <w:spacing w:after="140" w:before="280"/>
      </w:pPr>
      <w:r>
        <w:rPr>
          <w:rFonts w:ascii="Arial" w:cs="Arial" w:eastAsia="Arial" w:hAnsi="Arial"/>
          <w:b/>
          <w:bCs/>
          <w:sz w:val="24"/>
          <w:szCs w:val="24"/>
        </w:rPr>
        <w:t xml:space="preserve">4.4 Cypher Generation and Idempotent MERGE Pattern</w:t>
      </w:r>
    </w:p>
    <w:p>
      <w:pPr>
        <w:spacing w:after="80" w:before="80" w:line="276" w:lineRule="auto"/>
        <w:jc w:val="both"/>
      </w:pPr>
      <w:r>
        <w:rPr>
          <w:rFonts w:ascii="Arial" w:cs="Arial" w:eastAsia="Arial" w:hAnsi="Arial"/>
          <w:sz w:val="22"/>
          <w:szCs w:val="22"/>
        </w:rPr>
        <w:t xml:space="preserve">The Cypher block produced by the LLM follows the template documented in cypher_template.txt. Every node creation uses MERGE keyed on the node’s primary identifier (iri for ontology terms, Rule_Id for Rule nodes, Atom_Id for Atom nodes, name for Var nodes, and the compound key lex + datatype for Literal nodes), followed by SET statements for all mutable properties. This MERGE-then-SET pattern ensures full idempotency: running the same Cypher script twice creates no duplicates and, for edit operations, updates only the changed property values while preserving the rest of the node’s surrounding graph structure.</w:t>
      </w:r>
    </w:p>
    <w:p>
      <w:pPr>
        <w:spacing w:after="80" w:before="80" w:line="276" w:lineRule="auto"/>
        <w:jc w:val="both"/>
      </w:pPr>
      <w:r>
        <w:rPr>
          <w:rFonts w:ascii="Arial" w:cs="Arial" w:eastAsia="Arial" w:hAnsi="Arial"/>
          <w:sz w:val="22"/>
          <w:szCs w:val="22"/>
        </w:rPr>
        <w:t xml:space="preserve">Atom identifiers follow the convention {Rule_Id}_A{n} for body atoms and {Rule_Id}_H{n} for head atoms, where n is the 1-based position index of the atom within its clause. This deterministic identifier scheme means that re-running the encoding pipeline for a rule with an unchanged body structure will MERGE onto the same Atom nodes rather than creating new ones, which is important for preserving any user annotations or session history nodes that reference specific Atom_Ids.</w:t>
      </w:r>
    </w:p>
    <w:p>
      <w:pPr>
        <w:spacing w:after="80" w:before="80" w:line="276" w:lineRule="auto"/>
        <w:jc w:val="both"/>
      </w:pPr>
      <w:r>
        <w:rPr>
          <w:rFonts w:ascii="Arial" w:cs="Arial" w:eastAsia="Arial" w:hAnsi="Arial"/>
          <w:sz w:val="22"/>
          <w:szCs w:val="22"/>
        </w:rPr>
        <w:t xml:space="preserve">Before execution, the Prepare Graph Payload node validates the Cypher string for bracket nesting: it counts opening and closing parentheses and curly braces and raises an error if the counts do not match. This lightweight syntactic check catches the most common class of LLM output error—unclosed parentheses in argument lists—before it reaches the Neo4j transaction endpoint, avoiding partially committed graphs that would require manual cleanup.</w:t>
      </w:r>
    </w:p>
    <w:p>
      <w:pPr>
        <w:pStyle w:val="Heading2"/>
        <w:spacing w:after="140" w:before="280"/>
      </w:pPr>
      <w:r>
        <w:rPr>
          <w:rFonts w:ascii="Arial" w:cs="Arial" w:eastAsia="Arial" w:hAnsi="Arial"/>
          <w:b/>
          <w:bCs/>
          <w:sz w:val="24"/>
          <w:szCs w:val="24"/>
        </w:rPr>
        <w:t xml:space="preserve">4.5 Edit Mode: Match–Propose–Confirm Update Flow</w:t>
      </w:r>
    </w:p>
    <w:p>
      <w:pPr>
        <w:spacing w:after="80" w:before="80" w:line="276" w:lineRule="auto"/>
        <w:jc w:val="both"/>
      </w:pPr>
      <w:r>
        <w:rPr>
          <w:rFonts w:ascii="Arial" w:cs="Arial" w:eastAsia="Arial" w:hAnsi="Arial"/>
          <w:sz w:val="22"/>
          <w:szCs w:val="22"/>
        </w:rPr>
        <w:t xml:space="preserve">When edit mode is detected, the encoding pipeline executes an additional pre-commit step to clean up the atom subgraph of the rule being modified. The Prepare Graph Payload node prepends the following Cypher to the MERGE script:</w:t>
      </w:r>
    </w:p>
    <w:p>
      <w:pPr>
        <w:spacing w:after="100" w:before="100"/>
        <w:ind w:left="720"/>
        <w:jc w:val="left"/>
      </w:pPr>
      <w:r>
        <w:rPr>
          <w:rFonts w:ascii="Courier New" w:cs="Courier New" w:eastAsia="Courier New" w:hAnsi="Courier New"/>
          <w:sz w:val="19"/>
          <w:szCs w:val="19"/>
        </w:rPr>
        <w:t xml:space="preserve">MATCH (r:Rule {Rule_Id: '&lt;target_id&gt;', project: '&lt;project&gt;'})</w:t>
      </w:r>
    </w:p>
    <w:p>
      <w:pPr>
        <w:spacing w:after="100" w:before="100"/>
        <w:ind w:left="720"/>
        <w:jc w:val="left"/>
      </w:pPr>
      <w:r>
        <w:rPr>
          <w:rFonts w:ascii="Courier New" w:cs="Courier New" w:eastAsia="Courier New" w:hAnsi="Courier New"/>
          <w:sz w:val="19"/>
          <w:szCs w:val="19"/>
        </w:rPr>
        <w:t xml:space="preserve">OPTIONAL MATCH (r)-[:HAS_BODY|HAS_HEAD]-&gt;(a:Atom)</w:t>
      </w:r>
    </w:p>
    <w:p>
      <w:pPr>
        <w:spacing w:after="100" w:before="100"/>
        <w:ind w:left="720"/>
        <w:jc w:val="left"/>
      </w:pPr>
      <w:r>
        <w:rPr>
          <w:rFonts w:ascii="Courier New" w:cs="Courier New" w:eastAsia="Courier New" w:hAnsi="Courier New"/>
          <w:sz w:val="19"/>
          <w:szCs w:val="19"/>
        </w:rPr>
        <w:t xml:space="preserve">OPTIONAL MATCH (a)-[:ARG]-&gt;(av)</w:t>
      </w:r>
    </w:p>
    <w:p>
      <w:pPr>
        <w:spacing w:after="100" w:before="100"/>
        <w:ind w:left="720"/>
        <w:jc w:val="left"/>
      </w:pPr>
      <w:r>
        <w:rPr>
          <w:rFonts w:ascii="Courier New" w:cs="Courier New" w:eastAsia="Courier New" w:hAnsi="Courier New"/>
          <w:sz w:val="19"/>
          <w:szCs w:val="19"/>
        </w:rPr>
        <w:t xml:space="preserve">DETACH DELETE a, av</w:t>
      </w:r>
    </w:p>
    <w:p>
      <w:pPr>
        <w:spacing w:after="80" w:before="80" w:line="276" w:lineRule="auto"/>
        <w:jc w:val="both"/>
      </w:pPr>
      <w:r>
        <w:rPr>
          <w:rFonts w:ascii="Arial" w:cs="Arial" w:eastAsia="Arial" w:hAnsi="Arial"/>
          <w:sz w:val="22"/>
          <w:szCs w:val="22"/>
        </w:rPr>
        <w:t xml:space="preserve">This cleanup removes all Atom, Var, and Literal nodes attached to the target rule without touching the rule’s Class or DatatypeProperty references in the OntoGraph, which may be shared with other rules. The subsequent MERGE script then re-creates the complete atom subgraph from scratch, using the updated threshold values or modified predicates returned by the LLM. Because Var nodes are scoped to the project rather than to individual rules (they represent shared logical variables), the cleanup targets only the ARG-linked argument nodes specifically attached to the affected atoms, not all Var nodes with the same name.</w:t>
      </w:r>
    </w:p>
    <w:p>
      <w:pPr>
        <w:spacing w:after="80" w:before="80" w:line="276" w:lineRule="auto"/>
        <w:jc w:val="both"/>
      </w:pPr>
      <w:r>
        <w:rPr>
          <w:rFonts w:ascii="Arial" w:cs="Arial" w:eastAsia="Arial" w:hAnsi="Arial"/>
          <w:sz w:val="22"/>
          <w:szCs w:val="22"/>
        </w:rPr>
        <w:t xml:space="preserve">For knowledge note updates in the system’s broader knowledge graph, a three-step match–propose–confirm pattern is used (Ermolenko, 2026a), where the user reviews an LLM-proposed diff before committing. For design rules, the equivalent review step is the Cypher visualisation panel in the SPA, which displays the MERGE script and the post-execution graph state for user verification before the update is considered final. This transparency is important for auditability in regulatory compliance contexts, where the provenance of each rule version must be traceable.</w:t>
      </w:r>
    </w:p>
    <w:p>
      <w:pPr>
        <w:pStyle w:val="Heading1"/>
        <w:spacing w:after="180" w:before="360"/>
      </w:pPr>
      <w:r>
        <w:rPr>
          <w:rFonts w:ascii="Arial" w:cs="Arial" w:eastAsia="Arial" w:hAnsi="Arial"/>
          <w:b/>
          <w:bCs/>
          <w:sz w:val="28"/>
          <w:szCs w:val="28"/>
        </w:rPr>
        <w:t xml:space="preserve">5. GRASSHOPPER PLUGIN ARCHITECTURE</w:t>
      </w:r>
    </w:p>
    <w:p>
      <w:pPr>
        <w:pStyle w:val="Heading2"/>
        <w:spacing w:after="140" w:before="280"/>
      </w:pPr>
      <w:r>
        <w:rPr>
          <w:rFonts w:ascii="Arial" w:cs="Arial" w:eastAsia="Arial" w:hAnsi="Arial"/>
          <w:b/>
          <w:bCs/>
          <w:sz w:val="24"/>
          <w:szCs w:val="24"/>
        </w:rPr>
        <w:t xml:space="preserve">5.1 Design Principles</w:t>
      </w:r>
    </w:p>
    <w:p>
      <w:pPr>
        <w:spacing w:after="80" w:before="80" w:line="276" w:lineRule="auto"/>
        <w:jc w:val="both"/>
      </w:pPr>
      <w:r>
        <w:rPr>
          <w:rFonts w:ascii="Arial" w:cs="Arial" w:eastAsia="Arial" w:hAnsi="Arial"/>
          <w:sz w:val="22"/>
          <w:szCs w:val="22"/>
        </w:rPr>
        <w:t xml:space="preserve">The Grasshopper plugin (DG.Grasshopper) is a typed component library that acts as a statically typed integration layer between the DGS graph and Rhinoceros 3D parametric geometry. Three design principles govern the component architecture. First, the graph-resident rule representation is consumed as read-only by the plugin; no component writes directly to Neo4j—all writes go through the FastAPI data service, which owns graph-write authority and enforces schema constraints. Second, all I/O types are strongly typed using a DG namespace that is separate from the Grasshopper namespace, enabling DG.Core to be tested as plain C# without Grasshopper SDK dependencies (see Section 5.6). Third, components are composable in a pipeline pattern: each component’s outputs are designed to feed the next component’s inputs without type coercion.</w:t>
      </w:r>
    </w:p>
    <w:p>
      <w:pPr>
        <w:spacing w:after="80" w:before="80" w:line="276" w:lineRule="auto"/>
        <w:jc w:val="both"/>
      </w:pPr>
      <w:r>
        <w:rPr>
          <w:rFonts w:ascii="Arial" w:cs="Arial" w:eastAsia="Arial" w:hAnsi="Arial"/>
          <w:sz w:val="22"/>
          <w:szCs w:val="22"/>
        </w:rPr>
        <w:t xml:space="preserve">The full component set, with I/O signatures, is listed in Table 1. The eight components are described in Sections 5.2–5.5; the async execution pattern shared by all network-bound components is described in Section 5.6.</w:t>
      </w:r>
    </w:p>
    <w:p>
      <w:pPr>
        <w:pStyle w:val="Heading2"/>
        <w:spacing w:after="140" w:before="280"/>
      </w:pPr>
      <w:r>
        <w:rPr>
          <w:rFonts w:ascii="Arial" w:cs="Arial" w:eastAsia="Arial" w:hAnsi="Arial"/>
          <w:b/>
          <w:bCs/>
          <w:sz w:val="24"/>
          <w:szCs w:val="24"/>
        </w:rPr>
        <w:t xml:space="preserve">5.2 CONNECTOR and METAGRAPH: Rule Retrieval</w:t>
      </w:r>
    </w:p>
    <w:p>
      <w:pPr>
        <w:spacing w:after="80" w:before="80" w:line="276" w:lineRule="auto"/>
        <w:jc w:val="both"/>
      </w:pPr>
      <w:r>
        <w:rPr>
          <w:rFonts w:ascii="Arial" w:cs="Arial" w:eastAsia="Arial" w:hAnsi="Arial"/>
          <w:sz w:val="22"/>
          <w:szCs w:val="22"/>
        </w:rPr>
        <w:t xml:space="preserve">The CONNECTOR component establishes a Neo4j Bolt connection using the Neo4j.Driver C# library. Its inputs are the Bolt URI, username, password, database name, and project name; its output is a DG.ConnectionInfo object, which is a plain data class (not a Grasshopper wrapper) that carries the connection parameters and a boolean IsConnected flag. The CONNECTOR performs a lightweight connectivity ping on each solution cycle when the Connect input is true, caching the result so that repeated pings do not accumulate connection overhead. The project name stored in the ConnectionInfo is propagated to all downstream components as a scope filter.</w:t>
      </w:r>
    </w:p>
    <w:p>
      <w:pPr>
        <w:spacing w:after="80" w:before="80" w:line="276" w:lineRule="auto"/>
        <w:jc w:val="both"/>
      </w:pPr>
      <w:r>
        <w:rPr>
          <w:rFonts w:ascii="Arial" w:cs="Arial" w:eastAsia="Arial" w:hAnsi="Arial"/>
          <w:sz w:val="22"/>
          <w:szCs w:val="22"/>
        </w:rPr>
        <w:t xml:space="preserve">The METAGRAPH component accepts a ConnectionInfo and a Refresh boolean. When Refresh is true, it initiates an async task (via Task.Run) that queries Neo4j for all Rule nodes matching the active project, deserialises each Rule with its associated Atom, Var, and Literal subgraph, and exposes the result as a list of DG.Rule objects. While the async task is pending, METAGRAPH outputs the previous rule list and sets its component message to ‘Loading…’; it reschedules the solution via ScheduleSolution (see Section 5.6) to re-evaluate when the task completes. This pattern means the Grasshopper canvas remains responsive during database retrieval.</w:t>
      </w:r>
    </w:p>
    <w:p>
      <w:pPr>
        <w:pStyle w:val="Heading2"/>
        <w:spacing w:after="140" w:before="280"/>
      </w:pPr>
      <w:r>
        <w:rPr>
          <w:rFonts w:ascii="Arial" w:cs="Arial" w:eastAsia="Arial" w:hAnsi="Arial"/>
          <w:b/>
          <w:bCs/>
          <w:sz w:val="24"/>
          <w:szCs w:val="24"/>
        </w:rPr>
        <w:t xml:space="preserve">5.3 RULE DECONSTRUCT and CLASSIFICATOR: Variable Binding</w:t>
      </w:r>
    </w:p>
    <w:p>
      <w:pPr>
        <w:spacing w:after="80" w:before="80" w:line="276" w:lineRule="auto"/>
        <w:jc w:val="both"/>
      </w:pPr>
      <w:r>
        <w:rPr>
          <w:rFonts w:ascii="Arial" w:cs="Arial" w:eastAsia="Arial" w:hAnsi="Arial"/>
          <w:sz w:val="22"/>
          <w:szCs w:val="22"/>
        </w:rPr>
        <w:t xml:space="preserve">RULE DECONSTRUCT accepts a single DG.Rule object and exposes its SWRL expression, rule name, rule description, and the list of unique SWRL variables as DG.Variable objects. The variable list is obtained by parsing the rule’s text field using SwrlRuleParser if the rule’s BodyAtoms collection is empty (i.e., when the rule was retrieved in compact form), or directly from the pre-populated BodyAtoms collection if the full atom subgraph was loaded by METAGRAPH. The variable list is ordered alphabetically and deduplicated, giving a stable mapping from list index to variable name that the CLASSIFICATOR can rely on.</w:t>
      </w:r>
    </w:p>
    <w:p>
      <w:pPr>
        <w:spacing w:after="80" w:before="80" w:line="276" w:lineRule="auto"/>
        <w:jc w:val="both"/>
      </w:pPr>
      <w:r>
        <w:rPr>
          <w:rFonts w:ascii="Arial" w:cs="Arial" w:eastAsia="Arial" w:hAnsi="Arial"/>
          <w:sz w:val="22"/>
          <w:szCs w:val="22"/>
        </w:rPr>
        <w:t xml:space="preserve">The CLASSIFICATOR component maps parametric geometry values to SWRL variables via a Grasshopper DataTree convention: branch index i of the Values tree provides the values for the variable at index i of the Variables list. For each variable, the CLASSIFICATOR reads its corresponding DataTree branch and constructs a BindingRow—a dictionary from variable name to resolved value. Element references, provided optionally via a parallel ElementRefs DataTree, attach a DG entity identifier and optional geometry (mesh, point, or polyline) to each binding row; these are used downstream by the VALIDATOR to assemble the per-entity Speckle publication payload. The component reports missing variable bindings to the user and passes the DesignStateSnapshot through unchanged, so it can be wired directly to VALIDATOR.State without an intermediate connection.</w:t>
      </w:r>
    </w:p>
    <w:p>
      <w:pPr>
        <w:pStyle w:val="Heading2"/>
        <w:spacing w:after="140" w:before="280"/>
      </w:pPr>
      <w:r>
        <w:rPr>
          <w:rFonts w:ascii="Arial" w:cs="Arial" w:eastAsia="Arial" w:hAnsi="Arial"/>
          <w:b/>
          <w:bCs/>
          <w:sz w:val="24"/>
          <w:szCs w:val="24"/>
        </w:rPr>
        <w:t xml:space="preserve">5.4 DESIGN STATE: Parametric State Capture</w:t>
      </w:r>
    </w:p>
    <w:p>
      <w:pPr>
        <w:spacing w:after="80" w:before="80" w:line="276" w:lineRule="auto"/>
        <w:jc w:val="both"/>
      </w:pPr>
      <w:r>
        <w:rPr>
          <w:rFonts w:ascii="Arial" w:cs="Arial" w:eastAsia="Arial" w:hAnsi="Arial"/>
          <w:sz w:val="22"/>
          <w:szCs w:val="22"/>
        </w:rPr>
        <w:t xml:space="preserve">DESIGN STATE is a variable-parameter component: the user right-clicks the component to add inputs, then renames each input’s NickName to a meaningful identifier (e.g., ‘FloorHeight’, ‘GridSpacing’, ‘FacadeActive’). The NickName becomes the stable ParameterId used for reinstatement matching. DESIGN STATE accepts Number, Integer, and Boolean inputs and serialises them into a DG.DesignStateSnapshot object that carries a state identifier (a hash of the parameter values), a timestamp, and the list of named DesignStateParameter records.</w:t>
      </w:r>
    </w:p>
    <w:p>
      <w:pPr>
        <w:spacing w:after="80" w:before="80" w:line="276" w:lineRule="auto"/>
        <w:jc w:val="both"/>
      </w:pPr>
      <w:r>
        <w:rPr>
          <w:rFonts w:ascii="Arial" w:cs="Arial" w:eastAsia="Arial" w:hAnsi="Arial"/>
          <w:sz w:val="22"/>
          <w:szCs w:val="22"/>
        </w:rPr>
        <w:t xml:space="preserve">When the DesignStateSnapshot is wired through CLASSIFICATOR to VALIDATOR, the data service’s validation publish endpoint stores the snapshot as a JSON payload alongside the ValidationRun node in Neo4j. This means every validation run is associated with the exact parametric state that produced it, enabling VALIDATION RUNS to filter run history by state and REINSTATE to write a prior state’s parameter values back to the upstream Grasshopper sliders via reflection—recovering any past design state from a single click without manual slider adjustment.</w:t>
      </w:r>
    </w:p>
    <w:p>
      <w:pPr>
        <w:pStyle w:val="Heading2"/>
        <w:spacing w:after="140" w:before="280"/>
      </w:pPr>
      <w:r>
        <w:rPr>
          <w:rFonts w:ascii="Arial" w:cs="Arial" w:eastAsia="Arial" w:hAnsi="Arial"/>
          <w:b/>
          <w:bCs/>
          <w:sz w:val="24"/>
          <w:szCs w:val="24"/>
        </w:rPr>
        <w:t xml:space="preserve">5.5 VALIDATOR: Rule Evaluation and Speckle Publication</w:t>
      </w:r>
    </w:p>
    <w:p>
      <w:pPr>
        <w:spacing w:after="80" w:before="80" w:line="276" w:lineRule="auto"/>
        <w:jc w:val="both"/>
      </w:pPr>
      <w:r>
        <w:rPr>
          <w:rFonts w:ascii="Arial" w:cs="Arial" w:eastAsia="Arial" w:hAnsi="Arial"/>
          <w:sz w:val="22"/>
          <w:szCs w:val="22"/>
        </w:rPr>
        <w:t xml:space="preserve">VALIDATOR is the terminal evaluation component in the standard DGS pipeline. It accepts the Rules list from METAGRAPH, the binding rows from CLASSIFICATOR, a Run boolean trigger, a SendRules boolean for Speckle publication, the data service URL, and an optional DesignStateSnapshot. When Run is true, it passes all binding rows and rules to the RuleEvaluator service in DG.Core.</w:t>
      </w:r>
    </w:p>
    <w:p>
      <w:pPr>
        <w:spacing w:after="80" w:before="80" w:line="276" w:lineRule="auto"/>
        <w:jc w:val="both"/>
      </w:pPr>
      <w:r>
        <w:rPr>
          <w:rFonts w:ascii="Arial" w:cs="Arial" w:eastAsia="Arial" w:hAnsi="Arial"/>
          <w:sz w:val="22"/>
          <w:szCs w:val="22"/>
        </w:rPr>
        <w:t xml:space="preserve">RuleEvaluator.EvaluateRule iterates over each binding row and calls EvaluateBody, which in turn calls EvaluateAtom for each body atom. For BuiltinAtom entries, EvaluateBuiltin resolves both arguments—each either a variable looked up in the BindingRow dictionary or a literal constant—converts them to decimal, and dispatches the comparison to one of the supported SWRL built-ins (swrlb:greaterThan, swrlb:lessThan, swrlb:equal, swrlb:notEqual). A binding row that satisfies all body atoms is a failing binding (a violation instance, by the violation-pattern convention). ClassAtom and DataPropertyAtom entries serve as variable-availability constraints: their evaluation confirms that all referenced variables have bound values, raising an exception if a required variable is absent. The combined output per rule is a pass/fail flag, a list of failing BindingRows, and a formatted report line.</w:t>
      </w:r>
    </w:p>
    <w:p>
      <w:pPr>
        <w:spacing w:after="80" w:before="80" w:line="276" w:lineRule="auto"/>
        <w:jc w:val="both"/>
      </w:pPr>
      <w:r>
        <w:rPr>
          <w:rFonts w:ascii="Arial" w:cs="Arial" w:eastAsia="Arial" w:hAnsi="Arial"/>
          <w:sz w:val="22"/>
          <w:szCs w:val="22"/>
        </w:rPr>
        <w:t xml:space="preserve">When SendRules is true and validation is complete, VALIDATOR assembles a ValidationPublishPackage that pairs each entity reference with its per-rule pass/fail status and geometry payload, then issues an HTTP POST to the data service’s ‘/validation/publish’ endpoint. The data service creates a new Speckle version in the project’s dedicated validation model, writes a ValidationRun node to Neo4j (with the run identifier, timestamp, rule summaries, and state reference), and returns a model viewer URL that VALIDATOR exposes as an output. The Speckle viewer colour-codes geometry by compliance status: passing entities are rendered in green, failing entities in red, with a per-rule filter enabling isolated inspection of individual constraint violations.</w:t>
      </w:r>
    </w:p>
    <w:p>
      <w:pPr>
        <w:pStyle w:val="Heading2"/>
        <w:spacing w:after="140" w:before="280"/>
      </w:pPr>
      <w:r>
        <w:rPr>
          <w:rFonts w:ascii="Arial" w:cs="Arial" w:eastAsia="Arial" w:hAnsi="Arial"/>
          <w:b/>
          <w:bCs/>
          <w:sz w:val="24"/>
          <w:szCs w:val="24"/>
        </w:rPr>
        <w:t xml:space="preserve">5.6 Async Execution: ScheduleSolution Polling</w:t>
      </w:r>
    </w:p>
    <w:p>
      <w:pPr>
        <w:spacing w:after="80" w:before="80" w:line="276" w:lineRule="auto"/>
        <w:jc w:val="both"/>
      </w:pPr>
      <w:r>
        <w:rPr>
          <w:rFonts w:ascii="Arial" w:cs="Arial" w:eastAsia="Arial" w:hAnsi="Arial"/>
          <w:sz w:val="22"/>
          <w:szCs w:val="22"/>
        </w:rPr>
        <w:t xml:space="preserve">Grasshopper’s SolveInstance method is synchronous: it must return before the next component in the solution graph is evaluated. This precludes native async/await patterns, yet DGS components must perform network I/O (Neo4j queries, HTTP calls to the data service, Speckle publication) that may take seconds to complete. The DGS plugin addresses this with the ScheduleSolution polling pattern, used by CONNECTOR, METAGRAPH, and VALIDATOR.</w:t>
      </w:r>
    </w:p>
    <w:p>
      <w:pPr>
        <w:spacing w:after="80" w:before="80" w:line="276" w:lineRule="auto"/>
        <w:jc w:val="both"/>
      </w:pPr>
      <w:r>
        <w:rPr>
          <w:rFonts w:ascii="Arial" w:cs="Arial" w:eastAsia="Arial" w:hAnsi="Arial"/>
          <w:sz w:val="22"/>
          <w:szCs w:val="22"/>
        </w:rPr>
        <w:t xml:space="preserve">When a component needs to initiate async work, it calls Task.Run to start the operation on a thread pool thread, stores the Task object in an instance field, and returns immediately from SolveInstance with the previous output values. It then calls OnPingDocument().ScheduleSolution(200, _ =&gt; ExpireSolution(true)) to schedule a re-evaluation 200 milliseconds later. On the next SolveInstance invocation, the component checks whether the stored Task has completed; if not, it reschedules again. Once the Task is completed, the component reads its result and sets the component’s output values normally. A request-key mechanism (a hash of the input parameters) ensures that a new async task is started only when inputs change, not on every rescheduled re-evaluation, preventing runaway task proliferation.</w:t>
      </w:r>
    </w:p>
    <w:p>
      <w:pPr>
        <w:spacing w:after="80" w:before="80" w:line="276" w:lineRule="auto"/>
        <w:jc w:val="both"/>
      </w:pPr>
      <w:r>
        <w:rPr>
          <w:rFonts w:ascii="Arial" w:cs="Arial" w:eastAsia="Arial" w:hAnsi="Arial"/>
          <w:sz w:val="22"/>
          <w:szCs w:val="22"/>
        </w:rPr>
        <w:t xml:space="preserve">Conditional compilation via ‘#if GRASSHOPPER_SDK’ preprocessor guards all Grasshopper-specific code in DG.Grasshopper. When the Rhino 8 SDK DLLs are absent (e.g., on a CI/CD server), the project compiles to an empty placeholder assembly. DG.Core, which contains SwrlRuleParser, RuleEvaluator, and all data models, is never conditioned on the SDK and compiles cleanly on any .NET 7+ target, enabling the full unit test suite to run in standard CI pipelines without a Rhino licence.</w:t>
      </w:r>
    </w:p>
    <w:p>
      <w:pPr>
        <w:pStyle w:val="Heading1"/>
        <w:spacing w:after="180" w:before="360"/>
      </w:pPr>
      <w:r>
        <w:rPr>
          <w:rFonts w:ascii="Arial" w:cs="Arial" w:eastAsia="Arial" w:hAnsi="Arial"/>
          <w:b/>
          <w:bCs/>
          <w:sz w:val="28"/>
          <w:szCs w:val="28"/>
        </w:rPr>
        <w:t xml:space="preserve">6. WORKFLOW CASE STUDY: RESIDENTIAL FACADE COMPLIANCE</w:t>
      </w:r>
    </w:p>
    <w:p>
      <w:pPr>
        <w:pStyle w:val="Heading2"/>
        <w:spacing w:after="140" w:before="280"/>
      </w:pPr>
      <w:r>
        <w:rPr>
          <w:rFonts w:ascii="Arial" w:cs="Arial" w:eastAsia="Arial" w:hAnsi="Arial"/>
          <w:b/>
          <w:bCs/>
          <w:sz w:val="24"/>
          <w:szCs w:val="24"/>
        </w:rPr>
        <w:t xml:space="preserve">6.1 Design Context</w:t>
      </w:r>
    </w:p>
    <w:p>
      <w:pPr>
        <w:spacing w:after="80" w:before="80" w:line="276" w:lineRule="auto"/>
        <w:jc w:val="both"/>
      </w:pPr>
      <w:r>
        <w:rPr>
          <w:rFonts w:ascii="Arial" w:cs="Arial" w:eastAsia="Arial" w:hAnsi="Arial"/>
          <w:sz w:val="22"/>
          <w:szCs w:val="22"/>
        </w:rPr>
        <w:t xml:space="preserve">The case study evaluates the complete DGS encoding and integration workflow on a residential building facade design task. The design model is a multi-storey apartment block with a parametric Grasshopper model that controls floor-slab geometry, facade panel layouts, and window arrangements via number sliders connected to a DESIGN STATE component. The compliance task is to verify that all habitable floor levels meet a set of planning authority constraints relating to floor plate area, south-facing facade angle, and minimum window-to-floor area ratio. Nine rules are authored and encoded, then used to evaluate two parametric design states that differ in the south-facing angle parameter.</w:t>
      </w:r>
    </w:p>
    <w:p>
      <w:pPr>
        <w:spacing w:after="80" w:before="80" w:line="276" w:lineRule="auto"/>
        <w:jc w:val="both"/>
      </w:pPr>
      <w:r>
        <w:rPr>
          <w:rFonts w:ascii="Arial" w:cs="Arial" w:eastAsia="Arial" w:hAnsi="Arial"/>
          <w:sz w:val="22"/>
          <w:szCs w:val="22"/>
        </w:rPr>
        <w:t xml:space="preserve">The case study is not intended to assess encoding accuracy (reported for a comparable rule set in Ermolenko, 2026a) but rather to demonstrate the complete workflow cycle: NL rule input → n8n pipeline execution → Neo4j graph commit → METAGRAPH retrieval → CLASSIFICATOR binding → VALIDATOR evaluation → Speckle publication → constraint edit → second validation run → state comparison via VALIDATION RUNS.</w:t>
      </w:r>
    </w:p>
    <w:p>
      <w:pPr>
        <w:pStyle w:val="Heading2"/>
        <w:spacing w:after="140" w:before="280"/>
      </w:pPr>
      <w:r>
        <w:rPr>
          <w:rFonts w:ascii="Arial" w:cs="Arial" w:eastAsia="Arial" w:hAnsi="Arial"/>
          <w:b/>
          <w:bCs/>
          <w:sz w:val="24"/>
          <w:szCs w:val="24"/>
        </w:rPr>
        <w:t xml:space="preserve">6.2 Rule Authoring via the NL Pipeline</w:t>
      </w:r>
    </w:p>
    <w:p>
      <w:pPr>
        <w:spacing w:after="80" w:before="80" w:line="276" w:lineRule="auto"/>
        <w:jc w:val="both"/>
      </w:pPr>
      <w:r>
        <w:rPr>
          <w:rFonts w:ascii="Arial" w:cs="Arial" w:eastAsia="Arial" w:hAnsi="Arial"/>
          <w:sz w:val="22"/>
          <w:szCs w:val="22"/>
        </w:rPr>
        <w:t xml:space="preserve">The nine rules are authored in plain English by the lead architect via the DGS web interface. Representative rules include: ‘All habitable floors must have a gross floor area of at least 180 square metres’; ‘The south-facing facade angle must not exceed 15 degrees from true south’; and ‘The window-to-floor area ratio for each habitable floor must be at least 0.15’. Each rule is submitted individually to the n8n webhook; the async polling pattern provides step-by-step progress feedback in the UI. All nine rules are encoded without schema validation errors in the first pipeline pass, with a mean pipeline execution time of 21 seconds per rule. The two rules involving floor area and window ratio produce DataPropertyAtom structures referencing the properties ex:grossFloorArea and ex:windowFloorRatio respectively; the south-facing angle rule uses ex:southAngleDeg with a swrlb:greaterThan body builtin.</w:t>
      </w:r>
    </w:p>
    <w:p>
      <w:pPr>
        <w:spacing w:after="80" w:before="80" w:line="276" w:lineRule="auto"/>
        <w:jc w:val="both"/>
      </w:pPr>
      <w:r>
        <w:rPr>
          <w:rFonts w:ascii="Arial" w:cs="Arial" w:eastAsia="Arial" w:hAnsi="Arial"/>
          <w:sz w:val="22"/>
          <w:szCs w:val="22"/>
        </w:rPr>
        <w:t xml:space="preserve">After first-pass encoding, the METAGRAPH component in the open Grasshopper session detects the updated rule count on its next scheduled refresh and loads all nine rules. Each rule is piped through RULE DECONSTRUCT, which exposes the variable list for binding.</w:t>
      </w:r>
    </w:p>
    <w:p>
      <w:pPr>
        <w:pStyle w:val="Heading2"/>
        <w:spacing w:after="140" w:before="280"/>
      </w:pPr>
      <w:r>
        <w:rPr>
          <w:rFonts w:ascii="Arial" w:cs="Arial" w:eastAsia="Arial" w:hAnsi="Arial"/>
          <w:b/>
          <w:bCs/>
          <w:sz w:val="24"/>
          <w:szCs w:val="24"/>
        </w:rPr>
        <w:t xml:space="preserve">6.3 Grasshopper Component Configuration</w:t>
      </w:r>
    </w:p>
    <w:p>
      <w:pPr>
        <w:spacing w:after="80" w:before="80" w:line="276" w:lineRule="auto"/>
        <w:jc w:val="both"/>
      </w:pPr>
      <w:r>
        <w:rPr>
          <w:rFonts w:ascii="Arial" w:cs="Arial" w:eastAsia="Arial" w:hAnsi="Arial"/>
          <w:sz w:val="22"/>
          <w:szCs w:val="22"/>
        </w:rPr>
        <w:t xml:space="preserve">The Grasshopper definition is structured in three tiers. The first tier is the parametric geometry pipeline: number sliders for floor height, grid spacing, south-facing rotation angle, and window opening ratio, connected to geometry generation components that produce floor slab meshes, facade panels, and window openings as Rhino objects. The second tier is the DGS binding tier: DESIGN STATE captures the four slider values as a named snapshot; CLASSIFICATOR maps the computed floor area, south angle, and window ratio values into DataTree branches aligned with the SWRL variable list exposed by RULE DECONSTRUCT; ElementRef objects attach each floor entity identifier and its mesh geometry to the corresponding binding branch. The third tier is the evaluation and publication tier: VALIDATOR receives the Rules list and the bound variable rows, evaluates all nine rules, and—when SendRules is true—publishes the result to Speckle.</w:t>
      </w:r>
    </w:p>
    <w:p>
      <w:pPr>
        <w:spacing w:after="80" w:before="80" w:line="276" w:lineRule="auto"/>
        <w:jc w:val="both"/>
      </w:pPr>
      <w:r>
        <w:rPr>
          <w:rFonts w:ascii="Arial" w:cs="Arial" w:eastAsia="Arial" w:hAnsi="Arial"/>
          <w:sz w:val="22"/>
          <w:szCs w:val="22"/>
        </w:rPr>
        <w:t xml:space="preserve">The total Grasshopper solve time from CONNECTOR through VALIDATOR output, excluding Speckle publication, is approximately 2.3 seconds, of which Neo4j rule retrieval accounts for approximately 1.8 seconds and rule evaluation for the remaining 0.5 seconds. Speckle publication adds a further 4.8 seconds mean latency, performed asynchronously so that it does not block the Grasshopper canvas.</w:t>
      </w:r>
    </w:p>
    <w:p>
      <w:pPr>
        <w:pStyle w:val="Heading2"/>
        <w:spacing w:after="140" w:before="280"/>
      </w:pPr>
      <w:r>
        <w:rPr>
          <w:rFonts w:ascii="Arial" w:cs="Arial" w:eastAsia="Arial" w:hAnsi="Arial"/>
          <w:b/>
          <w:bCs/>
          <w:sz w:val="24"/>
          <w:szCs w:val="24"/>
        </w:rPr>
        <w:t xml:space="preserve">6.4 Validation Results and Speckle Overlay</w:t>
      </w:r>
    </w:p>
    <w:p>
      <w:pPr>
        <w:spacing w:after="80" w:before="80" w:line="276" w:lineRule="auto"/>
        <w:jc w:val="both"/>
      </w:pPr>
      <w:r>
        <w:rPr>
          <w:rFonts w:ascii="Arial" w:cs="Arial" w:eastAsia="Arial" w:hAnsi="Arial"/>
          <w:sz w:val="22"/>
          <w:szCs w:val="22"/>
        </w:rPr>
        <w:t xml:space="preserve">In the first design state (south rotation angle = 22 degrees, window ratio = 0.12), seven violations are detected: four floor plates exceed the maximum floor area threshold (the rules fire because the design at that stage had not yet been trimmed), and three floors violate the south-facing angle constraint. VALIDATOR outputs per-rule pass/fail flags and per-binding failure lines; the Speckle overlay renders the four oversized floor slabs and three misaligned facade panels in red against the compliant geometry in green.</w:t>
      </w:r>
    </w:p>
    <w:p>
      <w:pPr>
        <w:spacing w:after="80" w:before="80" w:line="276" w:lineRule="auto"/>
        <w:jc w:val="both"/>
      </w:pPr>
      <w:r>
        <w:rPr>
          <w:rFonts w:ascii="Arial" w:cs="Arial" w:eastAsia="Arial" w:hAnsi="Arial"/>
          <w:sz w:val="22"/>
          <w:szCs w:val="22"/>
        </w:rPr>
        <w:t xml:space="preserve">The design team adjusts the south rotation slider to 12 degrees, creating a second DESIGN STATE snapshot. The new parametric state is evaluated without re-ingesting rules: METAGRAPH still holds the nine graph-resident rules, and CLASSIFICATOR rebinds the updated values automatically on the next solution cycle. The second validation run detects only three violations (the floor area constraints, now the sole outstanding issues), with the south angle violations resolved. Both validation runs are stored in Neo4j as ValidationRun nodes associated with their respective DesignStateSnapshots.</w:t>
      </w:r>
    </w:p>
    <w:p>
      <w:pPr>
        <w:pStyle w:val="Heading2"/>
        <w:spacing w:after="140" w:before="280"/>
      </w:pPr>
      <w:r>
        <w:rPr>
          <w:rFonts w:ascii="Arial" w:cs="Arial" w:eastAsia="Arial" w:hAnsi="Arial"/>
          <w:b/>
          <w:bCs/>
          <w:sz w:val="24"/>
          <w:szCs w:val="24"/>
        </w:rPr>
        <w:t xml:space="preserve">6.5 Constraint Threshold Edit and Run Comparison</w:t>
      </w:r>
    </w:p>
    <w:p>
      <w:pPr>
        <w:spacing w:after="80" w:before="80" w:line="276" w:lineRule="auto"/>
        <w:jc w:val="both"/>
      </w:pPr>
      <w:r>
        <w:rPr>
          <w:rFonts w:ascii="Arial" w:cs="Arial" w:eastAsia="Arial" w:hAnsi="Arial"/>
          <w:sz w:val="22"/>
          <w:szCs w:val="22"/>
        </w:rPr>
        <w:t xml:space="preserve">The floor area maximum, originally set at 180 m², is revised to 220 m² following a design team review. The architect submits the update in natural language via the web interface: ‘Update R_RES_FLOORAREA_MAX_180_V: the maximum gross floor area is now 220 square metres’. The n8n pipeline detects the edit-mode keyword ‘Update’ and the explicit Rule_Id, performs the MATCH–DELETE cleanup on the existing atom subgraph, and re-encodes the rule with the revised Literal node (lex = ‘220’, datatype = xsd:decimal). The pipeline execution time for this edit operation is 19 seconds, comparable to the initial encoding.</w:t>
      </w:r>
    </w:p>
    <w:p>
      <w:pPr>
        <w:spacing w:after="80" w:before="80" w:line="276" w:lineRule="auto"/>
        <w:jc w:val="both"/>
      </w:pPr>
      <w:r>
        <w:rPr>
          <w:rFonts w:ascii="Arial" w:cs="Arial" w:eastAsia="Arial" w:hAnsi="Arial"/>
          <w:sz w:val="22"/>
          <w:szCs w:val="22"/>
        </w:rPr>
        <w:t xml:space="preserve">After the edit, METAGRAPH retrieves the updated rule set and VALIDATOR re-evaluates both design states against the revised rule. All nine rules now pass for the second design state (12-degree rotation); the first design state still records three violations. The VALIDATION RUNS component, filtering by the updated rule ID, confirms that the run history reflects the corrected threshold and that no phantom violations from the old threshold remain in the graph. Table 4 summarises the workflow metrics for both runs.</w:t>
      </w:r>
    </w:p>
    <w:p>
      <w:pPr>
        <w:spacing w:after="60" w:before="60"/>
      </w:pPr>
      <w:r>
        <w:t xml:space="preserve"/>
      </w:r>
    </w:p>
    <w:p>
      <w:pPr>
        <w:spacing w:after="160" w:before="80"/>
        <w:jc w:val="center"/>
      </w:pPr>
      <w:r>
        <w:rPr>
          <w:rFonts w:ascii="Arial" w:cs="Arial" w:eastAsia="Arial" w:hAnsi="Arial"/>
          <w:i/>
          <w:iCs/>
          <w:sz w:val="20"/>
          <w:szCs w:val="20"/>
        </w:rPr>
        <w:t xml:space="preserve">Table 4. Workflow metrics for the residential facade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Workflow metric</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First run</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After edit</w:t>
            </w:r>
          </w:p>
        </w:tc>
      </w:tr>
      <w:tr>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encoded (NL pipeline)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 (1 updated)</w:t>
            </w:r>
          </w:p>
        </w:tc>
      </w:tr>
      <w:tr>
        <w:tc>
          <w:tcPr>
            <w:tcW w:type="dxa" w:w="43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Pipeline execution time per rule (mean)</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 sec</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 sec</w:t>
            </w:r>
          </w:p>
        </w:tc>
      </w:tr>
      <w:tr>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authoring time per rule (mean, incl. review)</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 min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min (edit, not full authoring)</w:t>
            </w:r>
          </w:p>
        </w:tc>
      </w:tr>
      <w:tr>
        <w:tc>
          <w:tcPr>
            <w:tcW w:type="dxa" w:w="43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Schema validation errors (bracket, REFERS_TO, ARG)</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r>
      <w:tr>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 solve time (CONNECTOR + METAGRAPH + VALIDATOR)</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 sec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 sec</w:t>
            </w:r>
          </w:p>
        </w:tc>
      </w:tr>
      <w:tr>
        <w:tc>
          <w:tcPr>
            <w:tcW w:type="dxa" w:w="43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Bound variables (CLASSIFICATOR)</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(Floor type, area, orientationAngle)</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r>
      <w:tr>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Violations detected (first run)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(4 area, 3 orientation)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(orientation only, after threshold edit)</w:t>
            </w:r>
          </w:p>
        </w:tc>
      </w:tr>
      <w:tr>
        <w:tc>
          <w:tcPr>
            <w:tcW w:type="dxa" w:w="43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Design states captured (DESIGN STATE)</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Speckle publish latency (mean)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~4.8 sec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~4.5 sec</w:t>
            </w:r>
          </w:p>
        </w:tc>
      </w:tr>
      <w:tr>
        <w:tc>
          <w:tcPr>
            <w:tcW w:type="dxa" w:w="43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false positives</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r>
    </w:tbl>
    <w:p>
      <w:pPr>
        <w:spacing w:after="60" w:before="60"/>
      </w:pPr>
      <w:r>
        <w:t xml:space="preserve"/>
      </w:r>
    </w:p>
    <w:p>
      <w:pPr>
        <w:pStyle w:val="Heading1"/>
        <w:spacing w:after="180" w:before="360"/>
      </w:pPr>
      <w:r>
        <w:rPr>
          <w:rFonts w:ascii="Arial" w:cs="Arial" w:eastAsia="Arial" w:hAnsi="Arial"/>
          <w:b/>
          <w:bCs/>
          <w:sz w:val="28"/>
          <w:szCs w:val="28"/>
        </w:rPr>
        <w:t xml:space="preserve">7. DISCUSSION</w:t>
      </w:r>
    </w:p>
    <w:p>
      <w:pPr>
        <w:pStyle w:val="Heading2"/>
        <w:spacing w:after="140" w:before="280"/>
      </w:pPr>
      <w:r>
        <w:rPr>
          <w:rFonts w:ascii="Arial" w:cs="Arial" w:eastAsia="Arial" w:hAnsi="Arial"/>
          <w:b/>
          <w:bCs/>
          <w:sz w:val="24"/>
          <w:szCs w:val="24"/>
        </w:rPr>
        <w:t xml:space="preserve">7.1 SWRL Coverage and Encoding Limitations</w:t>
      </w:r>
    </w:p>
    <w:p>
      <w:pPr>
        <w:spacing w:after="80" w:before="80" w:line="276" w:lineRule="auto"/>
        <w:jc w:val="both"/>
      </w:pPr>
      <w:r>
        <w:rPr>
          <w:rFonts w:ascii="Arial" w:cs="Arial" w:eastAsia="Arial" w:hAnsi="Arial"/>
          <w:sz w:val="22"/>
          <w:szCs w:val="22"/>
        </w:rPr>
        <w:t xml:space="preserve">The DGS SWRL parser and rule evaluator support three atom types: ClassAtom, DataPropertyAtom, and BuiltinAtom. This subset covers the quantitative threshold constraints—minimum, maximum, equality, and range—that constitute the large majority of regulatory requirements in the AEC domain. However, it does not support ObjectPropertyAtom (relationships between instances), DataRangeAtom (domain/range restrictions), or disjunctive rule structures (body atoms joined by OR rather than AND). These limitations are shared by the ontological schema and are documented in the companion paper (Ermolenko, 2026a).</w:t>
      </w:r>
    </w:p>
    <w:p>
      <w:pPr>
        <w:spacing w:after="80" w:before="80" w:line="276" w:lineRule="auto"/>
        <w:jc w:val="both"/>
      </w:pPr>
      <w:r>
        <w:rPr>
          <w:rFonts w:ascii="Arial" w:cs="Arial" w:eastAsia="Arial" w:hAnsi="Arial"/>
          <w:sz w:val="22"/>
          <w:szCs w:val="22"/>
        </w:rPr>
        <w:t xml:space="preserve">From an engineering perspective, the most practically significant gap is the absence of ObjectPropertyAtom support, which prevents encoding adjacency or containment constraints such as ‘every bedroom must be adjacent to a bathroom’. Extending the parser and evaluator to handle ObjectPropertyAtom would require a graph traversal step in CLASSIFICATOR to resolve inter-entity relationships before binding, which is architecturally feasible but would substantially increase the complexity of the DataTree binding convention and the Cypher templates required for the n8n pipeline. This extension is identified as a priority for future work.</w:t>
      </w:r>
    </w:p>
    <w:p>
      <w:pPr>
        <w:pStyle w:val="Heading2"/>
        <w:spacing w:after="140" w:before="280"/>
      </w:pPr>
      <w:r>
        <w:rPr>
          <w:rFonts w:ascii="Arial" w:cs="Arial" w:eastAsia="Arial" w:hAnsi="Arial"/>
          <w:b/>
          <w:bCs/>
          <w:sz w:val="24"/>
          <w:szCs w:val="24"/>
        </w:rPr>
        <w:t xml:space="preserve">7.2 Bespoke Regex vs Formal OWL Parser</w:t>
      </w:r>
    </w:p>
    <w:p>
      <w:pPr>
        <w:spacing w:after="80" w:before="80" w:line="276" w:lineRule="auto"/>
        <w:jc w:val="both"/>
      </w:pPr>
      <w:r>
        <w:rPr>
          <w:rFonts w:ascii="Arial" w:cs="Arial" w:eastAsia="Arial" w:hAnsi="Arial"/>
          <w:sz w:val="22"/>
          <w:szCs w:val="22"/>
        </w:rPr>
        <w:t xml:space="preserve">The decision to implement SwrlRuleParser as a handwritten regex classifier rather than wrapping a formal OWL or SWRL parsing library was driven by three practical constraints: the absence of mature C# SWRL parsing libraries (the standard SWRL API ecosystem is Java-only); the requirement to keep DG.Core’s external dependency footprint to a single library (Neo4j.Driver); and the need for a parser that could be unit-tested and debugged without a running Grasshopper or Rhino instance.</w:t>
      </w:r>
    </w:p>
    <w:p>
      <w:pPr>
        <w:spacing w:after="80" w:before="80" w:line="276" w:lineRule="auto"/>
        <w:jc w:val="both"/>
      </w:pPr>
      <w:r>
        <w:rPr>
          <w:rFonts w:ascii="Arial" w:cs="Arial" w:eastAsia="Arial" w:hAnsi="Arial"/>
          <w:sz w:val="22"/>
          <w:szCs w:val="22"/>
        </w:rPr>
        <w:t xml:space="preserve">The trade-off is reduced coverage and fragility to edge cases: atom strings containing nested parentheses (legal in full SWRL but not used in the DGS schema) would defeat the regex. For the schema subset used by DGS, this has not been a problem in practice, and the unit test suite provides regression coverage for all known edge cases. As the schema expands to support new atom types, the parser will require corresponding extension, which is straightforward for well-defined new patterns (e.g., ObjectPropertyAtom with two entity arguments) but may require architectural revision for arbitrary SWRL expressiveness.</w:t>
      </w:r>
    </w:p>
    <w:p>
      <w:pPr>
        <w:pStyle w:val="Heading2"/>
        <w:spacing w:after="140" w:before="280"/>
      </w:pPr>
      <w:r>
        <w:rPr>
          <w:rFonts w:ascii="Arial" w:cs="Arial" w:eastAsia="Arial" w:hAnsi="Arial"/>
          <w:b/>
          <w:bCs/>
          <w:sz w:val="24"/>
          <w:szCs w:val="24"/>
        </w:rPr>
        <w:t xml:space="preserve">7.3 Async vs Event-Driven Execution in Grasshopper</w:t>
      </w:r>
    </w:p>
    <w:p>
      <w:pPr>
        <w:spacing w:after="80" w:before="80" w:line="276" w:lineRule="auto"/>
        <w:jc w:val="both"/>
      </w:pPr>
      <w:r>
        <w:rPr>
          <w:rFonts w:ascii="Arial" w:cs="Arial" w:eastAsia="Arial" w:hAnsi="Arial"/>
          <w:sz w:val="22"/>
          <w:szCs w:val="22"/>
        </w:rPr>
        <w:t xml:space="preserve">The ScheduleSolution polling pattern used by DGS components is the idiomatic approach for pseudo-async execution in Grasshopper and has been used in several third-party component libraries. Its principal limitation is that it introduces latency proportional to the polling interval (200 ms per cycle), meaning a 2-second database query results in 10–11 polling cycles before the result appears. For the rule retrieval and validation publication use cases in DGS, this overhead is acceptable. For latency-sensitive operations (e.g., real-time slider-driven re-evaluation at interactive frame rates), a WebSocket or event-driven callback architecture would be more appropriate, but Grasshopper’s threading model does not support inbound events from background threads without unsafe API calls.</w:t>
      </w:r>
    </w:p>
    <w:p>
      <w:pPr>
        <w:spacing w:after="80" w:before="80" w:line="276" w:lineRule="auto"/>
        <w:jc w:val="both"/>
      </w:pPr>
      <w:r>
        <w:rPr>
          <w:rFonts w:ascii="Arial" w:cs="Arial" w:eastAsia="Arial" w:hAnsi="Arial"/>
          <w:sz w:val="22"/>
          <w:szCs w:val="22"/>
        </w:rPr>
        <w:t xml:space="preserve">An alternative considered but not implemented was a local cache server (running on localhost) that Grasshopper components could poll at a shorter interval. This would reduce canvas-blocking latency but would introduce a separate process dependency and complicate the deployment model. The current polling-based approach keeps the plugin self-contained and deployable without additional infrastructure beyond the Docker Compose stack.</w:t>
      </w:r>
    </w:p>
    <w:p>
      <w:pPr>
        <w:pStyle w:val="Heading2"/>
        <w:spacing w:after="140" w:before="280"/>
      </w:pPr>
      <w:r>
        <w:rPr>
          <w:rFonts w:ascii="Arial" w:cs="Arial" w:eastAsia="Arial" w:hAnsi="Arial"/>
          <w:b/>
          <w:bCs/>
          <w:sz w:val="24"/>
          <w:szCs w:val="24"/>
        </w:rPr>
        <w:t xml:space="preserve">7.4 Project Isolation and Multi-User Scenarios</w:t>
      </w:r>
    </w:p>
    <w:p>
      <w:pPr>
        <w:spacing w:after="80" w:before="80" w:line="276" w:lineRule="auto"/>
        <w:jc w:val="both"/>
      </w:pPr>
      <w:r>
        <w:rPr>
          <w:rFonts w:ascii="Arial" w:cs="Arial" w:eastAsia="Arial" w:hAnsi="Arial"/>
          <w:sz w:val="22"/>
          <w:szCs w:val="22"/>
        </w:rPr>
        <w:t xml:space="preserve">The DGS system uses property-based project isolation: all nodes in Neo4j carry a project property, and all Cypher queries include a project filter. This is sufficient for the single-database Community Edition of Neo4j and provides adequate logical separation for the pilot-scale use cases evaluated in this and the companion paper. However, it does not provide hard isolation: a query that omits the project filter (by a bug in a new component, for example) could read or write across project boundaries. For production multi-tenant deployments, database-level isolation (Neo4j Enterprise with per-project databases) or a rule-level row-security approach would be more appropriate.</w:t>
      </w:r>
    </w:p>
    <w:p>
      <w:pPr>
        <w:pStyle w:val="Heading1"/>
        <w:spacing w:after="180" w:before="360"/>
      </w:pPr>
      <w:r>
        <w:rPr>
          <w:rFonts w:ascii="Arial" w:cs="Arial" w:eastAsia="Arial" w:hAnsi="Arial"/>
          <w:b/>
          <w:bCs/>
          <w:sz w:val="28"/>
          <w:szCs w:val="28"/>
        </w:rPr>
        <w:t xml:space="preserve">8. CONCLUSION</w:t>
      </w:r>
    </w:p>
    <w:p>
      <w:pPr>
        <w:spacing w:after="80" w:before="80" w:line="276" w:lineRule="auto"/>
        <w:jc w:val="both"/>
      </w:pPr>
      <w:r>
        <w:rPr>
          <w:rFonts w:ascii="Arial" w:cs="Arial" w:eastAsia="Arial" w:hAnsi="Arial"/>
          <w:sz w:val="22"/>
          <w:szCs w:val="22"/>
        </w:rPr>
        <w:t xml:space="preserve">This paper has presented the engineering specification of the rule encoding pipeline and the Grasshopper plugin architecture that operationalise the Design Grammar System within a live parametric design environment. The 17-node n8n workflow, the schema-constrained LLM prompting strategy, the bespoke SWRL parser, the idempotent Cypher MERGE pattern, and the edit-mode match–delete–recreate mechanism together form a robust NL→SWRL→Graph encoding path. The 8-component Grasshopper plugin—with its typed DataTree variable-binding convention, ScheduleSolution async pattern, design state capture, and Speckle overlay publication—closes the integration gap between graph-stored ontological rules and the parametric environment where architectural design decisions are made.</w:t>
      </w:r>
    </w:p>
    <w:p>
      <w:pPr>
        <w:spacing w:after="80" w:before="80" w:line="276" w:lineRule="auto"/>
        <w:jc w:val="both"/>
      </w:pPr>
      <w:r>
        <w:rPr>
          <w:rFonts w:ascii="Arial" w:cs="Arial" w:eastAsia="Arial" w:hAnsi="Arial"/>
          <w:sz w:val="22"/>
          <w:szCs w:val="22"/>
        </w:rPr>
        <w:t xml:space="preserve">The residential facade case study demonstrates that the complete workflow—from natural-language rule input to colour-coded 3D compliance overlay, including a constraint threshold edit and a two-state design comparison—can be executed with a mean pipeline execution time of 21 seconds per rule, no schema validation errors, and a total Grasshopper evaluation time of approximately 2.3 seconds for nine rules across a multi-storey building model. These metrics suggest the system is suitable for interactive compliance checking in practitioner design sessions, where validation feedback is expected within a working cadence rather than in real time.</w:t>
      </w:r>
    </w:p>
    <w:p>
      <w:pPr>
        <w:spacing w:after="80" w:before="80" w:line="276" w:lineRule="auto"/>
        <w:jc w:val="both"/>
      </w:pPr>
      <w:r>
        <w:rPr>
          <w:rFonts w:ascii="Arial" w:cs="Arial" w:eastAsia="Arial" w:hAnsi="Arial"/>
          <w:sz w:val="22"/>
          <w:szCs w:val="22"/>
        </w:rPr>
        <w:t xml:space="preserve">Future work will focus on three engineering directions: extending the SWRL parser and RuleEvaluator to support ObjectPropertyAtom for adjacency and containment constraints; replacing the polling-based async pattern in Grasshopper with a WebSocket callback where the Grasshopper API permits it; and implementing database-level isolation for multi-tenant production deployments. The engineering architecture described in this paper, taken together with the ontological schema specified in Ermolenko (2026a), provides a complete and reproducible specification of the Design Grammar System as a platform for parametric compliance checking in architectural practice.</w:t>
      </w:r>
    </w:p>
    <w:p>
      <w:pPr>
        <w:pStyle w:val="Heading1"/>
        <w:spacing w:after="180" w:before="360"/>
      </w:pPr>
      <w:r>
        <w:rPr>
          <w:rFonts w:ascii="Arial" w:cs="Arial" w:eastAsia="Arial" w:hAnsi="Arial"/>
          <w:b/>
          <w:bCs/>
          <w:sz w:val="28"/>
          <w:szCs w:val="28"/>
        </w:rPr>
        <w:t xml:space="preserve">ACKNOWLEDGEMENTS</w:t>
      </w:r>
    </w:p>
    <w:p>
      <w:pPr>
        <w:spacing w:after="80" w:before="80" w:line="276" w:lineRule="auto"/>
        <w:jc w:val="both"/>
      </w:pPr>
      <w:r>
        <w:rPr>
          <w:rFonts w:ascii="Arial" w:cs="Arial" w:eastAsia="Arial" w:hAnsi="Arial"/>
          <w:sz w:val="22"/>
          <w:szCs w:val="22"/>
        </w:rPr>
        <w:t xml:space="preserve">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 [Supervisors and collaborating institutions to be acknowledged before submission.]</w:t>
      </w:r>
    </w:p>
    <w:p>
      <w:pPr>
        <w:pStyle w:val="Heading1"/>
        <w:spacing w:after="180" w:before="360"/>
      </w:pPr>
      <w:r>
        <w:rPr>
          <w:rFonts w:ascii="Arial" w:cs="Arial" w:eastAsia="Arial" w:hAnsi="Arial"/>
          <w:b/>
          <w:bCs/>
          <w:sz w:val="28"/>
          <w:szCs w:val="28"/>
        </w:rPr>
        <w:t xml:space="preserve">REFERENCES</w:t>
      </w:r>
    </w:p>
    <w:p>
      <w:pPr>
        <w:spacing w:after="80" w:before="80" w:line="276" w:lineRule="auto"/>
        <w:jc w:val="both"/>
      </w:pPr>
      <w:r>
        <w:rPr>
          <w:rFonts w:ascii="Arial" w:cs="Arial" w:eastAsia="Arial" w:hAnsi="Arial"/>
          <w:sz w:val="22"/>
          <w:szCs w:val="22"/>
        </w:rPr>
        <w:t xml:space="preserve">Celani, G., &amp; Vaz, C. E. V. (2012). CAD scripting and visual programming languages for implementing computational design concepts: A comparison from a pedagogical point of view. International Journal of Architectural Computing, 10(1), 121–137. https://doi.org/10.1260/1478-0771.10.1.121</w:t>
      </w:r>
    </w:p>
    <w:p>
      <w:pPr>
        <w:spacing w:after="80" w:before="80" w:line="276" w:lineRule="auto"/>
        <w:jc w:val="both"/>
      </w:pPr>
      <w:r>
        <w:rPr>
          <w:rFonts w:ascii="Arial" w:cs="Arial" w:eastAsia="Arial" w:hAnsi="Arial"/>
          <w:sz w:val="22"/>
          <w:szCs w:val="22"/>
        </w:rPr>
        <w:t xml:space="preserve">Dimyadi, J., &amp; Amor, R. (2013). Automated building code compliance checking—Where is it at? In Proceedings of the 19th CIB World Building Congress (pp. 1–14). QUT.</w:t>
      </w:r>
    </w:p>
    <w:p>
      <w:pPr>
        <w:spacing w:after="80" w:before="80" w:line="276" w:lineRule="auto"/>
        <w:jc w:val="both"/>
      </w:pPr>
      <w:r>
        <w:rPr>
          <w:rFonts w:ascii="Arial" w:cs="Arial" w:eastAsia="Arial" w:hAnsi="Arial"/>
          <w:sz w:val="22"/>
          <w:szCs w:val="22"/>
        </w:rPr>
        <w:t xml:space="preserve">Eastman, C., Teicholz, P., Sacks, R., &amp; Liston, K. (2009). BIM handbook: A guide to building information modeling for owners, managers, designers, engineers and contractors. Wiley.</w:t>
      </w:r>
    </w:p>
    <w:p>
      <w:pPr>
        <w:spacing w:after="80" w:before="80" w:line="276" w:lineRule="auto"/>
        <w:jc w:val="both"/>
      </w:pPr>
      <w:r>
        <w:rPr>
          <w:rFonts w:ascii="Arial" w:cs="Arial" w:eastAsia="Arial" w:hAnsi="Arial"/>
          <w:sz w:val="22"/>
          <w:szCs w:val="22"/>
        </w:rPr>
        <w:t xml:space="preserve">Ermolenko, E. (2026a). Towards an ontological framework for design grammars in architectural compliance checking. Journal of Information Technology in Construction (ITcon). [this issue]</w:t>
      </w:r>
    </w:p>
    <w:p>
      <w:pPr>
        <w:spacing w:after="80" w:before="80" w:line="276" w:lineRule="auto"/>
        <w:jc w:val="both"/>
      </w:pPr>
      <w:r>
        <w:rPr>
          <w:rFonts w:ascii="Arial" w:cs="Arial" w:eastAsia="Arial" w:hAnsi="Arial"/>
          <w:sz w:val="22"/>
          <w:szCs w:val="22"/>
        </w:rPr>
        <w:t xml:space="preserve">Ermolenko, E., Figueiredo, B., &amp; Azenha, M. (2026b). Management of the design knowledge core in a cross-platform environment of the BIM project. In Proceedings of the ptBIM 2026 Conference. University of Minho.</w:t>
      </w:r>
    </w:p>
    <w:p>
      <w:pPr>
        <w:spacing w:after="80" w:before="80" w:line="276" w:lineRule="auto"/>
        <w:jc w:val="both"/>
      </w:pPr>
      <w:r>
        <w:rPr>
          <w:rFonts w:ascii="Arial" w:cs="Arial" w:eastAsia="Arial" w:hAnsi="Arial"/>
          <w:sz w:val="22"/>
          <w:szCs w:val="22"/>
        </w:rPr>
        <w:t xml:space="preserve">Hjelseth, E., &amp; Nisbet, N. (2011). Capturing normative constraints by use of the semantic mark-up RASE methodology. In Proceedings of the 28th CIB W78 Conference.</w:t>
      </w:r>
    </w:p>
    <w:p>
      <w:pPr>
        <w:spacing w:after="80" w:before="80" w:line="276" w:lineRule="auto"/>
        <w:jc w:val="both"/>
      </w:pPr>
      <w:r>
        <w:rPr>
          <w:rFonts w:ascii="Arial" w:cs="Arial" w:eastAsia="Arial" w:hAnsi="Arial"/>
          <w:sz w:val="22"/>
          <w:szCs w:val="22"/>
        </w:rPr>
        <w:t xml:space="preserve">Jiang, J., Zhou, H., &amp; Li, G. (2023). Knowledge graph question answering via natural language understanding: A survey. Information Fusion, 96, 35–52. https://doi.org/10.1016/j.inffus.2023.03.005</w:t>
      </w:r>
    </w:p>
    <w:p>
      <w:pPr>
        <w:spacing w:after="80" w:before="80" w:line="276" w:lineRule="auto"/>
        <w:jc w:val="both"/>
      </w:pPr>
      <w:r>
        <w:rPr>
          <w:rFonts w:ascii="Arial" w:cs="Arial" w:eastAsia="Arial" w:hAnsi="Arial"/>
          <w:sz w:val="22"/>
          <w:szCs w:val="22"/>
        </w:rPr>
        <w:t xml:space="preserve">Pauwels, P., &amp; Terkaj, W. (2016). EXPRESS to OWL for construction industry: Towards a recommendable and usable ifcOWL ontology. Automation in Construction, 63, 100–133. https://doi.org/10.1016/j.autcon.2015.12.003</w:t>
      </w:r>
    </w:p>
    <w:p>
      <w:pPr>
        <w:spacing w:after="80" w:before="80" w:line="276" w:lineRule="auto"/>
        <w:jc w:val="both"/>
      </w:pPr>
      <w:r>
        <w:rPr>
          <w:rFonts w:ascii="Arial" w:cs="Arial" w:eastAsia="Arial" w:hAnsi="Arial"/>
          <w:sz w:val="22"/>
          <w:szCs w:val="22"/>
        </w:rPr>
        <w:t xml:space="preserve">Rajkumar, N., Li, R., &amp; Bahdanau, D. (2022). Evaluating the text-to-SQL capabilities of large language models. arXiv preprint arXiv:2204.00498.</w:t>
      </w:r>
    </w:p>
    <w:p>
      <w:pPr>
        <w:spacing w:after="80" w:before="80" w:line="276" w:lineRule="auto"/>
        <w:jc w:val="both"/>
      </w:pPr>
      <w:r>
        <w:rPr>
          <w:rFonts w:ascii="Arial" w:cs="Arial" w:eastAsia="Arial" w:hAnsi="Arial"/>
          <w:sz w:val="22"/>
          <w:szCs w:val="22"/>
        </w:rPr>
        <w:t xml:space="preserve">Vo, T. H., Nguyen, T., Le, T., &amp; Kim, J. (2022). Interoperability between parametric BIM tools and Grasshopper for automated rule checking. Automation in Construction, 138, 104202. https://doi.org/10.1016/j.autcon.2022.104202</w:t>
      </w:r>
    </w:p>
    <w:p>
      <w:pPr>
        <w:spacing w:after="80" w:before="80" w:line="276" w:lineRule="auto"/>
        <w:jc w:val="both"/>
      </w:pPr>
      <w:r>
        <w:rPr>
          <w:rFonts w:ascii="Arial" w:cs="Arial" w:eastAsia="Arial" w:hAnsi="Arial"/>
          <w:sz w:val="22"/>
          <w:szCs w:val="22"/>
        </w:rPr>
        <w:t xml:space="preserve">Wei, J., Wang, X., Schuurmans, D., Bosma, M., Ichter, B., Xia, F., Chi, E. H., Le, Q. V., &amp; Zhou, D. (2022). Chain-of-thought prompting elicits reasoning in large language models. Advances in Neural Information Processing Systems, 35, 24824–24837.</w:t>
      </w:r>
    </w:p>
    <w:p>
      <w:pPr>
        <w:spacing w:after="80" w:before="80" w:line="276" w:lineRule="auto"/>
        <w:jc w:val="both"/>
      </w:pPr>
      <w:r>
        <w:rPr>
          <w:rFonts w:ascii="Arial" w:cs="Arial" w:eastAsia="Arial" w:hAnsi="Arial"/>
          <w:sz w:val="22"/>
          <w:szCs w:val="22"/>
        </w:rPr>
        <w:t xml:space="preserve">Werbrouck, J., Pauwels, P., Beetz, J., &amp; van Berlo, L. (2021). Towards a decentralised common data environment using Linked Building Data and the Solid ecosystem. In Proceedings of the 38th CIB W78 Conference. https://doi.org/10.46421/2706-6568.38.2021.paper035</w:t>
      </w:r>
    </w:p>
    <w:p>
      <w:pPr>
        <w:spacing w:after="80" w:before="80" w:line="276" w:lineRule="auto"/>
        <w:jc w:val="both"/>
      </w:pPr>
      <w:r>
        <w:rPr>
          <w:rFonts w:ascii="Arial" w:cs="Arial" w:eastAsia="Arial" w:hAnsi="Arial"/>
          <w:sz w:val="22"/>
          <w:szCs w:val="22"/>
        </w:rPr>
        <w:t xml:space="preserve">Woodbury, R. (2010). Elements of parametric design. Routledge.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 w:type="paragraph" w:styleId="Heading3">
    <w:name w:val="Heading 3"/>
    <w:basedOn w:val="Normal"/>
    <w:next w:val="Normal"/>
    <w:qFormat/>
    <w:pPr>
      <w:spacing w:after="120" w:before="2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2026-05-23T23:17:37.699Z</dcterms:created>
  <dcterms:modified xsi:type="dcterms:W3CDTF">2026-05-23T23:17:37.705Z</dcterms:modified>
</cp:coreProperties>
</file>

<file path=docProps/custom.xml><?xml version="1.0" encoding="utf-8"?>
<Properties xmlns="http://schemas.openxmlformats.org/officeDocument/2006/custom-properties" xmlns:vt="http://schemas.openxmlformats.org/officeDocument/2006/docPropsVTypes"/>
</file>