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2"/>
          <w:szCs w:val="32"/>
        </w:rPr>
        <w:t xml:space="preserve">Design Space Analysis, Generation and Prediction in</w:t>
      </w:r>
    </w:p>
    <w:p>
      <w:pPr>
        <w:spacing w:after="200"/>
        <w:jc w:val="center"/>
      </w:pPr>
      <w:r>
        <w:rPr>
          <w:rFonts w:ascii="Times New Roman" w:cs="Times New Roman" w:eastAsia="Times New Roman" w:hAnsi="Times New Roman"/>
          <w:b/>
          <w:bCs/>
          <w:sz w:val="32"/>
          <w:szCs w:val="32"/>
        </w:rPr>
        <w:t xml:space="preserve">Constraint-Driven Parametric Design Workflows</w:t>
      </w:r>
    </w:p>
    <w:p>
      <w:pPr>
        <w:spacing w:after="60"/>
        <w:jc w:val="center"/>
      </w:pPr>
      <w:r>
        <w:rPr>
          <w:rFonts w:ascii="Times New Roman" w:cs="Times New Roman" w:eastAsia="Times New Roman" w:hAnsi="Times New Roman"/>
          <w:sz w:val="24"/>
          <w:szCs w:val="24"/>
        </w:rPr>
        <w:t xml:space="preserve">Evgenii Ermolenko</w:t>
      </w:r>
    </w:p>
    <w:p>
      <w:pPr>
        <w:spacing w:after="300"/>
        <w:jc w:val="center"/>
      </w:pPr>
      <w:r>
        <w:rPr>
          <w:rFonts w:ascii="Times New Roman" w:cs="Times New Roman" w:eastAsia="Times New Roman" w:hAnsi="Times New Roman"/>
          <w:i/>
          <w:iCs/>
          <w:sz w:val="22"/>
          <w:szCs w:val="22"/>
        </w:rPr>
        <w:t xml:space="preserve">University of Minho, School of Engineering, Department of Civil Engineering</w:t>
      </w:r>
    </w:p>
    <w:p>
      <w:pPr>
        <w:spacing w:after="80"/>
      </w:pPr>
      <w:r>
        <w:rPr>
          <w:rFonts w:ascii="Times New Roman" w:cs="Times New Roman" w:eastAsia="Times New Roman" w:hAnsi="Times New Roman"/>
          <w:b/>
          <w:bCs/>
          <w:sz w:val="24"/>
          <w:szCs w:val="24"/>
        </w:rPr>
        <w:t xml:space="preserve">This paper contributes:</w:t>
      </w:r>
    </w:p>
    <w:p>
      <w:pPr>
        <w:spacing w:after="160"/>
      </w:pPr>
      <w:r>
        <w:rPr>
          <w:rFonts w:ascii="Times New Roman" w:cs="Times New Roman" w:eastAsia="Times New Roman" w:hAnsi="Times New Roman"/>
          <w:sz w:val="24"/>
          <w:szCs w:val="24"/>
        </w:rPr>
        <w:t xml:space="preserve">1. A formal definition of design space as the collection of parameter-vector/compliance-profile/metric-vector triples accumulated over a design session, grounded in the DesignStateSnapshot and ValidationRun infrastructure introduced in the prior papers of this series.</w:t>
      </w:r>
    </w:p>
    <w:p>
      <w:pPr>
        <w:spacing w:after="160"/>
      </w:pPr>
      <w:r>
        <w:rPr>
          <w:rFonts w:ascii="Times New Roman" w:cs="Times New Roman" w:eastAsia="Times New Roman" w:hAnsi="Times New Roman"/>
          <w:sz w:val="24"/>
          <w:szCs w:val="24"/>
        </w:rPr>
        <w:t xml:space="preserve">2. A MetricSpec operator language that allows domain experts to define custom evaluation criteria in natural language, which an LLM pipeline converts to arithmetic expressions over named design state parameters and persists as nodes in a new DesignSpaceGraph layer.</w:t>
      </w:r>
    </w:p>
    <w:p>
      <w:pPr>
        <w:spacing w:after="160"/>
      </w:pPr>
      <w:r>
        <w:rPr>
          <w:rFonts w:ascii="Times New Roman" w:cs="Times New Roman" w:eastAsia="Times New Roman" w:hAnsi="Times New Roman"/>
          <w:sz w:val="24"/>
          <w:szCs w:val="24"/>
        </w:rPr>
        <w:t xml:space="preserve">3. A retrospective metric computation service that projects accumulated validation run history into a multi-dimensional design space, enabling cross-state comparison beyond binary compliance.</w:t>
      </w:r>
    </w:p>
    <w:p>
      <w:pPr>
        <w:spacing w:after="160"/>
      </w:pPr>
      <w:r>
        <w:rPr>
          <w:rFonts w:ascii="Times New Roman" w:cs="Times New Roman" w:eastAsia="Times New Roman" w:hAnsi="Times New Roman"/>
          <w:sz w:val="24"/>
          <w:szCs w:val="24"/>
        </w:rPr>
        <w:t xml:space="preserve">4. A constraint-guided state generation mechanism that combines LLM-assisted parameter suggestion with Latin hypercube sampling, using the SWRL rule set from the Metagraph layer as hard compliance constraints and operator-defined metrics as optimisation objectives.</w:t>
      </w:r>
    </w:p>
    <w:p>
      <w:pPr>
        <w:spacing w:after="160"/>
      </w:pPr>
      <w:r>
        <w:rPr>
          <w:rFonts w:ascii="Times New Roman" w:cs="Times New Roman" w:eastAsia="Times New Roman" w:hAnsi="Times New Roman"/>
          <w:sz w:val="24"/>
          <w:szCs w:val="24"/>
        </w:rPr>
        <w:t xml:space="preserve">5. A DESIGN SPACE Grasshopper component and complementary UI visualisation panel that integrate with the existing DGS component chain to make design space navigation interactive and regimented.</w:t>
      </w:r>
    </w:p>
    <w:p>
      <w:pPr>
        <w:pageBreakBefore/>
      </w:pPr>
    </w:p>
    <w:p>
      <w:pPr>
        <w:spacing w:after="240"/>
        <w:jc w:val="center"/>
      </w:pPr>
      <w:r>
        <w:rPr>
          <w:rFonts w:ascii="Times New Roman" w:cs="Times New Roman" w:eastAsia="Times New Roman" w:hAnsi="Times New Roman"/>
          <w:b/>
          <w:bCs/>
          <w:caps/>
          <w:sz w:val="28"/>
          <w:szCs w:val="28"/>
        </w:rPr>
        <w:t xml:space="preserve">DESIGN SPACE ANALYSIS, GENERATION AND PREDICTION IN CONSTRAINT-DRIVEN PARAMETRIC DESIGN WORKFLOWS</w:t>
      </w:r>
    </w:p>
    <w:p>
      <w:pPr>
        <w:spacing w:after="60"/>
        <w:jc w:val="center"/>
      </w:pPr>
      <w:r>
        <w:rPr>
          <w:rFonts w:ascii="Times New Roman" w:cs="Times New Roman" w:eastAsia="Times New Roman" w:hAnsi="Times New Roman"/>
          <w:b/>
          <w:bCs/>
          <w:sz w:val="24"/>
          <w:szCs w:val="24"/>
        </w:rPr>
        <w:t xml:space="preserve">Evgenii Ermolenko</w:t>
      </w:r>
    </w:p>
    <w:p>
      <w:pPr>
        <w:spacing w:after="300"/>
        <w:jc w:val="center"/>
      </w:pPr>
      <w:r>
        <w:rPr>
          <w:rFonts w:ascii="Times New Roman" w:cs="Times New Roman" w:eastAsia="Times New Roman" w:hAnsi="Times New Roman"/>
          <w:i/>
          <w:iCs/>
          <w:sz w:val="24"/>
          <w:szCs w:val="24"/>
        </w:rPr>
        <w:t xml:space="preserve">University of Minho, School of Engineering, Department of Civil Engineering, Guimarães, Portugal</w:t>
      </w:r>
    </w:p>
    <w:p>
      <w:pPr>
        <w:pStyle w:val="Heading1"/>
        <w:spacing w:after="160" w:before="400"/>
      </w:pPr>
      <w:r>
        <w:t xml:space="preserve">ABSTRACT</w:t>
      </w:r>
    </w:p>
    <w:p>
      <w:pPr>
        <w:spacing w:after="160"/>
      </w:pPr>
      <w:r>
        <w:rPr>
          <w:rFonts w:ascii="Times New Roman" w:cs="Times New Roman" w:eastAsia="Times New Roman" w:hAnsi="Times New Roman"/>
          <w:sz w:val="24"/>
          <w:szCs w:val="24"/>
        </w:rPr>
        <w:t xml:space="preserve">This paper presents the fourth part of a series formalising the Design Grammar System (DGS), a multi-service platform that converts natural language design rules into graph-encoded SWRL ontology atoms and evaluates parametric BIM geometries against those rules. The preceding papers established the ontological schema (Ermolenko, 2026a), the rule encoding pipeline and Grasshopper plugin integration (Ermolenko, 2026b), and the design state tracking and longitudinal validation infrastructure (Ermolenko, 2026c). This paper extends that infrastructure to support design space reasoning: the accumulated history of design states and their validation outcomes is treated as a sparse sample of a multi-dimensional design space, and the DGS is extended to populate, analyse, and navigate that space.</w:t>
      </w:r>
    </w:p>
    <w:p>
      <w:pPr>
        <w:spacing w:after="160"/>
      </w:pPr>
      <w:r>
        <w:rPr>
          <w:rFonts w:ascii="Times New Roman" w:cs="Times New Roman" w:eastAsia="Times New Roman" w:hAnsi="Times New Roman"/>
          <w:sz w:val="24"/>
          <w:szCs w:val="24"/>
        </w:rPr>
        <w:t xml:space="preserve">The contributions are a formal design space data model (DesignSpaceGraph, MetricSpec, DesignSpacePoint), an operator metric language that uses the same LLM pipeline as rule encoding to convert natural language metric descriptions into arithmetic expressions over design state parameters, a retrospective metric computation service, a constraint-guided state generation mechanism combining LLM-assisted suggestion with Latin hypercube sampling, and a DESIGN SPACE Grasshopper component. A case study extending the mixed-use tower scenario from the third paper demonstrates that the generation mechanism produces compliant candidate states that outperform the best manually visited state on two of three operator-defined metrics, and that design space trajectory visualisation surfaces trade-offs that are not apparent from tabular run history alone.</w:t>
      </w:r>
    </w:p>
    <w:p>
      <w:pPr>
        <w:spacing w:after="20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design space; design state; parametric design; compliance checking; BIM; ontology; design generation; constraint satisfaction; Grasshopper; Neo4j</w:t>
      </w:r>
    </w:p>
    <w:p>
      <w:pPr>
        <w:pStyle w:val="Heading1"/>
        <w:spacing w:after="160" w:before="400"/>
      </w:pPr>
      <w:r>
        <w:t xml:space="preserve">1. INTRODUCTION</w:t>
      </w:r>
    </w:p>
    <w:p>
      <w:pPr>
        <w:spacing w:after="160"/>
      </w:pPr>
      <w:r>
        <w:rPr>
          <w:rFonts w:ascii="Times New Roman" w:cs="Times New Roman" w:eastAsia="Times New Roman" w:hAnsi="Times New Roman"/>
          <w:sz w:val="24"/>
          <w:szCs w:val="24"/>
        </w:rPr>
        <w:t xml:space="preserve">Architectural design is inherently exploratory. A practitioner working within a Grasshopper parametric model does not approach a pre-specified target: they navigate a landscape of possible configurations, guided by intuition, client requirements, and regulatory constraints. The Design Grammar System (DGS) series has progressively formalised the infrastructure that supports this navigation: T1 (Ermolenko, 2026a) defined how design rules are encoded as SWRL atoms in a Neo4j graph; T2 (Ermolenko, 2026b) described how natural language rules are converted by an LLM pipeline into that encoding and how a Grasshopper plugin evaluates geometries against the resulting rule set; T3 (Ermolenko, 2026c) introduced the tracking infrastructure that records each design state as a DesignStateSnapshot, each compliance evaluation as a ValidationRun, and enables non-linear design exploration via state reinstatement.</w:t>
      </w:r>
    </w:p>
    <w:p>
      <w:pPr>
        <w:spacing w:after="160"/>
      </w:pPr>
      <w:r>
        <w:rPr>
          <w:rFonts w:ascii="Times New Roman" w:cs="Times New Roman" w:eastAsia="Times New Roman" w:hAnsi="Times New Roman"/>
          <w:sz w:val="24"/>
          <w:szCs w:val="24"/>
        </w:rPr>
        <w:t xml:space="preserve">The tracking infrastructure established in T3 produces a growing archive of visited design states, each with its parameter vector and compliance profile. This archive is, in effect, a sparse sample of the design space — the set of all possible design solutions expressed as parameter-vector/compliance-profile pairs. T3 exploited this archive for longitudinal compliance analysis (how violations evolve across iterations) but left its analytical potential largely untapped. Two capabilities are absent: first, the ability to evaluate design states along dimensions beyond binary compliance, using operator-defined metrics that reflect project-specific priorities (floor efficiency, compactness, solar exposure, cost proxies); second, the ability to generate new design states that the practitioner has not yet visited, synthesised to satisfy compliance constraints and score well on operator metrics.</w:t>
      </w:r>
    </w:p>
    <w:p>
      <w:pPr>
        <w:spacing w:after="160"/>
      </w:pPr>
      <w:r>
        <w:rPr>
          <w:rFonts w:ascii="Times New Roman" w:cs="Times New Roman" w:eastAsia="Times New Roman" w:hAnsi="Times New Roman"/>
          <w:sz w:val="24"/>
          <w:szCs w:val="24"/>
        </w:rPr>
        <w:t xml:space="preserve">This paper addresses both capabilities. It formalises the design space as a typed graph layer (DesignSpaceGraph) that extends the ValidationGraph established in T3. It introduces the MetricSpec: a node type that encodes an operator-defined metric as an arithmetic expression over DesignStateSnapshot parameters, ingested via a natural language prompt using the same LLM pipeline as rule encoding. It presents a retrospective metric computation service that projects historical ValidationRun records into the multi-dimensional space defined by active MetricSpecs. And it introduces two state generation mechanisms — LLM-assisted parameter suggestion and Latin hypercube sampling with compliance filtering — that populate the design space with candidate states the practitioner can inspect and, via the REINSTATE component from T3, navigate to directly.</w:t>
      </w:r>
    </w:p>
    <w:p>
      <w:pPr>
        <w:spacing w:after="160"/>
      </w:pPr>
      <w:r>
        <w:rPr>
          <w:rFonts w:ascii="Times New Roman" w:cs="Times New Roman" w:eastAsia="Times New Roman" w:hAnsi="Times New Roman"/>
          <w:sz w:val="24"/>
          <w:szCs w:val="24"/>
        </w:rPr>
        <w:t xml:space="preserve">The resulting DESIGN SPACE Grasshopper component integrates these capabilities into the existing DGS component chain, adding three outputs: a metric vector for the current design state, a ranked list of historical compliant states nearest to operator metric targets, and a list of generated candidate states. A complementary browser-side visualisation panel renders the design space as a parallel coordinates plot overlaying historical and generated states, enabling the practitioner to reason about trade-offs at a glance.</w:t>
      </w:r>
    </w:p>
    <w:p>
      <w:pPr>
        <w:spacing w:after="160"/>
      </w:pPr>
      <w:r>
        <w:rPr>
          <w:rFonts w:ascii="Times New Roman" w:cs="Times New Roman" w:eastAsia="Times New Roman" w:hAnsi="Times New Roman"/>
          <w:sz w:val="24"/>
          <w:szCs w:val="24"/>
        </w:rPr>
        <w:t xml:space="preserve">The paper is organised as follows. Section 2 reviews related work on design space exploration, multi-criteria evaluation, generative design, and LLM-assisted design in AEC. Section 3 formalises the design space data model. Section 4 describes the operator metric language. Section 5 presents the retrospective metric computation service and design space analysis. Section 6 introduces the constraint-guided state generation mechanisms. Section 7 describes the DESIGN SPACE Grasshopper component and UI visualisation. Section 8 reports a longitudinal case study. Section 9 discusses limitations and the relationship to existing exploration tools. Section 10 concludes.</w:t>
      </w:r>
    </w:p>
    <w:p>
      <w:pPr>
        <w:pStyle w:val="Heading1"/>
        <w:spacing w:after="160" w:before="400"/>
      </w:pPr>
      <w:r>
        <w:t xml:space="preserve">2. BACKGROUND AND RELATED WORK</w:t>
      </w:r>
    </w:p>
    <w:p>
      <w:pPr>
        <w:pStyle w:val="Heading2"/>
        <w:spacing w:after="120" w:before="280"/>
      </w:pPr>
      <w:r>
        <w:t xml:space="preserve">2.1 Design Space Exploration in Architecture</w:t>
      </w:r>
    </w:p>
    <w:p>
      <w:pPr>
        <w:spacing w:after="160"/>
      </w:pPr>
      <w:r>
        <w:rPr>
          <w:rFonts w:ascii="Times New Roman" w:cs="Times New Roman" w:eastAsia="Times New Roman" w:hAnsi="Times New Roman"/>
          <w:sz w:val="24"/>
          <w:szCs w:val="24"/>
        </w:rPr>
        <w:t xml:space="preserve">Design space exploration (DSE) in parametric architecture refers to the systematic examination of a parameter space — typically high-dimensional and continuous — to identify configurations that satisfy multiple objectives simultaneously (Oxman, 2006). Evolutionary algorithms, particularly genetic algorithms and multi-objective variants, have been the dominant paradigm: Galapagos (Rutten, 2010) operates within Grasshopper and minimises or maximises a single fitness value; Octopus extends this to Pareto-front multi-objective search; Wallacei provides statistical analysis of fitness populations. These tools frame exploration as an optimisation problem and operate by autonomously sampling the parameter space, evaluating a fitness function, and iterating.</w:t>
      </w:r>
    </w:p>
    <w:p>
      <w:pPr>
        <w:spacing w:after="160"/>
      </w:pPr>
      <w:r>
        <w:rPr>
          <w:rFonts w:ascii="Times New Roman" w:cs="Times New Roman" w:eastAsia="Times New Roman" w:hAnsi="Times New Roman"/>
          <w:sz w:val="24"/>
          <w:szCs w:val="24"/>
        </w:rPr>
        <w:t xml:space="preserve">The DGS approach is complementary rather than competitive. Rather than autonomous sampling, the DGS treats the practitioner's manually visited states as the primary dataset and enriches them with compliance and metric information. The generative mechanisms introduced in this paper produce candidate states as suggestions for the practitioner to inspect, not as an automated optimiser. This preserves practitioner agency while extending the analytical reach of each visited state. The distinction parallels the difference between an optimiser and a recommender: both operate over the same parameter space, but the recommender surfaces options for human decision-making rather than converging on a single optimum.</w:t>
      </w:r>
    </w:p>
    <w:p>
      <w:pPr>
        <w:pStyle w:val="Heading2"/>
        <w:spacing w:after="120" w:before="280"/>
      </w:pPr>
      <w:r>
        <w:t xml:space="preserve">2.2 Multi-Criteria Evaluation in Parametric Design</w:t>
      </w:r>
    </w:p>
    <w:p>
      <w:pPr>
        <w:spacing w:after="160"/>
      </w:pPr>
      <w:r>
        <w:rPr>
          <w:rFonts w:ascii="Times New Roman" w:cs="Times New Roman" w:eastAsia="Times New Roman" w:hAnsi="Times New Roman"/>
          <w:sz w:val="24"/>
          <w:szCs w:val="24"/>
        </w:rPr>
        <w:t xml:space="preserve">Multi-criteria decision making (MCDM) in parametric design has been studied in the context of energy performance (Shi et al., 2017), structural efficiency (Mueller &amp; Ochsendorf, 2015), and façade optimisation (Caldas, 2008). These studies typically operationalise criteria as simulation outputs — EnergyPlus loads, finite element stress resultants, daylight factors — requiring external simulation tools coupled to the parametric model. The DGS metric specification operates on a strictly lighter substrate: arithmetic expressions over the named slider parameters stored in the DesignStateSnapshot, without invoking external simulation. This limits metric richness (solar exposure cannot be computed to the precision of a Radiance simulation from slider values alone) but eliminates the coupling overhead and makes metric evaluation instantaneous, suitable for interactive design exploration.</w:t>
      </w:r>
    </w:p>
    <w:p>
      <w:pPr>
        <w:spacing w:after="160"/>
      </w:pPr>
      <w:r>
        <w:rPr>
          <w:rFonts w:ascii="Times New Roman" w:cs="Times New Roman" w:eastAsia="Times New Roman" w:hAnsi="Times New Roman"/>
          <w:sz w:val="24"/>
          <w:szCs w:val="24"/>
        </w:rPr>
        <w:t xml:space="preserve">The trade-off between metric richness and evaluation speed has been addressed in the literature through surrogate models: fast approximators trained on a set of full-simulation evaluations. The DGS accumulated run history is a natural training set for surrogate construction, and Section 9 discusses this as a future direction. The present paper operates without surrogates: metrics are closed-form expressions, and compliance is evaluated directly by the existing SWRL rule engine.</w:t>
      </w:r>
    </w:p>
    <w:p>
      <w:pPr>
        <w:pStyle w:val="Heading2"/>
        <w:spacing w:after="120" w:before="280"/>
      </w:pPr>
      <w:r>
        <w:t xml:space="preserve">2.3 Generative Design and LLM-Assisted Configuration</w:t>
      </w:r>
    </w:p>
    <w:p>
      <w:pPr>
        <w:spacing w:after="160"/>
      </w:pPr>
      <w:r>
        <w:rPr>
          <w:rFonts w:ascii="Times New Roman" w:cs="Times New Roman" w:eastAsia="Times New Roman" w:hAnsi="Times New Roman"/>
          <w:sz w:val="24"/>
          <w:szCs w:val="24"/>
        </w:rPr>
        <w:t xml:space="preserve">Generative design in AEC refers to the automated production of design alternatives guided by constraints and objectives (Shea et al., 2005). Commercial platforms (Autodesk Generative Design, nTopology) couple topology optimisation or evolutionary search to manufacturing constraints. These platforms operate at the geometry level, generating shapes rather than parameter configurations. The DGS works at the parameter level: a design state is a slider/toggle configuration, and generation means proposing a new configuration vector, not synthesising new geometry.</w:t>
      </w:r>
    </w:p>
    <w:p>
      <w:pPr>
        <w:spacing w:after="160"/>
      </w:pPr>
      <w:r>
        <w:rPr>
          <w:rFonts w:ascii="Times New Roman" w:cs="Times New Roman" w:eastAsia="Times New Roman" w:hAnsi="Times New Roman"/>
          <w:sz w:val="24"/>
          <w:szCs w:val="24"/>
        </w:rPr>
        <w:t xml:space="preserve">Large language models have recently been applied to architectural design ideation (Huang et al., 2024) and to design constraint satisfaction (Chen et al., 2023). Their use in the DGS is analogous to their role in rule encoding (T2): the LLM is prompted with a structured context (current design state, metric history, rule set) and asked to propose adjustments to named parameters. The LLM does not execute code or access the Grasshopper model directly; it returns a JSON parameter vector that the DESIGN SPACE component converts to a DesignStateSnapshot. This is the same bounded-output pattern used in T2's n8n encoding workflow, and it inherits the same robustness properties: the LLM output is parsed, validated against the parameter domain, and rejected if malformed or out of range.</w:t>
      </w:r>
    </w:p>
    <w:p>
      <w:pPr>
        <w:pStyle w:val="Heading2"/>
        <w:spacing w:after="120" w:before="280"/>
      </w:pPr>
      <w:r>
        <w:t xml:space="preserve">2.4 Graph-Based Design History and Provenance</w:t>
      </w:r>
    </w:p>
    <w:p>
      <w:pPr>
        <w:spacing w:after="160"/>
      </w:pPr>
      <w:r>
        <w:rPr>
          <w:rFonts w:ascii="Times New Roman" w:cs="Times New Roman" w:eastAsia="Times New Roman" w:hAnsi="Times New Roman"/>
          <w:sz w:val="24"/>
          <w:szCs w:val="24"/>
        </w:rPr>
        <w:t xml:space="preserve">Graph representations of design history have been studied in the context of BIM versioning (Mazairac &amp; Beetz, 2013) and design provenance for digital fabrication (Harding &amp; Shepherd, 2017). The DGS DesignSpaceGraph extends the ValidationGraph layer introduced in T3, using the same Neo4j instance and project-isolation pattern. Rather than versioning geometry elements, it versions parameter configurations and associates each version with both a compliance profile (via the LINKED_RUN relationship to ValidationRun) and a metric vector (via HAS_METRIC_VALUE relationships to MetricSpec nodes). This yields a queryable, multi-dimensional record of design intent that is more structured than a file-system version history and more lightweight than a full BIM version store.</w:t>
      </w:r>
    </w:p>
    <w:p>
      <w:pPr>
        <w:pStyle w:val="Heading1"/>
        <w:spacing w:after="160" w:before="400"/>
      </w:pPr>
      <w:r>
        <w:t xml:space="preserve">3. DESIGN SPACE FORMALISATION</w:t>
      </w:r>
    </w:p>
    <w:p>
      <w:pPr>
        <w:pStyle w:val="Heading2"/>
        <w:spacing w:after="120" w:before="280"/>
      </w:pPr>
      <w:r>
        <w:t xml:space="preserve">3.1 Design Space: Definition</w:t>
      </w:r>
    </w:p>
    <w:p>
      <w:pPr>
        <w:spacing w:after="160"/>
      </w:pPr>
      <w:r>
        <w:rPr>
          <w:rFonts w:ascii="Times New Roman" w:cs="Times New Roman" w:eastAsia="Times New Roman" w:hAnsi="Times New Roman"/>
          <w:sz w:val="24"/>
          <w:szCs w:val="24"/>
        </w:rPr>
        <w:t xml:space="preserve">The design space of a parametric model is the set of all configurations expressible by the model's free parameters. Let P = {p₁, p₂, ..., pₙ} be the set of named parameters (ParameterIds from the DesignStateSnapshot schema), each with a domain Dᵢ ⊆ ℝ (or {true, false} for boolean toggles). The full design space Ω is the Cartesian product D₁ × D₂ × ... × Dₙ — a high-dimensional continuous (or mixed) space. In practice, the DGS operates over a finite sample of Ω: the set of DesignStateSnapshots recorded during design sessions. Each snapshot is a point in Ω, identified by a SHA-256 StateId (as defined in Ermolenko, 2026c).</w:t>
      </w:r>
    </w:p>
    <w:p>
      <w:pPr>
        <w:spacing w:after="160"/>
      </w:pPr>
      <w:r>
        <w:rPr>
          <w:rFonts w:ascii="Times New Roman" w:cs="Times New Roman" w:eastAsia="Times New Roman" w:hAnsi="Times New Roman"/>
          <w:sz w:val="24"/>
          <w:szCs w:val="24"/>
        </w:rPr>
        <w:t xml:space="preserve">The design space as used in this paper is not the full Ω, but an enriched sample: each visited point is associated with a compliance profile C (the set of rule pass/fail outcomes from the corresponding ValidationRun) and a metric vector M = (m₁, m₂, ..., mₖ) computed from the parameter values by operator-defined MetricSpec expressions. A DesignSpacePoint is the tuple (StateId, parameter vector, compliance profile, metric vector). The design space Σ is the collection of DesignSpacePoints accumulated across all sessions for a project. The objective of design space analysis is to reason over Σ: to compare points, identify Pareto-optimal regions, and propose new points that the practitioner has not yet visited.</w:t>
      </w:r>
    </w:p>
    <w:p>
      <w:pPr>
        <w:pStyle w:val="Heading2"/>
        <w:spacing w:after="120" w:before="280"/>
      </w:pPr>
      <w:r>
        <w:t xml:space="preserve">3.2 DesignSpaceGraph: Fourth Graph Layer</w:t>
      </w:r>
    </w:p>
    <w:p>
      <w:pPr>
        <w:spacing w:after="160"/>
      </w:pPr>
      <w:r>
        <w:rPr>
          <w:rFonts w:ascii="Times New Roman" w:cs="Times New Roman" w:eastAsia="Times New Roman" w:hAnsi="Times New Roman"/>
          <w:sz w:val="24"/>
          <w:szCs w:val="24"/>
        </w:rPr>
        <w:t xml:space="preserve">The DGS graph schema (established in T1, Ermolenko, 2026a) organises data into three logical layers within a single Neo4j database: OntoGraph (domain ontology terms), Metagraph (rule decompositions), and ValidationGraph (compliance records). This paper introduces a fourth layer, DesignSpaceGraph, which holds metric specifications and design space points. All nodes in DesignSpaceGraph carry the property graph: 'DesignSpaceGraph' and the project isolation property project, consistent with the pattern established in T1.</w:t>
      </w:r>
    </w:p>
    <w:p>
      <w:pPr>
        <w:spacing w:after="160"/>
      </w:pPr>
      <w:r>
        <w:rPr>
          <w:rFonts w:ascii="Times New Roman" w:cs="Times New Roman" w:eastAsia="Times New Roman" w:hAnsi="Times New Roman"/>
          <w:sz w:val="24"/>
          <w:szCs w:val="24"/>
        </w:rPr>
        <w:t xml:space="preserve">The DesignSpaceGraph contains three node labels: MetricSpec (operator-defined evaluation criteria), DesignSpacePoint (one point in the enriched design space), and GeneratedCandidate (an LLM-proposed or sampled parameter configuration). Relationships connect DesignSpacePoints to MetricSpecs via HAS_METRIC_VALUE (with a numeric value property), to ValidationRuns via LINKED_RUN (providing the compliance ground truth), and GeneratedCandidates to their source DesignSpacePoints via GENERATED_FROM (carrying the generation method and timestamp). Table 1 specifies the MetricSpec node schema; Table 2 summarises the full DesignSpaceGraph structure.</w:t>
      </w:r>
    </w:p>
    <w:p>
      <w:pPr>
        <w:spacing w:after="100" w:before="200"/>
      </w:pPr>
      <w:r>
        <w:rPr>
          <w:rFonts w:ascii="Times New Roman" w:cs="Times New Roman" w:eastAsia="Times New Roman" w:hAnsi="Times New Roman"/>
          <w:b/>
          <w:bCs/>
          <w:sz w:val="24"/>
          <w:szCs w:val="24"/>
        </w:rPr>
        <w:t xml:space="preserve">Table 1. MetricSpec node schema in DesignSpaceGraph.</w:t>
      </w:r>
    </w:p>
    <w:tbl>
      <w:tblPr>
        <w:tblW w:type="dxa" w:w="9360"/>
        <w:tblBorders>
          <w:top w:val="single" w:color="000000" w:sz="6"/>
          <w:left w:val="single" w:color="000000" w:sz="6"/>
          <w:bottom w:val="single" w:color="000000" w:sz="6"/>
          <w:right w:val="single" w:color="000000" w:sz="6"/>
          <w:insideH w:val="single" w:color="auto" w:sz="4"/>
          <w:insideV w:val="single" w:color="auto" w:sz="4"/>
        </w:tblBorders>
      </w:tblPr>
      <w:tblGrid>
        <w:gridCol w:w="1600"/>
        <w:gridCol w:w="1400"/>
        <w:gridCol w:w="3760"/>
        <w:gridCol w:w="2600"/>
      </w:tblGrid>
      <w:tr>
        <w:tc>
          <w:tcPr>
            <w:shd w:fill="D9D9D9" w:color="auto" w:val="clear"/>
            <w:tcMar>
              <w:top w:type="dxa" w:w="60"/>
              <w:left w:type="dxa" w:w="100"/>
              <w:bottom w:type="dxa" w:w="60"/>
              <w:right w:type="dxa" w:w="100"/>
            </w:tcMar>
          </w:tcPr>
          <w:p>
            <w:pPr>
              <w:spacing w:after="60"/>
            </w:pPr>
            <w:r>
              <w:rPr>
                <w:rFonts w:ascii="Times New Roman" w:cs="Times New Roman" w:eastAsia="Times New Roman" w:hAnsi="Times New Roman"/>
                <w:b/>
                <w:bCs/>
                <w:sz w:val="20"/>
                <w:szCs w:val="20"/>
              </w:rPr>
              <w:t xml:space="preserve">Property</w:t>
            </w:r>
          </w:p>
        </w:tc>
        <w:tc>
          <w:tcPr>
            <w:shd w:fill="D9D9D9" w:color="auto" w:val="clear"/>
            <w:tcMar>
              <w:top w:type="dxa" w:w="60"/>
              <w:left w:type="dxa" w:w="100"/>
              <w:bottom w:type="dxa" w:w="60"/>
              <w:right w:type="dxa" w:w="100"/>
            </w:tcMar>
          </w:tcPr>
          <w:p>
            <w:pPr>
              <w:spacing w:after="60"/>
            </w:pPr>
            <w:r>
              <w:rPr>
                <w:rFonts w:ascii="Times New Roman" w:cs="Times New Roman" w:eastAsia="Times New Roman" w:hAnsi="Times New Roman"/>
                <w:b/>
                <w:bCs/>
                <w:sz w:val="20"/>
                <w:szCs w:val="20"/>
              </w:rPr>
              <w:t xml:space="preserve">Type</w:t>
            </w:r>
          </w:p>
        </w:tc>
        <w:tc>
          <w:tcPr>
            <w:shd w:fill="D9D9D9" w:color="auto" w:val="clear"/>
            <w:tcMar>
              <w:top w:type="dxa" w:w="60"/>
              <w:left w:type="dxa" w:w="100"/>
              <w:bottom w:type="dxa" w:w="60"/>
              <w:right w:type="dxa" w:w="100"/>
            </w:tcMar>
          </w:tcPr>
          <w:p>
            <w:pPr>
              <w:spacing w:after="60"/>
            </w:pPr>
            <w:r>
              <w:rPr>
                <w:rFonts w:ascii="Times New Roman" w:cs="Times New Roman" w:eastAsia="Times New Roman" w:hAnsi="Times New Roman"/>
                <w:b/>
                <w:bCs/>
                <w:sz w:val="20"/>
                <w:szCs w:val="20"/>
              </w:rPr>
              <w:t xml:space="preserve">Description</w:t>
            </w:r>
          </w:p>
        </w:tc>
        <w:tc>
          <w:tcPr>
            <w:shd w:fill="D9D9D9" w:color="auto" w:val="clear"/>
            <w:tcMar>
              <w:top w:type="dxa" w:w="60"/>
              <w:left w:type="dxa" w:w="100"/>
              <w:bottom w:type="dxa" w:w="60"/>
              <w:right w:type="dxa" w:w="100"/>
            </w:tcMar>
          </w:tcPr>
          <w:p>
            <w:pPr>
              <w:spacing w:after="60"/>
            </w:pPr>
            <w:r>
              <w:rPr>
                <w:rFonts w:ascii="Times New Roman" w:cs="Times New Roman" w:eastAsia="Times New Roman" w:hAnsi="Times New Roman"/>
                <w:b/>
                <w:bCs/>
                <w:sz w:val="20"/>
                <w:szCs w:val="20"/>
              </w:rPr>
              <w:t xml:space="preserve">Example</w:t>
            </w:r>
          </w:p>
        </w:tc>
      </w:tr>
      <w:tr>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metricId</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String</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Unique identifier, project-scoped</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DS_M_EFFICIENCY</w:t>
            </w:r>
          </w:p>
        </w:tc>
      </w:tr>
      <w:tr>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name</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String</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Human-readable metric name</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Floor Efficiency</w:t>
            </w:r>
          </w:p>
        </w:tc>
      </w:tr>
      <w:tr>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expression</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String</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Arithmetic formula over ParameterIds</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floorArea / totalArea</w:t>
            </w:r>
          </w:p>
        </w:tc>
      </w:tr>
      <w:tr>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direction</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Enum</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Optimisation direction: maximize / minimize / target</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maximize</w:t>
            </w:r>
          </w:p>
        </w:tc>
      </w:tr>
      <w:tr>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targetValue</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Float?</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Desired value (for direction=target)</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0.75</w:t>
            </w:r>
          </w:p>
        </w:tc>
      </w:tr>
      <w:tr>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unit</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String?</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Display unit or ratio</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ratio</w:t>
            </w:r>
          </w:p>
        </w:tc>
      </w:tr>
      <w:tr>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project</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String</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Project isolation key</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1</w:t>
            </w:r>
          </w:p>
        </w:tc>
      </w:tr>
      <w:tr>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graph</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String</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Graph layer identifier</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DesignSpaceGraph</w:t>
            </w:r>
          </w:p>
        </w:tc>
      </w:tr>
    </w:tbl>
    <w:p>
      <w:pPr>
        <w:spacing w:after="200"/>
      </w:pPr>
    </w:p>
    <w:p>
      <w:pPr>
        <w:spacing w:after="100" w:before="200"/>
      </w:pPr>
      <w:r>
        <w:rPr>
          <w:rFonts w:ascii="Times New Roman" w:cs="Times New Roman" w:eastAsia="Times New Roman" w:hAnsi="Times New Roman"/>
          <w:b/>
          <w:bCs/>
          <w:sz w:val="24"/>
          <w:szCs w:val="24"/>
        </w:rPr>
        <w:t xml:space="preserve">Table 2. DesignSpaceGraph node labels and relationship types.</w:t>
      </w:r>
    </w:p>
    <w:tbl>
      <w:tblPr>
        <w:tblW w:type="dxa" w:w="9360"/>
        <w:tblBorders>
          <w:top w:val="single" w:color="000000" w:sz="6"/>
          <w:left w:val="single" w:color="000000" w:sz="6"/>
          <w:bottom w:val="single" w:color="000000" w:sz="6"/>
          <w:right w:val="single" w:color="000000" w:sz="6"/>
          <w:insideH w:val="single" w:color="auto" w:sz="4"/>
          <w:insideV w:val="single" w:color="auto" w:sz="4"/>
        </w:tblBorders>
      </w:tblPr>
      <w:tblGrid>
        <w:gridCol w:w="1200"/>
        <w:gridCol w:w="2000"/>
        <w:gridCol w:w="3560"/>
        <w:gridCol w:w="2600"/>
      </w:tblGrid>
      <w:tr>
        <w:tc>
          <w:tcPr>
            <w:shd w:fill="D9D9D9" w:color="auto" w:val="clear"/>
            <w:tcMar>
              <w:top w:type="dxa" w:w="60"/>
              <w:left w:type="dxa" w:w="100"/>
              <w:bottom w:type="dxa" w:w="60"/>
              <w:right w:type="dxa" w:w="100"/>
            </w:tcMar>
          </w:tcPr>
          <w:p>
            <w:pPr>
              <w:spacing w:after="60"/>
            </w:pPr>
            <w:r>
              <w:rPr>
                <w:rFonts w:ascii="Times New Roman" w:cs="Times New Roman" w:eastAsia="Times New Roman" w:hAnsi="Times New Roman"/>
                <w:b/>
                <w:bCs/>
                <w:sz w:val="20"/>
                <w:szCs w:val="20"/>
              </w:rPr>
              <w:t xml:space="preserve">Element</w:t>
            </w:r>
          </w:p>
        </w:tc>
        <w:tc>
          <w:tcPr>
            <w:shd w:fill="D9D9D9" w:color="auto" w:val="clear"/>
            <w:tcMar>
              <w:top w:type="dxa" w:w="60"/>
              <w:left w:type="dxa" w:w="100"/>
              <w:bottom w:type="dxa" w:w="60"/>
              <w:right w:type="dxa" w:w="100"/>
            </w:tcMar>
          </w:tcPr>
          <w:p>
            <w:pPr>
              <w:spacing w:after="60"/>
            </w:pPr>
            <w:r>
              <w:rPr>
                <w:rFonts w:ascii="Times New Roman" w:cs="Times New Roman" w:eastAsia="Times New Roman" w:hAnsi="Times New Roman"/>
                <w:b/>
                <w:bCs/>
                <w:sz w:val="20"/>
                <w:szCs w:val="20"/>
              </w:rPr>
              <w:t xml:space="preserve">Label / Type</w:t>
            </w:r>
          </w:p>
        </w:tc>
        <w:tc>
          <w:tcPr>
            <w:shd w:fill="D9D9D9" w:color="auto" w:val="clear"/>
            <w:tcMar>
              <w:top w:type="dxa" w:w="60"/>
              <w:left w:type="dxa" w:w="100"/>
              <w:bottom w:type="dxa" w:w="60"/>
              <w:right w:type="dxa" w:w="100"/>
            </w:tcMar>
          </w:tcPr>
          <w:p>
            <w:pPr>
              <w:spacing w:after="60"/>
            </w:pPr>
            <w:r>
              <w:rPr>
                <w:rFonts w:ascii="Times New Roman" w:cs="Times New Roman" w:eastAsia="Times New Roman" w:hAnsi="Times New Roman"/>
                <w:b/>
                <w:bCs/>
                <w:sz w:val="20"/>
                <w:szCs w:val="20"/>
              </w:rPr>
              <w:t xml:space="preserve">Key Properties</w:t>
            </w:r>
          </w:p>
        </w:tc>
        <w:tc>
          <w:tcPr>
            <w:shd w:fill="D9D9D9" w:color="auto" w:val="clear"/>
            <w:tcMar>
              <w:top w:type="dxa" w:w="60"/>
              <w:left w:type="dxa" w:w="100"/>
              <w:bottom w:type="dxa" w:w="60"/>
              <w:right w:type="dxa" w:w="100"/>
            </w:tcMar>
          </w:tcPr>
          <w:p>
            <w:pPr>
              <w:spacing w:after="60"/>
            </w:pPr>
            <w:r>
              <w:rPr>
                <w:rFonts w:ascii="Times New Roman" w:cs="Times New Roman" w:eastAsia="Times New Roman" w:hAnsi="Times New Roman"/>
                <w:b/>
                <w:bCs/>
                <w:sz w:val="20"/>
                <w:szCs w:val="20"/>
              </w:rPr>
              <w:t xml:space="preserve">Role</w:t>
            </w:r>
          </w:p>
        </w:tc>
      </w:tr>
      <w:tr>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Node</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MetricSpec</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metricId, name, expression, direction, targetValue, unit</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Operator-defined evaluation criterion</w:t>
            </w:r>
          </w:p>
        </w:tc>
      </w:tr>
      <w:tr>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Node</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DesignSpacePoint</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pointId, stateId, capturedAtUtc, metricVector (JSON), compliant</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One point in design space with metric evaluation</w:t>
            </w:r>
          </w:p>
        </w:tc>
      </w:tr>
      <w:tr>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Node</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GeneratedCandidate</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candidateId, sourcePointId, promptText, parameterVector (JSON), score</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LLM-proposed parameter configuration</w:t>
            </w:r>
          </w:p>
        </w:tc>
      </w:tr>
      <w:tr>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Relationship</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HAS_METRIC_VALUE</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metricId, value (float)</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DesignSpacePoint → MetricSpec: numeric score</w:t>
            </w:r>
          </w:p>
        </w:tc>
      </w:tr>
      <w:tr>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Relationship</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GENERATED_FROM</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method (llm|grid|lhs), createdAt</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GeneratedCandidate → DesignSpacePoint: derivation link</w:t>
            </w:r>
          </w:p>
        </w:tc>
      </w:tr>
      <w:tr>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Relationship</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LINKED_RUN</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DesignSpacePoint → ValidationRun: compliance ground truth</w:t>
            </w:r>
          </w:p>
        </w:tc>
      </w:tr>
    </w:tbl>
    <w:p>
      <w:pPr>
        <w:spacing w:after="200"/>
      </w:pPr>
    </w:p>
    <w:p>
      <w:pPr>
        <w:pStyle w:val="Heading2"/>
        <w:spacing w:after="120" w:before="280"/>
      </w:pPr>
      <w:r>
        <w:t xml:space="preserve">3.3 DesignSpacePoint Structure</w:t>
      </w:r>
    </w:p>
    <w:p>
      <w:pPr>
        <w:spacing w:after="160"/>
      </w:pPr>
      <w:r>
        <w:rPr>
          <w:rFonts w:ascii="Times New Roman" w:cs="Times New Roman" w:eastAsia="Times New Roman" w:hAnsi="Times New Roman"/>
          <w:sz w:val="24"/>
          <w:szCs w:val="24"/>
        </w:rPr>
        <w:t xml:space="preserve">A DesignSpacePoint is created by the metric computation service (Section 5) for each historical ValidationRun that carries a statePayloadJson. The pointId is derived deterministically as 'dsp-' + the StateId of the corresponding DesignStateSnapshot, ensuring idempotency: re-computing metrics for a run that has already been projected does not create duplicate points. The compliant property is set true if and only if the LINKED_RUN ValidationRun shows zero violations across all active rules for the project. The metricVector property stores the full metric evaluation result as a JSON string, mirroring the statePayloadJson coupling pattern from T3, to allow lightweight reads without traversing HAS_METRIC_VALUE relationships.</w:t>
      </w:r>
    </w:p>
    <w:p>
      <w:pPr>
        <w:pStyle w:val="Heading2"/>
        <w:spacing w:after="120" w:before="280"/>
      </w:pPr>
      <w:r>
        <w:t xml:space="preserve">3.4 Relationship to Existing Schema</w:t>
      </w:r>
    </w:p>
    <w:p>
      <w:pPr>
        <w:spacing w:after="160"/>
      </w:pPr>
      <w:r>
        <w:rPr>
          <w:rFonts w:ascii="Times New Roman" w:cs="Times New Roman" w:eastAsia="Times New Roman" w:hAnsi="Times New Roman"/>
          <w:sz w:val="24"/>
          <w:szCs w:val="24"/>
        </w:rPr>
        <w:t xml:space="preserve">The DesignSpaceGraph layer does not modify any nodes or relationships defined in T1, T2, or T3. MetricSpec nodes reference ParameterIds by name (string matching) rather than by graph relationship, preserving the independence of the parameter namespace. DesignSpacePoints reference ValidationRuns by runId via the LINKED_RUN relationship, which is an additive relationship that does not change the ValidationRun node or its existing relationships. Schema change propagation for DesignSpaceGraph follows the same protocol as established in T1: updates must be reflected in cypher_template.txt, dataset_schema.json, relevant n8n workflow prompts, and the data-service/app.py Cypher templates.</w:t>
      </w:r>
    </w:p>
    <w:p>
      <w:pPr>
        <w:pStyle w:val="Heading1"/>
        <w:spacing w:after="160" w:before="400"/>
      </w:pPr>
      <w:r>
        <w:t xml:space="preserve">4. OPERATOR METRIC LANGUAGE</w:t>
      </w:r>
    </w:p>
    <w:p>
      <w:pPr>
        <w:pStyle w:val="Heading2"/>
        <w:spacing w:after="120" w:before="280"/>
      </w:pPr>
      <w:r>
        <w:t xml:space="preserve">4.1 Metric Specification in Natural Language</w:t>
      </w:r>
    </w:p>
    <w:p>
      <w:pPr>
        <w:spacing w:after="160"/>
      </w:pPr>
      <w:r>
        <w:rPr>
          <w:rFonts w:ascii="Times New Roman" w:cs="Times New Roman" w:eastAsia="Times New Roman" w:hAnsi="Times New Roman"/>
          <w:sz w:val="24"/>
          <w:szCs w:val="24"/>
        </w:rPr>
        <w:t xml:space="preserve">The barrier to metric adoption in parametric design tools is typically the specification interface: practitioners are asked to write simulation scripts, Python functions, or optimisation objective definitions that require programming literacy. The DGS metric language applies the same pattern used for rule encoding in T2: the practitioner expresses a metric in natural language, and the LLM pipeline converts it to a machine-executable form. The natural language form is called a metric prompt; the machine-executable form is an arithmetic expression over ParameterIds.</w:t>
      </w:r>
    </w:p>
    <w:p>
      <w:pPr>
        <w:spacing w:after="160"/>
      </w:pPr>
      <w:r>
        <w:rPr>
          <w:rFonts w:ascii="Times New Roman" w:cs="Times New Roman" w:eastAsia="Times New Roman" w:hAnsi="Times New Roman"/>
          <w:sz w:val="24"/>
          <w:szCs w:val="24"/>
        </w:rPr>
        <w:t xml:space="preserve">Examples of metric prompts and their corresponding expressions: "floor efficiency = usable floor area relative to the total site footprint" → floorArea / siteArea; "facade compactness = ratio of volume to surface area" → (floorArea * height) / (2 * (floorLength + floorWidth) * height + 2 * floorArea); "solar exposure proxy = south-facing facade fraction weighted by height" → (southFacadeWidth / (southFacadeWidth + northFacadeWidth)) * height. The LLM is not inventing new parameters; it maps the practitioner's natural language description to named ParameterIds that exist in the DesignStateSnapshot schema for the current project.</w:t>
      </w:r>
    </w:p>
    <w:p>
      <w:pPr>
        <w:pStyle w:val="Heading2"/>
        <w:spacing w:after="120" w:before="280"/>
      </w:pPr>
      <w:r>
        <w:t xml:space="preserve">4.2 Metric Ingestion Workflow</w:t>
      </w:r>
    </w:p>
    <w:p>
      <w:pPr>
        <w:spacing w:after="160"/>
      </w:pPr>
      <w:r>
        <w:rPr>
          <w:rFonts w:ascii="Times New Roman" w:cs="Times New Roman" w:eastAsia="Times New Roman" w:hAnsi="Times New Roman"/>
          <w:sz w:val="24"/>
          <w:szCs w:val="24"/>
        </w:rPr>
        <w:t xml:space="preserve">Metric ingestion is implemented as an extension of the existing n8n rule-ingestion webhook workflow described in T2 (Ermolenko, 2026b). A dedicated metric-ingest endpoint receives a JSON payload containing the project identifier, the natural language metric prompt, and the list of ParameterIds currently active for the project (extracted from the most recent DesignStateSnapshot). The n8n workflow constructs an LLM prompt containing: (1) the list of available ParameterIds with their types and recent value ranges, (2) the metric prompt from the operator, (3) a directive to produce an arithmetic expression using only the listed ParameterIds, standard arithmetic operators, and numeric constants, (4) a JSON output format specification including the metricId, name, expression, direction, targetValue (if specified), and unit.</w:t>
      </w:r>
    </w:p>
    <w:p>
      <w:pPr>
        <w:spacing w:after="160"/>
      </w:pPr>
      <w:r>
        <w:rPr>
          <w:rFonts w:ascii="Times New Roman" w:cs="Times New Roman" w:eastAsia="Times New Roman" w:hAnsi="Times New Roman"/>
          <w:sz w:val="24"/>
          <w:szCs w:val="24"/>
        </w:rPr>
        <w:t xml:space="preserve">The LLM output is parsed by a new n8n Function node that validates the expression using a simple recursive descent parser: the expression is tokenised, and each token is checked against the allowed ParameterIds and operator set. Expressions that reference undefined parameter names, contain function calls other than the four arithmetic operators, or produce a non-numeric parse tree are rejected, and the endpoint returns a 422 Unprocessable Entity with a validation error. Valid expressions are stored as MetricSpec nodes in the DesignSpaceGraph via a MERGE Cypher statement, following the idempotency pattern from T2.</w:t>
      </w:r>
    </w:p>
    <w:p>
      <w:pPr>
        <w:pStyle w:val="Heading2"/>
        <w:spacing w:after="120" w:before="280"/>
      </w:pPr>
      <w:r>
        <w:t xml:space="preserve">4.3 Expression Evaluation</w:t>
      </w:r>
    </w:p>
    <w:p>
      <w:pPr>
        <w:spacing w:after="160"/>
      </w:pPr>
      <w:r>
        <w:rPr>
          <w:rFonts w:ascii="Times New Roman" w:cs="Times New Roman" w:eastAsia="Times New Roman" w:hAnsi="Times New Roman"/>
          <w:sz w:val="24"/>
          <w:szCs w:val="24"/>
        </w:rPr>
        <w:t xml:space="preserve">Metric expressions are evaluated server-side by the data-service (Python FastAPI, as established in T2). Given a DesignStateSnapshot, the evaluation service extracts each parameter's typed value (NumberValue, IntegerValue, or BooleanValue, as defined in T3) and builds a local namespace for expression evaluation. Expression evaluation uses Python's ast.literal_eval-derived safe evaluator — a restricted evaluator that permits only numeric literals, the four arithmetic operators, parentheses, and names matching the ParameterIds whitelist. This prevents code injection: the LLM-generated expression string is never passed to eval() with full Python scope.</w:t>
      </w:r>
    </w:p>
    <w:p>
      <w:pPr>
        <w:spacing w:after="160"/>
      </w:pPr>
      <w:r>
        <w:rPr>
          <w:rFonts w:ascii="Times New Roman" w:cs="Times New Roman" w:eastAsia="Times New Roman" w:hAnsi="Times New Roman"/>
          <w:sz w:val="24"/>
          <w:szCs w:val="24"/>
        </w:rPr>
        <w:t xml:space="preserve">The result is a float value, or a NaN sentinel if any required parameter is absent from the snapshot (e.g., a metric referencing southFacadeWidth is undefined for a design state that did not expose that parameter). NaN values are stored as null in the metricVector JSON and excluded from distance computations and ranking. This graceful degradation is important for cross-session metric comparison: a metric defined after earlier runs were recorded will produce null for those older runs without invalidating the comparison.</w:t>
      </w:r>
    </w:p>
    <w:p>
      <w:pPr>
        <w:pStyle w:val="Heading2"/>
        <w:spacing w:after="120" w:before="280"/>
      </w:pPr>
      <w:r>
        <w:t xml:space="preserve">4.4 Metric Lifecycle and Versioning</w:t>
      </w:r>
    </w:p>
    <w:p>
      <w:pPr>
        <w:spacing w:after="160"/>
      </w:pPr>
      <w:r>
        <w:rPr>
          <w:rFonts w:ascii="Times New Roman" w:cs="Times New Roman" w:eastAsia="Times New Roman" w:hAnsi="Times New Roman"/>
          <w:sz w:val="24"/>
          <w:szCs w:val="24"/>
        </w:rPr>
        <w:t xml:space="preserve">MetricSpecs are project-scoped and persist across sessions. An operator can define multiple MetricSpecs for a project, each addressing a different design objective. MetricSpecs are not versioned in the current implementation: changing a metric expression invalidates prior HAS_METRIC_VALUE relationships, which must be recomputed by re-running the retrospective computation service (Section 5). A metricId collision is treated as an update: the MERGE statement overwrites the expression and direction properties while preserving the node identity, and the recomputation service detects the expression mismatch and re-evaluates affected DesignSpacePoints. Future work will introduce MetricSpec versioning analogous to the Rule edit-mode described in T2.</w:t>
      </w:r>
    </w:p>
    <w:p>
      <w:pPr>
        <w:pStyle w:val="Heading1"/>
        <w:spacing w:after="160" w:before="400"/>
      </w:pPr>
      <w:r>
        <w:t xml:space="preserve">5. DESIGN SPACE ANALYSIS</w:t>
      </w:r>
    </w:p>
    <w:p>
      <w:pPr>
        <w:pStyle w:val="Heading2"/>
        <w:spacing w:after="120" w:before="280"/>
      </w:pPr>
      <w:r>
        <w:t xml:space="preserve">5.1 Retrospective Metric Computation</w:t>
      </w:r>
    </w:p>
    <w:p>
      <w:pPr>
        <w:spacing w:after="160"/>
      </w:pPr>
      <w:r>
        <w:rPr>
          <w:rFonts w:ascii="Times New Roman" w:cs="Times New Roman" w:eastAsia="Times New Roman" w:hAnsi="Times New Roman"/>
          <w:sz w:val="24"/>
          <w:szCs w:val="24"/>
        </w:rPr>
        <w:t xml:space="preserve">The retrospective metric computation service is a data-service endpoint (POST /design-space/compute/{project}) that reads all ValidationRun records for a project that carry a statePayloadJson, deserialises each statePayloadJson into a DesignStateSnapshot, evaluates all active MetricSpecs against the parameter vector, and upserts the resulting DesignSpacePoint nodes and HAS_METRIC_VALUE relationships into the DesignSpaceGraph layer. The endpoint is idempotent: DesignSpacePoints are merged on pointId; HAS_METRIC_VALUE relationships are merged on the (DesignSpacePoint, MetricSpec) pair with the value property updated if the expression has changed.</w:t>
      </w:r>
    </w:p>
    <w:p>
      <w:pPr>
        <w:spacing w:after="160"/>
      </w:pPr>
      <w:r>
        <w:rPr>
          <w:rFonts w:ascii="Times New Roman" w:cs="Times New Roman" w:eastAsia="Times New Roman" w:hAnsi="Times New Roman"/>
          <w:sz w:val="24"/>
          <w:szCs w:val="24"/>
        </w:rPr>
        <w:t xml:space="preserve">The computation is synchronous for projects with fewer than 200 runs. For larger run histories, a background task is dispatched and the endpoint returns a 202 Accepted with a taskId that the caller can poll — the same async pattern used for n8n workflow execution tracking in T2. Preliminary performance measurement on a workstation-class machine (8-core CPU, 16 GB RAM) shows that metric evaluation for 50 runs and 5 MetricSpecs completes in under 200 ms, dominated by Neo4j round-trip time for statePayloadJson retrieval rather than arithmetic evaluation.</w:t>
      </w:r>
    </w:p>
    <w:p>
      <w:pPr>
        <w:pStyle w:val="Heading2"/>
        <w:spacing w:after="120" w:before="280"/>
      </w:pPr>
      <w:r>
        <w:t xml:space="preserve">5.2 Cross-State Comparison</w:t>
      </w:r>
    </w:p>
    <w:p>
      <w:pPr>
        <w:spacing w:after="160"/>
      </w:pPr>
      <w:r>
        <w:rPr>
          <w:rFonts w:ascii="Times New Roman" w:cs="Times New Roman" w:eastAsia="Times New Roman" w:hAnsi="Times New Roman"/>
          <w:sz w:val="24"/>
          <w:szCs w:val="24"/>
        </w:rPr>
        <w:t xml:space="preserve">Once the DesignSpaceGraph is populated, the design space can be queried for cross-state comparison. The ValidationRunsQueryService introduced in T3 (Ermolenko, 2026c) filters runs by ruleId and stateId; the DesignSpaceQueryService introduced in this paper filters DesignSpacePoints by MetricSpec range, compliance status, and metric target proximity. The dual-query architecture mirrors T3's dual-filter pattern: MetricSpec range filters are applied DB-side in Cypher (via HAS_METRIC_VALUE value range conditions), while metric target proximity ranking is applied app-side on the result set.</w:t>
      </w:r>
    </w:p>
    <w:p>
      <w:pPr>
        <w:spacing w:after="160"/>
      </w:pPr>
      <w:r>
        <w:rPr>
          <w:rFonts w:ascii="Times New Roman" w:cs="Times New Roman" w:eastAsia="Times New Roman" w:hAnsi="Times New Roman"/>
          <w:sz w:val="24"/>
          <w:szCs w:val="24"/>
        </w:rPr>
        <w:t xml:space="preserve">Metric target proximity is computed as the Euclidean distance of a point's metric vector from the operator-specified target vector, where each component is normalised by the observed range of that metric across all DesignSpacePoints. Compliant DesignSpacePoints (compliant = true) are ranked separately from non-compliant ones, so the "nearest compliant state" output of the DESIGN SPACE component always returns a state that satisfies all active rules, regardless of how far it lies from the metric target.</w:t>
      </w:r>
    </w:p>
    <w:p>
      <w:pPr>
        <w:pStyle w:val="Heading2"/>
        <w:spacing w:after="120" w:before="280"/>
      </w:pPr>
      <w:r>
        <w:t xml:space="preserve">5.3 Design Space Visualisation</w:t>
      </w:r>
    </w:p>
    <w:p>
      <w:pPr>
        <w:spacing w:after="160"/>
      </w:pPr>
      <w:r>
        <w:rPr>
          <w:rFonts w:ascii="Times New Roman" w:cs="Times New Roman" w:eastAsia="Times New Roman" w:hAnsi="Times New Roman"/>
          <w:sz w:val="24"/>
          <w:szCs w:val="24"/>
        </w:rPr>
        <w:t xml:space="preserve">The DGS model viewer UI is extended with a Design Space Panel — a new browser-side component that renders a parallel coordinates plot of DesignSpacePoints. Each axis corresponds to a MetricSpec; each polyline corresponds to one DesignSpacePoint. Historical points (from manually visited design states) are rendered in blue; generated candidates (Section 6) are rendered in orange; the current design state is rendered in green. Compliant points are rendered with solid lines; non-compliant points with dashed lines. Clicking a polyline selects the corresponding DesignSpacePoint and populates a side panel with the full parameter vector, compliance profile, and metric values, along with a Reinstate button that invokes the REINSTATE mechanism from T3 via a Grasshopper remote trigger.</w:t>
      </w:r>
    </w:p>
    <w:p>
      <w:pPr>
        <w:spacing w:after="160"/>
      </w:pPr>
      <w:r>
        <w:rPr>
          <w:rFonts w:ascii="Times New Roman" w:cs="Times New Roman" w:eastAsia="Times New Roman" w:hAnsi="Times New Roman"/>
          <w:sz w:val="24"/>
          <w:szCs w:val="24"/>
        </w:rPr>
        <w:t xml:space="preserve">The parallel coordinates visualisation is implemented using D3.js v7, which is loaded from CDN within the model viewer single-page application. Axis ordering is user-configurable via drag and drop, enabling the practitioner to surface correlations and trade-offs between metrics. The panel stores axis order and filter handles in the same localStorage persistence mechanism used for per-run graphics state (established in T3, Ermolenko, 2026c), so the design space view is restored across browser sessions.</w:t>
      </w:r>
    </w:p>
    <w:p>
      <w:pPr>
        <w:pStyle w:val="Heading1"/>
        <w:spacing w:after="160" w:before="400"/>
      </w:pPr>
      <w:r>
        <w:t xml:space="preserve">6. DESIGN SPACE POPULATION</w:t>
      </w:r>
    </w:p>
    <w:p>
      <w:pPr>
        <w:pStyle w:val="Heading2"/>
        <w:spacing w:after="120" w:before="280"/>
      </w:pPr>
      <w:r>
        <w:t xml:space="preserve">6.1 Design Space Population: Two Mechanisms</w:t>
      </w:r>
    </w:p>
    <w:p>
      <w:pPr>
        <w:spacing w:after="160"/>
      </w:pPr>
      <w:r>
        <w:rPr>
          <w:rFonts w:ascii="Times New Roman" w:cs="Times New Roman" w:eastAsia="Times New Roman" w:hAnsi="Times New Roman"/>
          <w:sz w:val="24"/>
          <w:szCs w:val="24"/>
        </w:rPr>
        <w:t xml:space="preserve">Design space population refers to the process of adding new DesignSpacePoints to the design space Σ that the practitioner has not yet visited. The DGS implements two complementary population mechanisms: LLM-assisted parameter suggestion and Latin hypercube sampling (LHS) with compliance filtering. Both mechanisms operate over the parameter space defined by the DesignStateSnapshot schema — they propose new parameter vectors rather than new geometries. Both produce GeneratedCandidate nodes in the DesignSpaceGraph, linked to their source DesignSpacePoint by GENERATED_FROM relationships.</w:t>
      </w:r>
    </w:p>
    <w:p>
      <w:pPr>
        <w:spacing w:after="160"/>
      </w:pPr>
      <w:r>
        <w:rPr>
          <w:rFonts w:ascii="Times New Roman" w:cs="Times New Roman" w:eastAsia="Times New Roman" w:hAnsi="Times New Roman"/>
          <w:sz w:val="24"/>
          <w:szCs w:val="24"/>
        </w:rPr>
        <w:t xml:space="preserve">The two mechanisms are complementary by design. LLM-assisted suggestion is context-sensitive: it reads the operator's natural language description of desired outcomes and the recent design history, and proposes targeted parameter adjustments. LHS sampling is context-free: it generates a space-filling distribution of parameter vectors that covers the feasible region more uniformly than manual exploration. LLM candidates cluster near the best historical states (exploitation); LHS candidates distribute across unexplored regions (exploration). The DESIGN SPACE component outputs both types jointly, and the practitioner can inspect either or both via the parallel coordinates visualisation.</w:t>
      </w:r>
    </w:p>
    <w:p>
      <w:pPr>
        <w:pStyle w:val="Heading2"/>
        <w:spacing w:after="120" w:before="280"/>
      </w:pPr>
      <w:r>
        <w:t xml:space="preserve">6.2 LLM-Assisted Parameter Suggestion</w:t>
      </w:r>
    </w:p>
    <w:p>
      <w:pPr>
        <w:spacing w:after="160"/>
      </w:pPr>
      <w:r>
        <w:rPr>
          <w:rFonts w:ascii="Times New Roman" w:cs="Times New Roman" w:eastAsia="Times New Roman" w:hAnsi="Times New Roman"/>
          <w:sz w:val="24"/>
          <w:szCs w:val="24"/>
        </w:rPr>
        <w:t xml:space="preserve">The LLM suggestion workflow is implemented as a new n8n webhook endpoint (POST /n8n/webhook/dg/design-space-suggest). The trigger payload carries: the project identifier, a natural language improvement prompt from the operator (e.g., "improve floor efficiency while keeping the height violation resolved"), the current design state as a serialised DesignStateSnapshot, the best compliant historical DesignSpacePoint, and the full list of active rules from the Metagraph. The n8n workflow constructs a structured LLM prompt containing these elements plus a directive to propose GenerateCount new parameter vectors in JSON format, each satisfying all SWRL rule constraints inferred from the rule text.</w:t>
      </w:r>
    </w:p>
    <w:p>
      <w:pPr>
        <w:spacing w:after="160"/>
      </w:pPr>
      <w:r>
        <w:rPr>
          <w:rFonts w:ascii="Times New Roman" w:cs="Times New Roman" w:eastAsia="Times New Roman" w:hAnsi="Times New Roman"/>
          <w:sz w:val="24"/>
          <w:szCs w:val="24"/>
        </w:rPr>
        <w:t xml:space="preserve">The LLM is instructed to reason step by step: first, identify which parameters are most directly linked to the target metric (using the MetricSpec expression); second, determine the direction of adjustment (increase or decrease) that would improve the metric without violating constraints; third, propose a parameter vector that applies those adjustments incrementally from the source state. The step-by-step reasoning directive follows the chain-of-thought prompting pattern found effective for constraint satisfaction tasks (Wei et al., 2022). The LLM is the same Ollama-hosted llama3.1 model used in T2, operating at temperature 0.3 (slightly higher than the rule encoding temperature of 0.1 to encourage diversity across candidate proposals).</w:t>
      </w:r>
    </w:p>
    <w:p>
      <w:pPr>
        <w:spacing w:after="160"/>
      </w:pPr>
      <w:r>
        <w:rPr>
          <w:rFonts w:ascii="Times New Roman" w:cs="Times New Roman" w:eastAsia="Times New Roman" w:hAnsi="Times New Roman"/>
          <w:sz w:val="24"/>
          <w:szCs w:val="24"/>
        </w:rPr>
        <w:t xml:space="preserve">The n8n Function node parses each proposed parameter vector, validates that all ParameterIds exist in the current DesignStateSnapshot schema, and checks that numeric values fall within the domain bounds extracted from the source state's parameter types. Invalid proposals are discarded; valid ones are stored as GeneratedCandidate nodes and returned to the caller. The full validation run for each candidate (evaluating SWRL rules against the proposed parameter vector) is not performed by the suggestion workflow, because the SWRL rule engine requires geometry bindings from the Grasshopper model, which the server-side workflow cannot access. The compliance status of generated candidates is therefore initially null; it is populated when the practitioner reinstates the candidate via the REINSTATE component and triggers a validation run from Grasshopper.</w:t>
      </w:r>
    </w:p>
    <w:p>
      <w:pPr>
        <w:pStyle w:val="Heading2"/>
        <w:spacing w:after="120" w:before="280"/>
      </w:pPr>
      <w:r>
        <w:t xml:space="preserve">6.3 Latin Hypercube Sampling with Compliance Filtering</w:t>
      </w:r>
    </w:p>
    <w:p>
      <w:pPr>
        <w:spacing w:after="160"/>
      </w:pPr>
      <w:r>
        <w:rPr>
          <w:rFonts w:ascii="Times New Roman" w:cs="Times New Roman" w:eastAsia="Times New Roman" w:hAnsi="Times New Roman"/>
          <w:sz w:val="24"/>
          <w:szCs w:val="24"/>
        </w:rPr>
        <w:t xml:space="preserve">The LHS sampling mechanism generates a space-filling distribution of parameter vectors within the feasible parameter domain. The domain bounds for each parameter are extracted from the DesignStateSnapshot: for Number and Integer parameters, the minimum and maximum values observed across all historical DesignSpacePoints define the sampling bounds (with a 10% margin to allow exploration beyond the observed range). Boolean parameters are sampled uniformly from {true, false}. The LHS algorithm ensures that the sample is more evenly distributed than random sampling by stratifying each parameter dimension into GenerateCount equally probable strata and drawing one sample per stratum.</w:t>
      </w:r>
    </w:p>
    <w:p>
      <w:pPr>
        <w:spacing w:after="160"/>
      </w:pPr>
      <w:r>
        <w:rPr>
          <w:rFonts w:ascii="Times New Roman" w:cs="Times New Roman" w:eastAsia="Times New Roman" w:hAnsi="Times New Roman"/>
          <w:sz w:val="24"/>
          <w:szCs w:val="24"/>
        </w:rPr>
        <w:t xml:space="preserve">Post-sampling, each candidate is evaluated against a subset of SWRL rules that can be evaluated analytically from parameter values alone — specifically, DataPropertyAtom + Builtin pairs whose property values correspond to ParameterIds. For the mixed-use tower case study (Section 8), this covers 9 of 12 active rules (those referencing named numerical parameters directly); the remaining 3 rules (referencing geometry-derived quantities) require a Grasshopper evaluation and cannot be pre-filtered. The analytically evaluable rules act as a preliminary filter, eliminating candidates that are provably non-compliant before they are returned to the practitioner. This reduces the inspection burden without requiring a Grasshopper round-trip for every LHS candidate.</w:t>
      </w:r>
    </w:p>
    <w:p>
      <w:pPr>
        <w:pStyle w:val="Heading2"/>
        <w:spacing w:after="120" w:before="280"/>
      </w:pPr>
      <w:r>
        <w:t xml:space="preserve">6.4 Candidate Evaluation and Reinstatement</w:t>
      </w:r>
    </w:p>
    <w:p>
      <w:pPr>
        <w:spacing w:after="160"/>
      </w:pPr>
      <w:r>
        <w:rPr>
          <w:rFonts w:ascii="Times New Roman" w:cs="Times New Roman" w:eastAsia="Times New Roman" w:hAnsi="Times New Roman"/>
          <w:sz w:val="24"/>
          <w:szCs w:val="24"/>
        </w:rPr>
        <w:t xml:space="preserve">Both LLM and LHS candidates are surfaced to the practitioner via the DESIGN SPACE component's Candidates output — a list of DesignStateSnapshot objects with the proposed parameter vectors populated. The practitioner can wire the Candidates output to the REINSTATE component (from T3) to navigate to any candidate directly: REINSTATE applies the parameter vector to the Grasshopper model's sliders and toggles, triggering a new solution. If the practitioner then fires the VALIDATOR component, the candidate receives a full compliance evaluation, and its compliance status is updated in the corresponding GeneratedCandidate node. This closes the generation-evaluation loop within the existing DGS component chain, without requiring any new components beyond DESIGN SPACE.</w:t>
      </w:r>
    </w:p>
    <w:p>
      <w:pPr>
        <w:pStyle w:val="Heading1"/>
        <w:spacing w:after="160" w:before="400"/>
      </w:pPr>
      <w:r>
        <w:t xml:space="preserve">7. DESIGN SPACE GRASSHOPPER COMPONENT</w:t>
      </w:r>
    </w:p>
    <w:p>
      <w:pPr>
        <w:pStyle w:val="Heading2"/>
        <w:spacing w:after="120" w:before="280"/>
      </w:pPr>
      <w:r>
        <w:t xml:space="preserve">7.1 Component Interface</w:t>
      </w:r>
    </w:p>
    <w:p>
      <w:pPr>
        <w:spacing w:after="160"/>
      </w:pPr>
      <w:r>
        <w:rPr>
          <w:rFonts w:ascii="Times New Roman" w:cs="Times New Roman" w:eastAsia="Times New Roman" w:hAnsi="Times New Roman"/>
          <w:sz w:val="24"/>
          <w:szCs w:val="24"/>
        </w:rPr>
        <w:t xml:space="preserve">The DESIGN SPACE component is implemented in the DG.Grasshopper project (C#, conditional compilation guard #if GRASSHOPPER_SDK) following the same patterns as existing components. Table 3 specifies its input and output pins. The component has two distinct operating modes determined by the rising-edge trigger on the Generate input: in passive mode (Generate = false), it reads the design space from the graph and updates the MetricVector and SpacePoints outputs on each Grasshopper solution; in generation mode (Generate transitions false → true), it additionally invokes the design-space-suggest n8n endpoint and the LHS sampling service to populate the Candidates output.</w:t>
      </w:r>
    </w:p>
    <w:p>
      <w:pPr>
        <w:spacing w:after="100" w:before="200"/>
      </w:pPr>
      <w:r>
        <w:rPr>
          <w:rFonts w:ascii="Times New Roman" w:cs="Times New Roman" w:eastAsia="Times New Roman" w:hAnsi="Times New Roman"/>
          <w:b/>
          <w:bCs/>
          <w:sz w:val="24"/>
          <w:szCs w:val="24"/>
        </w:rPr>
        <w:t xml:space="preserve">Table 3. DESIGN SPACE component input and output pins.</w:t>
      </w:r>
    </w:p>
    <w:tbl>
      <w:tblPr>
        <w:tblW w:type="dxa" w:w="9360"/>
        <w:tblBorders>
          <w:top w:val="single" w:color="000000" w:sz="6"/>
          <w:left w:val="single" w:color="000000" w:sz="6"/>
          <w:bottom w:val="single" w:color="000000" w:sz="6"/>
          <w:right w:val="single" w:color="000000" w:sz="6"/>
          <w:insideH w:val="single" w:color="auto" w:sz="4"/>
          <w:insideV w:val="single" w:color="auto" w:sz="4"/>
        </w:tblBorders>
      </w:tblPr>
      <w:tblGrid>
        <w:gridCol w:w="2000"/>
        <w:gridCol w:w="1200"/>
        <w:gridCol w:w="2000"/>
        <w:gridCol w:w="4160"/>
      </w:tblGrid>
      <w:tr>
        <w:tc>
          <w:tcPr>
            <w:shd w:fill="D9D9D9" w:color="auto" w:val="clear"/>
            <w:tcMar>
              <w:top w:type="dxa" w:w="60"/>
              <w:left w:type="dxa" w:w="100"/>
              <w:bottom w:type="dxa" w:w="60"/>
              <w:right w:type="dxa" w:w="100"/>
            </w:tcMar>
          </w:tcPr>
          <w:p>
            <w:pPr>
              <w:spacing w:after="60"/>
            </w:pPr>
            <w:r>
              <w:rPr>
                <w:rFonts w:ascii="Times New Roman" w:cs="Times New Roman" w:eastAsia="Times New Roman" w:hAnsi="Times New Roman"/>
                <w:b/>
                <w:bCs/>
                <w:sz w:val="20"/>
                <w:szCs w:val="20"/>
              </w:rPr>
              <w:t xml:space="preserve">Pin</w:t>
            </w:r>
          </w:p>
        </w:tc>
        <w:tc>
          <w:tcPr>
            <w:shd w:fill="D9D9D9" w:color="auto" w:val="clear"/>
            <w:tcMar>
              <w:top w:type="dxa" w:w="60"/>
              <w:left w:type="dxa" w:w="100"/>
              <w:bottom w:type="dxa" w:w="60"/>
              <w:right w:type="dxa" w:w="100"/>
            </w:tcMar>
          </w:tcPr>
          <w:p>
            <w:pPr>
              <w:spacing w:after="60"/>
            </w:pPr>
            <w:r>
              <w:rPr>
                <w:rFonts w:ascii="Times New Roman" w:cs="Times New Roman" w:eastAsia="Times New Roman" w:hAnsi="Times New Roman"/>
                <w:b/>
                <w:bCs/>
                <w:sz w:val="20"/>
                <w:szCs w:val="20"/>
              </w:rPr>
              <w:t xml:space="preserve">Direction</w:t>
            </w:r>
          </w:p>
        </w:tc>
        <w:tc>
          <w:tcPr>
            <w:shd w:fill="D9D9D9" w:color="auto" w:val="clear"/>
            <w:tcMar>
              <w:top w:type="dxa" w:w="60"/>
              <w:left w:type="dxa" w:w="100"/>
              <w:bottom w:type="dxa" w:w="60"/>
              <w:right w:type="dxa" w:w="100"/>
            </w:tcMar>
          </w:tcPr>
          <w:p>
            <w:pPr>
              <w:spacing w:after="60"/>
            </w:pPr>
            <w:r>
              <w:rPr>
                <w:rFonts w:ascii="Times New Roman" w:cs="Times New Roman" w:eastAsia="Times New Roman" w:hAnsi="Times New Roman"/>
                <w:b/>
                <w:bCs/>
                <w:sz w:val="20"/>
                <w:szCs w:val="20"/>
              </w:rPr>
              <w:t xml:space="preserve">Type</w:t>
            </w:r>
          </w:p>
        </w:tc>
        <w:tc>
          <w:tcPr>
            <w:shd w:fill="D9D9D9" w:color="auto" w:val="clear"/>
            <w:tcMar>
              <w:top w:type="dxa" w:w="60"/>
              <w:left w:type="dxa" w:w="100"/>
              <w:bottom w:type="dxa" w:w="60"/>
              <w:right w:type="dxa" w:w="100"/>
            </w:tcMar>
          </w:tcPr>
          <w:p>
            <w:pPr>
              <w:spacing w:after="60"/>
            </w:pPr>
            <w:r>
              <w:rPr>
                <w:rFonts w:ascii="Times New Roman" w:cs="Times New Roman" w:eastAsia="Times New Roman" w:hAnsi="Times New Roman"/>
                <w:b/>
                <w:bCs/>
                <w:sz w:val="20"/>
                <w:szCs w:val="20"/>
              </w:rPr>
              <w:t xml:space="preserve">Description</w:t>
            </w:r>
          </w:p>
        </w:tc>
      </w:tr>
      <w:tr>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Connection</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Input</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ConnectionInfo</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Neo4j connection from CONNECTOR</w:t>
            </w:r>
          </w:p>
        </w:tc>
      </w:tr>
      <w:tr>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MetricSpecs</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Input</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List&lt;MetricSpec&gt;</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Loaded metric definitions (from DESIGN SPACE LOAD)</w:t>
            </w:r>
          </w:p>
        </w:tc>
      </w:tr>
      <w:tr>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DesignState</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Input</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DesignStateSnapshot</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Current snapshot from DESIGN STATE component</w:t>
            </w:r>
          </w:p>
        </w:tc>
      </w:tr>
      <w:tr>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RunHistory</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Input</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List&lt;ValidationRun&gt;</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Prior runs from METAGRAPH / RUN DECONSTRUCT</w:t>
            </w:r>
          </w:p>
        </w:tc>
      </w:tr>
      <w:tr>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GenerateCount</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Input</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Integer</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Number of candidate states to generate (default: 5)</w:t>
            </w:r>
          </w:p>
        </w:tc>
      </w:tr>
      <w:tr>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Generate</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Input</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Boolean</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Rising-edge trigger to invoke LLM generation</w:t>
            </w:r>
          </w:p>
        </w:tc>
      </w:tr>
      <w:tr>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MetricVector</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Output</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DataTree&lt;double&gt;</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Metric values for current design state</w:t>
            </w:r>
          </w:p>
        </w:tc>
      </w:tr>
      <w:tr>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SpacePoints</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Output</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List&lt;DesignSpacePoint&gt;</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All historical points in design space</w:t>
            </w:r>
          </w:p>
        </w:tc>
      </w:tr>
      <w:tr>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NearestCompliant</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Output</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DesignStateSnapshot?</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Closest historical compliant state by metric distance</w:t>
            </w:r>
          </w:p>
        </w:tc>
      </w:tr>
      <w:tr>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Candidates</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Output</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List&lt;DesignStateSnapshot&gt;</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LLM-generated candidate states</w:t>
            </w:r>
          </w:p>
        </w:tc>
      </w:tr>
      <w:tr>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Status</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Output</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String</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Component status message</w:t>
            </w:r>
          </w:p>
        </w:tc>
      </w:tr>
    </w:tbl>
    <w:p>
      <w:pPr>
        <w:spacing w:after="200"/>
      </w:pPr>
    </w:p>
    <w:p>
      <w:pPr>
        <w:pStyle w:val="Heading2"/>
        <w:spacing w:after="120" w:before="280"/>
      </w:pPr>
      <w:r>
        <w:t xml:space="preserve">7.2 Async Pattern and Caching</w:t>
      </w:r>
    </w:p>
    <w:p>
      <w:pPr>
        <w:spacing w:after="160"/>
      </w:pPr>
      <w:r>
        <w:rPr>
          <w:rFonts w:ascii="Times New Roman" w:cs="Times New Roman" w:eastAsia="Times New Roman" w:hAnsi="Times New Roman"/>
          <w:sz w:val="24"/>
          <w:szCs w:val="24"/>
        </w:rPr>
        <w:t xml:space="preserve">The DESIGN SPACE component follows the ScheduleSolution async pattern established in T2 and documented in T3: design space read operations and generation requests are dispatched as Task&lt;T&gt; objects cached by a request-key hash. The component returns immediately on each solution cycle, scheduling a re-evaluation at 200 ms intervals until the async operation completes. The request key for the passive read includes the project, the current StateId, and the set of active MetricSpec metricIds; if none of these have changed since the last completed read, the cached result is returned without a new network call. The request key for generation includes the operator's metric target vector and the Generate input's transition timestamp, ensuring each rising-edge trigger initiates a fresh generation call.</w:t>
      </w:r>
    </w:p>
    <w:p>
      <w:pPr>
        <w:pStyle w:val="Heading2"/>
        <w:spacing w:after="120" w:before="280"/>
      </w:pPr>
      <w:r>
        <w:t xml:space="preserve">7.3 Wiring and Data Flow</w:t>
      </w:r>
    </w:p>
    <w:p>
      <w:pPr>
        <w:spacing w:after="160"/>
      </w:pPr>
      <w:r>
        <w:rPr>
          <w:rFonts w:ascii="Times New Roman" w:cs="Times New Roman" w:eastAsia="Times New Roman" w:hAnsi="Times New Roman"/>
          <w:sz w:val="24"/>
          <w:szCs w:val="24"/>
        </w:rPr>
        <w:t xml:space="preserve">The recommended wiring sequence for a canvas using all DGS components is: CONNECTOR → METAGRAPH (Rules, RunHistory) → RULE DECONSTRUCT → CLASSIFICATOR → DESIGN STATE → VALIDATOR → DESIGN SPACE (with RunHistory from METAGRAPH and DesignState from DESIGN STATE). The MetricVector output of DESIGN SPACE can be displayed in a Panel component for immediate feedback. The NearestCompliant and Candidates outputs are wired to REINSTATE (from T3) to enable direct navigation. The component does not require the full component chain to function: it can operate with only a Connection and a DesignState input, computing the metric vector for the current state without reading the full run history, if the RunHistory input is not wired.</w:t>
      </w:r>
    </w:p>
    <w:p>
      <w:pPr>
        <w:pStyle w:val="Heading1"/>
        <w:spacing w:after="160" w:before="400"/>
      </w:pPr>
      <w:r>
        <w:t xml:space="preserve">8. LONGITUDINAL CASE STUDY: DESIGN SPACE ANALYSIS OF A MIXED-USE TOWER</w:t>
      </w:r>
    </w:p>
    <w:p>
      <w:pPr>
        <w:pStyle w:val="Heading2"/>
        <w:spacing w:after="120" w:before="280"/>
      </w:pPr>
      <w:r>
        <w:t xml:space="preserve">8.1 Design Context and Continuity with T3</w:t>
      </w:r>
    </w:p>
    <w:p>
      <w:pPr>
        <w:spacing w:after="160"/>
      </w:pPr>
      <w:r>
        <w:rPr>
          <w:rFonts w:ascii="Times New Roman" w:cs="Times New Roman" w:eastAsia="Times New Roman" w:hAnsi="Times New Roman"/>
          <w:sz w:val="24"/>
          <w:szCs w:val="24"/>
        </w:rPr>
        <w:t xml:space="preserve">The case study extends the mixed-use tower scenario from T3 (Ermolenko, 2026c), in which a 48-storey commercial and residential tower was designed under 12 SWRL rules covering maximum building height, minimum floor plate area, minimum setback, south facade fraction, window-to-wall ratio, and six additional programme and structural constraints. The T3 case study produced nine validation runs across three massing alternatives (Alt A, Alt B, Alt C), with nine DesignStateSnapshot records persisted in the ValidationGraph. These nine snapshots form the initial design space Σ for this case study.</w:t>
      </w:r>
    </w:p>
    <w:p>
      <w:pPr>
        <w:spacing w:after="160"/>
      </w:pPr>
      <w:r>
        <w:rPr>
          <w:rFonts w:ascii="Times New Roman" w:cs="Times New Roman" w:eastAsia="Times New Roman" w:hAnsi="Times New Roman"/>
          <w:sz w:val="24"/>
          <w:szCs w:val="24"/>
        </w:rPr>
        <w:t xml:space="preserve">The operator defines three MetricSpecs for the project using natural language prompts. The first metric, Floor Efficiency (metricId: DS_M_EFFICIENCY), is defined as "ratio of usable floor area to the total site area", resolved by the LLM to the expression floorArea / siteArea. The second metric, Compactness (DS_M_COMPACTNESS), is defined as "building compactness expressed as volume over surface area ratio", resolved to (floorArea * height) / (2 * (floorLength + floorWidth) * height + 2 * floorArea). The third metric, Solar Exposure Proxy (DS_M_SOLAR), is defined as "south-facing facade fraction weighted by building height, as a proxy for passive solar gain potential", resolved to (southFacadeWidth / (southFacadeWidth + northFacadeWidth)) * height / 200. All three MetricSpec expressions are validated by the n8n parser and stored in the DesignSpaceGraph within one ingestion cycle of approximately 4.2 seconds end-to-end (including LLM inference time).</w:t>
      </w:r>
    </w:p>
    <w:p>
      <w:pPr>
        <w:pStyle w:val="Heading2"/>
        <w:spacing w:after="120" w:before="280"/>
      </w:pPr>
      <w:r>
        <w:t xml:space="preserve">8.2 Retrospective Design Space Computation</w:t>
      </w:r>
    </w:p>
    <w:p>
      <w:pPr>
        <w:spacing w:after="160"/>
      </w:pPr>
      <w:r>
        <w:rPr>
          <w:rFonts w:ascii="Times New Roman" w:cs="Times New Roman" w:eastAsia="Times New Roman" w:hAnsi="Times New Roman"/>
          <w:sz w:val="24"/>
          <w:szCs w:val="24"/>
        </w:rPr>
        <w:t xml:space="preserve">The retrospective metric computation service is invoked for the project, producing nine DesignSpacePoints linked to the nine historical ValidationRuns. Table 4 reports the resulting design space, showing metric values and compliance status for all historical runs and the five generated candidates produced in the following subsection.</w:t>
      </w:r>
    </w:p>
    <w:p>
      <w:pPr>
        <w:spacing w:after="100" w:before="200"/>
      </w:pPr>
      <w:r>
        <w:rPr>
          <w:rFonts w:ascii="Times New Roman" w:cs="Times New Roman" w:eastAsia="Times New Roman" w:hAnsi="Times New Roman"/>
          <w:b/>
          <w:bCs/>
          <w:sz w:val="24"/>
          <w:szCs w:val="24"/>
        </w:rPr>
        <w:t xml:space="preserve">Table 4. Design space points: historical runs (from T3) and generated candidates (T4 case study). Metrics reported to two decimal places.</w:t>
      </w:r>
    </w:p>
    <w:tbl>
      <w:tblPr>
        <w:tblW w:type="dxa" w:w="9360"/>
        <w:tblBorders>
          <w:top w:val="single" w:color="000000" w:sz="6"/>
          <w:left w:val="single" w:color="000000" w:sz="6"/>
          <w:bottom w:val="single" w:color="000000" w:sz="6"/>
          <w:right w:val="single" w:color="000000" w:sz="6"/>
          <w:insideH w:val="single" w:color="auto" w:sz="4"/>
          <w:insideV w:val="single" w:color="auto" w:sz="4"/>
        </w:tblBorders>
      </w:tblPr>
      <w:tblGrid>
        <w:gridCol w:w="2200"/>
        <w:gridCol w:w="1200"/>
        <w:gridCol w:w="1300"/>
        <w:gridCol w:w="1200"/>
        <w:gridCol w:w="1100"/>
        <w:gridCol w:w="1000"/>
        <w:gridCol w:w="1360"/>
      </w:tblGrid>
      <w:tr>
        <w:tc>
          <w:tcPr>
            <w:shd w:fill="D9D9D9" w:color="auto" w:val="clear"/>
            <w:tcMar>
              <w:top w:type="dxa" w:w="60"/>
              <w:left w:type="dxa" w:w="100"/>
              <w:bottom w:type="dxa" w:w="60"/>
              <w:right w:type="dxa" w:w="100"/>
            </w:tcMar>
          </w:tcPr>
          <w:p>
            <w:pPr>
              <w:spacing w:after="60"/>
            </w:pPr>
            <w:r>
              <w:rPr>
                <w:rFonts w:ascii="Times New Roman" w:cs="Times New Roman" w:eastAsia="Times New Roman" w:hAnsi="Times New Roman"/>
                <w:b/>
                <w:bCs/>
                <w:sz w:val="20"/>
                <w:szCs w:val="20"/>
              </w:rPr>
              <w:t xml:space="preserve">State / Candidate</w:t>
            </w:r>
          </w:p>
        </w:tc>
        <w:tc>
          <w:tcPr>
            <w:shd w:fill="D9D9D9" w:color="auto" w:val="clear"/>
            <w:tcMar>
              <w:top w:type="dxa" w:w="60"/>
              <w:left w:type="dxa" w:w="100"/>
              <w:bottom w:type="dxa" w:w="60"/>
              <w:right w:type="dxa" w:w="100"/>
            </w:tcMar>
          </w:tcPr>
          <w:p>
            <w:pPr>
              <w:spacing w:after="60"/>
            </w:pPr>
            <w:r>
              <w:rPr>
                <w:rFonts w:ascii="Times New Roman" w:cs="Times New Roman" w:eastAsia="Times New Roman" w:hAnsi="Times New Roman"/>
                <w:b/>
                <w:bCs/>
                <w:sz w:val="20"/>
                <w:szCs w:val="20"/>
              </w:rPr>
              <w:t xml:space="preserve">Efficiency</w:t>
            </w:r>
          </w:p>
        </w:tc>
        <w:tc>
          <w:tcPr>
            <w:shd w:fill="D9D9D9" w:color="auto" w:val="clear"/>
            <w:tcMar>
              <w:top w:type="dxa" w:w="60"/>
              <w:left w:type="dxa" w:w="100"/>
              <w:bottom w:type="dxa" w:w="60"/>
              <w:right w:type="dxa" w:w="100"/>
            </w:tcMar>
          </w:tcPr>
          <w:p>
            <w:pPr>
              <w:spacing w:after="60"/>
            </w:pPr>
            <w:r>
              <w:rPr>
                <w:rFonts w:ascii="Times New Roman" w:cs="Times New Roman" w:eastAsia="Times New Roman" w:hAnsi="Times New Roman"/>
                <w:b/>
                <w:bCs/>
                <w:sz w:val="20"/>
                <w:szCs w:val="20"/>
              </w:rPr>
              <w:t xml:space="preserve">Compactness</w:t>
            </w:r>
          </w:p>
        </w:tc>
        <w:tc>
          <w:tcPr>
            <w:shd w:fill="D9D9D9" w:color="auto" w:val="clear"/>
            <w:tcMar>
              <w:top w:type="dxa" w:w="60"/>
              <w:left w:type="dxa" w:w="100"/>
              <w:bottom w:type="dxa" w:w="60"/>
              <w:right w:type="dxa" w:w="100"/>
            </w:tcMar>
          </w:tcPr>
          <w:p>
            <w:pPr>
              <w:spacing w:after="60"/>
            </w:pPr>
            <w:r>
              <w:rPr>
                <w:rFonts w:ascii="Times New Roman" w:cs="Times New Roman" w:eastAsia="Times New Roman" w:hAnsi="Times New Roman"/>
                <w:b/>
                <w:bCs/>
                <w:sz w:val="20"/>
                <w:szCs w:val="20"/>
              </w:rPr>
              <w:t xml:space="preserve">Solar Proxy</w:t>
            </w:r>
          </w:p>
        </w:tc>
        <w:tc>
          <w:tcPr>
            <w:shd w:fill="D9D9D9" w:color="auto" w:val="clear"/>
            <w:tcMar>
              <w:top w:type="dxa" w:w="60"/>
              <w:left w:type="dxa" w:w="100"/>
              <w:bottom w:type="dxa" w:w="60"/>
              <w:right w:type="dxa" w:w="100"/>
            </w:tcMar>
          </w:tcPr>
          <w:p>
            <w:pPr>
              <w:spacing w:after="60"/>
            </w:pPr>
            <w:r>
              <w:rPr>
                <w:rFonts w:ascii="Times New Roman" w:cs="Times New Roman" w:eastAsia="Times New Roman" w:hAnsi="Times New Roman"/>
                <w:b/>
                <w:bCs/>
                <w:sz w:val="20"/>
                <w:szCs w:val="20"/>
              </w:rPr>
              <w:t xml:space="preserve">Violations</w:t>
            </w:r>
          </w:p>
        </w:tc>
        <w:tc>
          <w:tcPr>
            <w:shd w:fill="D9D9D9" w:color="auto" w:val="clear"/>
            <w:tcMar>
              <w:top w:type="dxa" w:w="60"/>
              <w:left w:type="dxa" w:w="100"/>
              <w:bottom w:type="dxa" w:w="60"/>
              <w:right w:type="dxa" w:w="100"/>
            </w:tcMar>
          </w:tcPr>
          <w:p>
            <w:pPr>
              <w:spacing w:after="60"/>
            </w:pPr>
            <w:r>
              <w:rPr>
                <w:rFonts w:ascii="Times New Roman" w:cs="Times New Roman" w:eastAsia="Times New Roman" w:hAnsi="Times New Roman"/>
                <w:b/>
                <w:bCs/>
                <w:sz w:val="20"/>
                <w:szCs w:val="20"/>
              </w:rPr>
              <w:t xml:space="preserve">Compliant</w:t>
            </w:r>
          </w:p>
        </w:tc>
        <w:tc>
          <w:tcPr>
            <w:shd w:fill="D9D9D9" w:color="auto" w:val="clear"/>
            <w:tcMar>
              <w:top w:type="dxa" w:w="60"/>
              <w:left w:type="dxa" w:w="100"/>
              <w:bottom w:type="dxa" w:w="60"/>
              <w:right w:type="dxa" w:w="100"/>
            </w:tcMar>
          </w:tcPr>
          <w:p>
            <w:pPr>
              <w:spacing w:after="60"/>
            </w:pPr>
            <w:r>
              <w:rPr>
                <w:rFonts w:ascii="Times New Roman" w:cs="Times New Roman" w:eastAsia="Times New Roman" w:hAnsi="Times New Roman"/>
                <w:b/>
                <w:bCs/>
                <w:sz w:val="20"/>
                <w:szCs w:val="20"/>
              </w:rPr>
              <w:t xml:space="preserve">Source</w:t>
            </w:r>
          </w:p>
        </w:tc>
      </w:tr>
      <w:tr>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Alt A (Run 1)</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0.61</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0.74</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0.52</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2</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No</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Historical (T3)</w:t>
            </w:r>
          </w:p>
        </w:tc>
      </w:tr>
      <w:tr>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Alt A (Run 3)</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0.63</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0.74</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0.53</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0</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Yes</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Historical (T3)</w:t>
            </w:r>
          </w:p>
        </w:tc>
      </w:tr>
      <w:tr>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Alt B (Run 4)</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0.68</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0.69</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0.61</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1</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No</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Historical (T3)</w:t>
            </w:r>
          </w:p>
        </w:tc>
      </w:tr>
      <w:tr>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Alt B (Run 6)</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0.70</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0.69</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0.62</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0</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Yes</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Historical (T3)</w:t>
            </w:r>
          </w:p>
        </w:tc>
      </w:tr>
      <w:tr>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Alt C (Run 7)</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0.75</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0.64</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0.71</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3</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No</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Historical (T3)</w:t>
            </w:r>
          </w:p>
        </w:tc>
      </w:tr>
      <w:tr>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Alt C (Run 9)</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0.73</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0.65</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0.69</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1</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No</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Historical (T3)</w:t>
            </w:r>
          </w:p>
        </w:tc>
      </w:tr>
      <w:tr>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Gen-01 (LLM)</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0.72</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0.67</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0.67</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0</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Yes</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Generated</w:t>
            </w:r>
          </w:p>
        </w:tc>
      </w:tr>
      <w:tr>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Gen-02 (LLM)</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0.74</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0.66</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0.68</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0</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Yes</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Generated</w:t>
            </w:r>
          </w:p>
        </w:tc>
      </w:tr>
      <w:tr>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Gen-03 (LLM)</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0.71</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0.68</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0.65</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0</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Yes</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Generated</w:t>
            </w:r>
          </w:p>
        </w:tc>
      </w:tr>
      <w:tr>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Gen-04 (LHS)</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0.69</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0.70</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0.63</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0</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Yes</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Generated (LHS)</w:t>
            </w:r>
          </w:p>
        </w:tc>
      </w:tr>
      <w:tr>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Gen-05 (LHS)</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0.76</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0.63</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0.72</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1</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No</w:t>
            </w:r>
          </w:p>
        </w:tc>
        <w:tc>
          <w:tcPr>
            <w:tcMar>
              <w:top w:type="dxa" w:w="60"/>
              <w:left w:type="dxa" w:w="100"/>
              <w:bottom w:type="dxa" w:w="60"/>
              <w:right w:type="dxa" w:w="100"/>
            </w:tcMar>
          </w:tcPr>
          <w:p>
            <w:pPr>
              <w:spacing w:after="60"/>
            </w:pPr>
            <w:r>
              <w:rPr>
                <w:rFonts w:ascii="Times New Roman" w:cs="Times New Roman" w:eastAsia="Times New Roman" w:hAnsi="Times New Roman"/>
                <w:b w:val="false"/>
                <w:bCs w:val="false"/>
                <w:sz w:val="20"/>
                <w:szCs w:val="20"/>
              </w:rPr>
              <w:t xml:space="preserve">Generated (LHS)</w:t>
            </w:r>
          </w:p>
        </w:tc>
      </w:tr>
    </w:tbl>
    <w:p>
      <w:pPr>
        <w:spacing w:after="200"/>
      </w:pPr>
    </w:p>
    <w:p>
      <w:pPr>
        <w:spacing w:after="160"/>
      </w:pPr>
      <w:r>
        <w:rPr>
          <w:rFonts w:ascii="Times New Roman" w:cs="Times New Roman" w:eastAsia="Times New Roman" w:hAnsi="Times New Roman"/>
          <w:sz w:val="24"/>
          <w:szCs w:val="24"/>
        </w:rPr>
        <w:t xml:space="preserve">Inspection of the historical design space reveals a trade-off between Floor Efficiency and Compactness: the highest-efficiency run (Alt C, Run 7, efficiency 0.75) is also the least compact (0.64), while the most compact run (Alt A, Run 1, 0.74) has the lowest efficiency (0.61). Both Alt C runs are non-compliant — one with three violations (height and two setback rules), one with one remaining violation (north setback). The Pareto-optimal compliant subset consists of only two runs: Alt A Run 3 (compliant, efficiency 0.63) and Alt B Run 6 (compliant, efficiency 0.70, compactness 0.69, solar 0.62). No historically visited compliant state achieves an efficiency above 0.70.</w:t>
      </w:r>
    </w:p>
    <w:p>
      <w:pPr>
        <w:pStyle w:val="Heading2"/>
        <w:spacing w:after="120" w:before="280"/>
      </w:pPr>
      <w:r>
        <w:t xml:space="preserve">8.3 LLM-Assisted Generation of Candidate States</w:t>
      </w:r>
    </w:p>
    <w:p>
      <w:pPr>
        <w:spacing w:after="160"/>
      </w:pPr>
      <w:r>
        <w:rPr>
          <w:rFonts w:ascii="Times New Roman" w:cs="Times New Roman" w:eastAsia="Times New Roman" w:hAnsi="Times New Roman"/>
          <w:sz w:val="24"/>
          <w:szCs w:val="24"/>
        </w:rPr>
        <w:t xml:space="preserve">The operator issues a natural language improvement prompt: "increase floor efficiency above 0.70 while keeping all height and setback violations resolved, and maintaining compactness above 0.65." The LLM suggestion workflow produces three candidate states (Gen-01, Gen-02, Gen-03), each adjusting the floor plate dimensions and south facade width relative to the Alt B Run 6 baseline (the best compliant historical state). Two LHS candidates (Gen-04, Gen-05) are also generated by the sampling mechanism, using domain bounds derived from the full nine-run history with a 10% margin.</w:t>
      </w:r>
    </w:p>
    <w:p>
      <w:pPr>
        <w:spacing w:after="160"/>
      </w:pPr>
      <w:r>
        <w:rPr>
          <w:rFonts w:ascii="Times New Roman" w:cs="Times New Roman" w:eastAsia="Times New Roman" w:hAnsi="Times New Roman"/>
          <w:sz w:val="24"/>
          <w:szCs w:val="24"/>
        </w:rPr>
        <w:t xml:space="preserve">As shown in Table 4, three of the five generated candidates (Gen-01, Gen-02, Gen-03) are flagged as preliminary-compliant by the analytical pre-filter (which evaluates the nine analytically evaluable rules). Gen-04 is also preliminary-compliant; Gen-05 is flagged as non-compliant due to a height violation detectable analytically. The operator reinstates Gen-02 (the highest-efficiency preliminary-compliant candidate, efficiency 0.74) via the REINSTATE component. The subsequent Grasshopper solution and VALIDATOR run confirms full compliance across all 12 rules, and the GeneratedCandidate node for Gen-02 is updated with compliant = true and the full validation run linked via a new LINKED_RUN relationship.</w:t>
      </w:r>
    </w:p>
    <w:p>
      <w:pPr>
        <w:pStyle w:val="Heading2"/>
        <w:spacing w:after="120" w:before="280"/>
      </w:pPr>
      <w:r>
        <w:t xml:space="preserve">8.4 Design Space Trajectory and Operator Decision</w:t>
      </w:r>
    </w:p>
    <w:p>
      <w:pPr>
        <w:spacing w:after="160"/>
      </w:pPr>
      <w:r>
        <w:rPr>
          <w:rFonts w:ascii="Times New Roman" w:cs="Times New Roman" w:eastAsia="Times New Roman" w:hAnsi="Times New Roman"/>
          <w:sz w:val="24"/>
          <w:szCs w:val="24"/>
        </w:rPr>
        <w:t xml:space="preserve">The parallel coordinates panel in the Model Viewer renders the 11 DesignSpacePoints (9 historical + 2 newly confirmed candidates). The visualisation makes the efficiency-compactness trade-off immediately visible: the polylines fan out between the two axes, with historical runs clustering in the 0.61–0.70 efficiency range and the generated candidates extending the frontier to 0.74 while maintaining compactness above 0.66. The operator selects Gen-02 as the recommended design state for further development, noting that it achieves a 5.7% improvement in floor efficiency over the best prior compliant state (Alt B Run 6) while satisfying all 12 rules.</w:t>
      </w:r>
    </w:p>
    <w:p>
      <w:pPr>
        <w:spacing w:after="160"/>
      </w:pPr>
      <w:r>
        <w:rPr>
          <w:rFonts w:ascii="Times New Roman" w:cs="Times New Roman" w:eastAsia="Times New Roman" w:hAnsi="Times New Roman"/>
          <w:sz w:val="24"/>
          <w:szCs w:val="24"/>
        </w:rPr>
        <w:t xml:space="preserve">The full design space computation, metric ingestion, generation, and confirmation cycle — from metric prompt submission to operator selection of Gen-02 — takes approximately 22 minutes of clock time, of which 19 minutes are manual exploration and inspection time by the practitioner. The automated steps (metric ingestion, retrospective computation, LLM generation, pre-filtering) total approximately 3 minutes. This compares favourably with the T3 case study, in which 19 minutes of manual exploration across nine runs yielded a best compliant efficiency of 0.70; the design space generation step extended the frontier by 5.7% in an additional 3 minutes of automated processing.</w:t>
      </w:r>
    </w:p>
    <w:p>
      <w:pPr>
        <w:pStyle w:val="Heading1"/>
        <w:spacing w:after="160" w:before="400"/>
      </w:pPr>
      <w:r>
        <w:t xml:space="preserve">9. DISCUSSION</w:t>
      </w:r>
    </w:p>
    <w:p>
      <w:pPr>
        <w:pStyle w:val="Heading2"/>
        <w:spacing w:after="120" w:before="280"/>
      </w:pPr>
      <w:r>
        <w:t xml:space="preserve">9.1 Metric Computation Without Geometry Access</w:t>
      </w:r>
    </w:p>
    <w:p>
      <w:pPr>
        <w:spacing w:after="160"/>
      </w:pPr>
      <w:r>
        <w:rPr>
          <w:rFonts w:ascii="Times New Roman" w:cs="Times New Roman" w:eastAsia="Times New Roman" w:hAnsi="Times New Roman"/>
          <w:sz w:val="24"/>
          <w:szCs w:val="24"/>
        </w:rPr>
        <w:t xml:space="preserve">The most significant limitation of the DGS metric language is that it operates over named scalar parameters rather than geometry-derived quantities. A metric such as "occupied floor area excluding structural cores" cannot be expressed as an arithmetic formula over slider values; it requires polygon subtraction or a CAD kernel query. This limits the metric vocabulary to quantities that are directly parametrised by the model — which, for a well-designed parametric model, covers many first-order design decisions (height, floor plate area, facade ratios) but excludes derived quantities that require geometric computation. The appropriate response to this limitation is not to add geometry access to the metric evaluation pipeline (which would couple the server-side service to a Rhino/Grasshopper runtime) but to extend the DesignStateSnapshot to include operator-defined derived quantities that are computed by a Grasshopper component and included in the snapshot at capture time. This is a planned extension for the next iteration of the DGS, consistent with the v3.0 roadmap (OBJECT STATE component, composable design state).</w:t>
      </w:r>
    </w:p>
    <w:p>
      <w:pPr>
        <w:pStyle w:val="Heading2"/>
        <w:spacing w:after="120" w:before="280"/>
      </w:pPr>
      <w:r>
        <w:t xml:space="preserve">9.2 LLM Reliability for Parameter Suggestion</w:t>
      </w:r>
    </w:p>
    <w:p>
      <w:pPr>
        <w:spacing w:after="160"/>
      </w:pPr>
      <w:r>
        <w:rPr>
          <w:rFonts w:ascii="Times New Roman" w:cs="Times New Roman" w:eastAsia="Times New Roman" w:hAnsi="Times New Roman"/>
          <w:sz w:val="24"/>
          <w:szCs w:val="24"/>
        </w:rPr>
        <w:t xml:space="preserve">The LLM suggestion mechanism produces parameter vectors that are syntactically valid (all ParameterIds exist, values within domain bounds) but not guaranteed to be semantically optimal. In the case study, the LLM correctly identified that increasing floorArea and adjusting southFacadeWidth would improve efficiency, but proposed adjustments of approximately 3–5% per parameter rather than exploring the full feasible range. This conservative behaviour is characteristic of instruction-following language models operating at low temperature: they propose incremental improvements from the source state rather than exploring distant regions. The LHS mechanism compensates for this conservatism by sampling uniformly across the feasible domain, covering regions that LLM suggestion would not reach. The two mechanisms are genuinely complementary, and the combined output provides better design space coverage than either alone.</w:t>
      </w:r>
    </w:p>
    <w:p>
      <w:pPr>
        <w:pStyle w:val="Heading2"/>
        <w:spacing w:after="120" w:before="280"/>
      </w:pPr>
      <w:r>
        <w:t xml:space="preserve">9.3 Relationship to Optimisation Tools</w:t>
      </w:r>
    </w:p>
    <w:p>
      <w:pPr>
        <w:spacing w:after="160"/>
      </w:pPr>
      <w:r>
        <w:rPr>
          <w:rFonts w:ascii="Times New Roman" w:cs="Times New Roman" w:eastAsia="Times New Roman" w:hAnsi="Times New Roman"/>
          <w:sz w:val="24"/>
          <w:szCs w:val="24"/>
        </w:rPr>
        <w:t xml:space="preserve">The design space population mechanism is not an optimiser. It does not converge on a Pareto front, does not evaluate a fitness landscape, and does not autonomously iterate. It is a single-shot suggestion tool: the practitioner issues a generation request, inspects the candidates, and selects one for further exploration. This is a deliberate design choice: the DGS is a practitioner-facing tool, and the practitioner's judgment — informed by requirements, aesthetics, client context, and constructability — is the decision-making authority. The generation mechanism extends the practitioner's reach (surfacing candidates they would not have visited manually) without displacing their judgment.</w:t>
      </w:r>
    </w:p>
    <w:p>
      <w:pPr>
        <w:spacing w:after="160"/>
      </w:pPr>
      <w:r>
        <w:rPr>
          <w:rFonts w:ascii="Times New Roman" w:cs="Times New Roman" w:eastAsia="Times New Roman" w:hAnsi="Times New Roman"/>
          <w:sz w:val="24"/>
          <w:szCs w:val="24"/>
        </w:rPr>
        <w:t xml:space="preserve">Practitioners who need rigorous Pareto optimisation are better served by Galapagos, Octopus, or Wallacei, which have well-validated implementations and rich result visualisations. The DGS design space mechanism is appropriate when the practitioner wants to combine compliance-verified exploration with metric-guided guidance, within the same tool chain they already use for compliance checking, without configuring a separate optimisation engine.</w:t>
      </w:r>
    </w:p>
    <w:p>
      <w:pPr>
        <w:pStyle w:val="Heading2"/>
        <w:spacing w:after="120" w:before="280"/>
      </w:pPr>
      <w:r>
        <w:t xml:space="preserve">9.4 Scalability of the DesignSpaceGraph</w:t>
      </w:r>
    </w:p>
    <w:p>
      <w:pPr>
        <w:spacing w:after="160"/>
      </w:pPr>
      <w:r>
        <w:rPr>
          <w:rFonts w:ascii="Times New Roman" w:cs="Times New Roman" w:eastAsia="Times New Roman" w:hAnsi="Times New Roman"/>
          <w:sz w:val="24"/>
          <w:szCs w:val="24"/>
        </w:rPr>
        <w:t xml:space="preserve">The DesignSpaceGraph introduces a new graph layer but does not change the scaling characteristics of the underlying Neo4j storage. DesignSpacePoint nodes are one-to-one with ValidationRun records that carry a statePayloadJson, so the number of DesignSpacePoints grows linearly with the number of validation runs. HAS_METRIC_VALUE relationships grow as the product of DesignSpacePoints × MetricSpecs. For a project with 100 runs and 10 MetricSpecs, this yields 1000 relationships — well within Neo4j Community Edition's single-instance performance envelope. GeneratedCandidate nodes are bounded by the number of generation invocations × GenerateCount parameter. In typical design session usage (5–20 generation invocations, 5 candidates each), the GeneratedCandidate count remains under 100, and the DesignSpaceGraph adds negligible storage overhead relative to the ValidationGraph.</w:t>
      </w:r>
    </w:p>
    <w:p>
      <w:pPr>
        <w:pStyle w:val="Heading2"/>
        <w:spacing w:after="120" w:before="280"/>
      </w:pPr>
      <w:r>
        <w:t xml:space="preserve">9.5 Toward Surrogate Models</w:t>
      </w:r>
    </w:p>
    <w:p>
      <w:pPr>
        <w:spacing w:after="160"/>
      </w:pPr>
      <w:r>
        <w:rPr>
          <w:rFonts w:ascii="Times New Roman" w:cs="Times New Roman" w:eastAsia="Times New Roman" w:hAnsi="Times New Roman"/>
          <w:sz w:val="24"/>
          <w:szCs w:val="24"/>
        </w:rPr>
        <w:t xml:space="preserve">The accumulated DesignSpaceGraph — combining parameter vectors, compliance profiles, and metric values for all visited and generated states — is a training dataset for surrogate models. A surrogate model for the DGS would approximate the compliance function (predicting pass/fail probability for an unseen parameter vector without invoking the SWRL rule engine) and the metric functions (predicting metric values without evaluating the expression). With a training set of several hundred DesignSpacePoints, Gaussian process regressors or random forest classifiers could provide fast approximate predictions, enabling the generation mechanism to pre-filter LHS candidates before returning them to the practitioner. This direction is identified as the primary technical extension for future work, alongside server-side thumbnail storage and StateId semantic similarity (as noted in Ermolenko, 2026c).</w:t>
      </w:r>
    </w:p>
    <w:p>
      <w:pPr>
        <w:pStyle w:val="Heading1"/>
        <w:spacing w:after="160" w:before="400"/>
      </w:pPr>
      <w:r>
        <w:t xml:space="preserve">10. CONCLUSION</w:t>
      </w:r>
    </w:p>
    <w:p>
      <w:pPr>
        <w:spacing w:after="160"/>
      </w:pPr>
      <w:r>
        <w:rPr>
          <w:rFonts w:ascii="Times New Roman" w:cs="Times New Roman" w:eastAsia="Times New Roman" w:hAnsi="Times New Roman"/>
          <w:sz w:val="24"/>
          <w:szCs w:val="24"/>
        </w:rPr>
        <w:t xml:space="preserve">This paper has presented the design space analysis, generation, and prediction infrastructure of the Design Grammar System, completing the fourth and final part of a series that progressively specifies the DGS from ontological schema (Ermolenko, 2026a) through rule encoding and plugin integration (Ermolenko, 2026b), persistent compliance history and state reinstatement (Ermolenko, 2026c), to multi-dimensional design space reasoning and constraint-guided generation.</w:t>
      </w:r>
    </w:p>
    <w:p>
      <w:pPr>
        <w:spacing w:after="160"/>
      </w:pPr>
      <w:r>
        <w:rPr>
          <w:rFonts w:ascii="Times New Roman" w:cs="Times New Roman" w:eastAsia="Times New Roman" w:hAnsi="Times New Roman"/>
          <w:sz w:val="24"/>
          <w:szCs w:val="24"/>
        </w:rPr>
        <w:t xml:space="preserve">The DesignSpaceGraph layer, MetricSpec operator metric language, retrospective metric computation service, LLM-assisted suggestion workflow, Latin hypercube sampling with compliance pre-filtering, DESIGN SPACE Grasshopper component, and parallel coordinates visualisation panel together constitute a coherent infrastructure for design space reasoning in parametric compliance workflows. The infrastructure is additive: it extends the ValidationGraph and component chain from T3 without modifying existing nodes, relationships, or component interfaces.</w:t>
      </w:r>
    </w:p>
    <w:p>
      <w:pPr>
        <w:spacing w:after="160"/>
      </w:pPr>
      <w:r>
        <w:rPr>
          <w:rFonts w:ascii="Times New Roman" w:cs="Times New Roman" w:eastAsia="Times New Roman" w:hAnsi="Times New Roman"/>
          <w:sz w:val="24"/>
          <w:szCs w:val="24"/>
        </w:rPr>
        <w:t xml:space="preserve">The mixed-use tower case study demonstrates that design space generation produces compliant candidate states that extend the efficiency frontier by 5.7% beyond the best manually visited state, with the automated generation and pre-filtering steps requiring approximately 3 minutes of processing time. The parallel coordinates visualisation surfaces the efficiency-compactness trade-off that was not apparent from the tabular run history in T3, enabling the operator to make an informed selection.</w:t>
      </w:r>
    </w:p>
    <w:p>
      <w:pPr>
        <w:spacing w:after="160"/>
      </w:pPr>
      <w:r>
        <w:rPr>
          <w:rFonts w:ascii="Times New Roman" w:cs="Times New Roman" w:eastAsia="Times New Roman" w:hAnsi="Times New Roman"/>
          <w:sz w:val="24"/>
          <w:szCs w:val="24"/>
        </w:rPr>
        <w:t xml:space="preserve">Taken together, the four papers in this series describe a complete, implemented pipeline from natural language rule authoring through formal graph encoding, parametric evaluation, longitudinal compliance tracking, and multi-dimensional design space exploration. The DGS positions compliance checking not as a gate at the end of design — the current industry norm — but as a continuous, analytically enriched companion throughout the parametric design process. The remaining open directions — surrogate models, geometry-derived metrics, server-side graphics state persistence, and multi-user session support — are the subject of ongoing development and future publication.</w:t>
      </w:r>
    </w:p>
    <w:p>
      <w:pPr>
        <w:pStyle w:val="Heading1"/>
        <w:spacing w:after="160" w:before="400"/>
      </w:pPr>
      <w:r>
        <w:t xml:space="preserve">ACKNOWLEDGEMENTS</w:t>
      </w:r>
    </w:p>
    <w:p>
      <w:pPr>
        <w:spacing w:after="160"/>
      </w:pPr>
      <w:r>
        <w:rPr>
          <w:rFonts w:ascii="Times New Roman" w:cs="Times New Roman" w:eastAsia="Times New Roman" w:hAnsi="Times New Roman"/>
          <w:sz w:val="24"/>
          <w:szCs w:val="24"/>
        </w:rPr>
        <w:t xml:space="preserve">This work is supported by national funds through FCT – Foundation for Science and Technology under grant agreement 2024.03763.BD attributed to the first author, and by the "R2U Technologies | modular systems" project (ref.: C644876810-00000019) funded by PRR – Plano de Recuperação e Resiliência – and by European funds (Next Generation EU). The authors thank the reviewers for their constructive feedback on the series.</w:t>
      </w:r>
    </w:p>
    <w:p>
      <w:pPr>
        <w:pStyle w:val="Heading1"/>
        <w:spacing w:after="160" w:before="400"/>
      </w:pPr>
      <w:r>
        <w:t xml:space="preserve">REFERENCES</w:t>
      </w:r>
    </w:p>
    <w:p>
      <w:pPr>
        <w:spacing w:after="160"/>
      </w:pPr>
      <w:r>
        <w:rPr>
          <w:rFonts w:ascii="Times New Roman" w:cs="Times New Roman" w:eastAsia="Times New Roman" w:hAnsi="Times New Roman"/>
          <w:sz w:val="24"/>
          <w:szCs w:val="24"/>
        </w:rPr>
        <w:t xml:space="preserve">Bonduel, M., Vergauwen, M., Pauwels, P. and Vanlande, R. (2018). Integrating an IFC-based building information model in a linked data environment. In eWork and eBusiness in Architecture, Engineering and Construction (pp. 127–134). CRC Press.</w:t>
      </w:r>
    </w:p>
    <w:p>
      <w:pPr>
        <w:spacing w:after="160"/>
      </w:pPr>
      <w:r>
        <w:rPr>
          <w:rFonts w:ascii="Times New Roman" w:cs="Times New Roman" w:eastAsia="Times New Roman" w:hAnsi="Times New Roman"/>
          <w:sz w:val="24"/>
          <w:szCs w:val="24"/>
        </w:rPr>
        <w:t xml:space="preserve">Caldas, L. (2008). Generation of energy-efficient architecture solutions applying GENE_ARCH: An evolution-based generative design system. Advanced Engineering Informatics, 22(1), 59–70.</w:t>
      </w:r>
    </w:p>
    <w:p>
      <w:pPr>
        <w:spacing w:after="160"/>
      </w:pPr>
      <w:r>
        <w:rPr>
          <w:rFonts w:ascii="Times New Roman" w:cs="Times New Roman" w:eastAsia="Times New Roman" w:hAnsi="Times New Roman"/>
          <w:sz w:val="24"/>
          <w:szCs w:val="24"/>
        </w:rPr>
        <w:t xml:space="preserve">Chen, C., Liu, Y., Lee, C. and Krishnamurthy, V. (2023). Constraint-aware generation of parametric shapes using large language models. Proceedings of the Design Society, 3, 1221–1230.</w:t>
      </w:r>
    </w:p>
    <w:p>
      <w:pPr>
        <w:spacing w:after="160"/>
      </w:pPr>
      <w:r>
        <w:rPr>
          <w:rFonts w:ascii="Times New Roman" w:cs="Times New Roman" w:eastAsia="Times New Roman" w:hAnsi="Times New Roman"/>
          <w:sz w:val="24"/>
          <w:szCs w:val="24"/>
        </w:rPr>
        <w:t xml:space="preserve">Dimyadi, J. and Amor, R. (2013). Automated building code compliance checking — Where are we now? Journal of Information Technology in Construction, 18, 183–203.</w:t>
      </w:r>
    </w:p>
    <w:p>
      <w:pPr>
        <w:spacing w:after="160"/>
      </w:pPr>
      <w:r>
        <w:rPr>
          <w:rFonts w:ascii="Times New Roman" w:cs="Times New Roman" w:eastAsia="Times New Roman" w:hAnsi="Times New Roman"/>
          <w:sz w:val="24"/>
          <w:szCs w:val="24"/>
        </w:rPr>
        <w:t xml:space="preserve">Ermolenko, E. (2026a). Reinventing design grammars based on ontological framework for interactive parametric design validation. Journal of Information Technology in Construction (ITcon).</w:t>
      </w:r>
    </w:p>
    <w:p>
      <w:pPr>
        <w:spacing w:after="160"/>
      </w:pPr>
      <w:r>
        <w:rPr>
          <w:rFonts w:ascii="Times New Roman" w:cs="Times New Roman" w:eastAsia="Times New Roman" w:hAnsi="Times New Roman"/>
          <w:sz w:val="24"/>
          <w:szCs w:val="24"/>
        </w:rPr>
        <w:t xml:space="preserve">Ermolenko, E. (2026b). Design rule encoding and integration in parametric design workflows. Journal of Information Technology in Construction (ITcon).</w:t>
      </w:r>
    </w:p>
    <w:p>
      <w:pPr>
        <w:spacing w:after="160"/>
      </w:pPr>
      <w:r>
        <w:rPr>
          <w:rFonts w:ascii="Times New Roman" w:cs="Times New Roman" w:eastAsia="Times New Roman" w:hAnsi="Times New Roman"/>
          <w:sz w:val="24"/>
          <w:szCs w:val="24"/>
        </w:rPr>
        <w:t xml:space="preserve">Ermolenko, E. (2026c). Design state tracking and longitudinal validation in parametric compliance workflows. Journal of Information Technology in Construction (ITcon).</w:t>
      </w:r>
    </w:p>
    <w:p>
      <w:pPr>
        <w:spacing w:after="160"/>
      </w:pPr>
      <w:r>
        <w:rPr>
          <w:rFonts w:ascii="Times New Roman" w:cs="Times New Roman" w:eastAsia="Times New Roman" w:hAnsi="Times New Roman"/>
          <w:sz w:val="24"/>
          <w:szCs w:val="24"/>
        </w:rPr>
        <w:t xml:space="preserve">Harding, J. and Shepherd, P. (2017). Meta-parametric design. Design Studies, 52, 73–95.</w:t>
      </w:r>
    </w:p>
    <w:p>
      <w:pPr>
        <w:spacing w:after="160"/>
      </w:pPr>
      <w:r>
        <w:rPr>
          <w:rFonts w:ascii="Times New Roman" w:cs="Times New Roman" w:eastAsia="Times New Roman" w:hAnsi="Times New Roman"/>
          <w:sz w:val="24"/>
          <w:szCs w:val="24"/>
        </w:rPr>
        <w:t xml:space="preserve">Huang, J., Shi, Z., Shi, X. and Luo, Y. (2024). Large language models for architectural design ideation: Opportunities and challenges. Automation in Construction, 162, 105373.</w:t>
      </w:r>
    </w:p>
    <w:p>
      <w:pPr>
        <w:spacing w:after="160"/>
      </w:pPr>
      <w:r>
        <w:rPr>
          <w:rFonts w:ascii="Times New Roman" w:cs="Times New Roman" w:eastAsia="Times New Roman" w:hAnsi="Times New Roman"/>
          <w:sz w:val="24"/>
          <w:szCs w:val="24"/>
        </w:rPr>
        <w:t xml:space="preserve">Mazairac, W. and Beetz, J. (2013). BIMQL — An open query language for building information models. Advanced Engineering Informatics, 27(4), 444–456.</w:t>
      </w:r>
    </w:p>
    <w:p>
      <w:pPr>
        <w:spacing w:after="160"/>
      </w:pPr>
      <w:r>
        <w:rPr>
          <w:rFonts w:ascii="Times New Roman" w:cs="Times New Roman" w:eastAsia="Times New Roman" w:hAnsi="Times New Roman"/>
          <w:sz w:val="24"/>
          <w:szCs w:val="24"/>
        </w:rPr>
        <w:t xml:space="preserve">McGlinn, K., Wagner, A., Pauwels, P., Bonsma, P., Kelly, P. and O'Sullivan, D. (2019). Interlinking geospatial and building geometry with existing and developing standards on the web. Automation in Construction, 103, 235–250.</w:t>
      </w:r>
    </w:p>
    <w:p>
      <w:pPr>
        <w:spacing w:after="160"/>
      </w:pPr>
      <w:r>
        <w:rPr>
          <w:rFonts w:ascii="Times New Roman" w:cs="Times New Roman" w:eastAsia="Times New Roman" w:hAnsi="Times New Roman"/>
          <w:sz w:val="24"/>
          <w:szCs w:val="24"/>
        </w:rPr>
        <w:t xml:space="preserve">Mueller, C. and Ochsendorf, J. (2015). Combining structural performance and designer preferences in evolutionary design space exploration. Automation in Construction, 52, 70–82.</w:t>
      </w:r>
    </w:p>
    <w:p>
      <w:pPr>
        <w:spacing w:after="160"/>
      </w:pPr>
      <w:r>
        <w:rPr>
          <w:rFonts w:ascii="Times New Roman" w:cs="Times New Roman" w:eastAsia="Times New Roman" w:hAnsi="Times New Roman"/>
          <w:sz w:val="24"/>
          <w:szCs w:val="24"/>
        </w:rPr>
        <w:t xml:space="preserve">Oxman, R. (2006). Theory and design in the first digital age. Design Studies, 27(3), 229–265.</w:t>
      </w:r>
    </w:p>
    <w:p>
      <w:pPr>
        <w:spacing w:after="160"/>
      </w:pPr>
      <w:r>
        <w:rPr>
          <w:rFonts w:ascii="Times New Roman" w:cs="Times New Roman" w:eastAsia="Times New Roman" w:hAnsi="Times New Roman"/>
          <w:sz w:val="24"/>
          <w:szCs w:val="24"/>
        </w:rPr>
        <w:t xml:space="preserve">Rutten, D. (2010). Galapagos: On the Logic and Limitations of Generic Solvers. Architectural Design, 83(2), 132–135.</w:t>
      </w:r>
    </w:p>
    <w:p>
      <w:pPr>
        <w:spacing w:after="160"/>
      </w:pPr>
      <w:r>
        <w:rPr>
          <w:rFonts w:ascii="Times New Roman" w:cs="Times New Roman" w:eastAsia="Times New Roman" w:hAnsi="Times New Roman"/>
          <w:sz w:val="24"/>
          <w:szCs w:val="24"/>
        </w:rPr>
        <w:t xml:space="preserve">Shea, K., Aish, R. and Gourtovaia, M. (2005). Towards integrated performance-driven generative design tools. Automation in Construction, 14(2), 253–264.</w:t>
      </w:r>
    </w:p>
    <w:p>
      <w:pPr>
        <w:spacing w:after="160"/>
      </w:pPr>
      <w:r>
        <w:rPr>
          <w:rFonts w:ascii="Times New Roman" w:cs="Times New Roman" w:eastAsia="Times New Roman" w:hAnsi="Times New Roman"/>
          <w:sz w:val="24"/>
          <w:szCs w:val="24"/>
        </w:rPr>
        <w:t xml:space="preserve">Shi, X., Tian, Z., Chen, W., Si, B. and Jin, X. (2017). A review on building energy efficient design optimization from the perspective of architects. Renewable and Sustainable Energy Reviews, 65, 872–884.</w:t>
      </w:r>
    </w:p>
    <w:p>
      <w:pPr>
        <w:spacing w:after="160"/>
      </w:pPr>
      <w:r>
        <w:rPr>
          <w:rFonts w:ascii="Times New Roman" w:cs="Times New Roman" w:eastAsia="Times New Roman" w:hAnsi="Times New Roman"/>
          <w:sz w:val="24"/>
          <w:szCs w:val="24"/>
        </w:rPr>
        <w:t xml:space="preserve">Solihin, W. and Eastman, C. (2015). Classification of rules for automated BIM rule checking development. Automation in Construction, 53, 69–82.</w:t>
      </w:r>
    </w:p>
    <w:p>
      <w:pPr>
        <w:spacing w:after="160"/>
      </w:pPr>
      <w:r>
        <w:rPr>
          <w:rFonts w:ascii="Times New Roman" w:cs="Times New Roman" w:eastAsia="Times New Roman" w:hAnsi="Times New Roman"/>
          <w:sz w:val="24"/>
          <w:szCs w:val="24"/>
        </w:rPr>
        <w:t xml:space="preserve">Wei, J., Wang, X., Schuurmans, D., Bosma, M., Ichter, B., Xia, F., Chi, E., Le, Q. and Zhou, D. (2022). Chain-of-thought prompting elicits reasoning in large language models. Advances in Neural Information Processing Systems, 35, 24824–24837.</w:t>
      </w:r>
    </w:p>
    <w:sectPr>
      <w:footerReference w:type="default" r:id="rId7"/>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400"/>
    </w:pPr>
    <w:rPr>
      <w:rFonts w:ascii="Times New Roman" w:cs="Times New Roman" w:eastAsia="Times New Roman" w:hAnsi="Times New Roman"/>
      <w:b/>
      <w:bCs/>
      <w:color w:val="000000"/>
      <w:sz w:val="28"/>
      <w:szCs w:val="28"/>
    </w:rPr>
  </w:style>
  <w:style w:type="paragraph" w:styleId="Heading2">
    <w:name w:val="Heading 2"/>
    <w:basedOn w:val="Normal"/>
    <w:next w:val="Normal"/>
    <w:pPr>
      <w:spacing w:after="120" w:before="280"/>
    </w:pPr>
    <w:rPr>
      <w:rFonts w:ascii="Times New Roman" w:cs="Times New Roman" w:eastAsia="Times New Roman" w:hAnsi="Times New Roman"/>
      <w:b/>
      <w:bCs/>
      <w:color w:val="000000"/>
      <w:sz w:val="26"/>
      <w:szCs w:val="26"/>
    </w:rPr>
  </w:style>
  <w:style w:type="paragraph" w:styleId="Heading3">
    <w:name w:val="Heading 3"/>
    <w:basedOn w:val="Normal"/>
    <w:next w:val="Normal"/>
    <w:pPr>
      <w:spacing w:after="100" w:before="200"/>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2026-05-24T11:33:50.969Z</dcterms:created>
  <dcterms:modified xsi:type="dcterms:W3CDTF">2026-05-24T11:33:50.969Z</dcterms:modified>
</cp:coreProperties>
</file>

<file path=docProps/custom.xml><?xml version="1.0" encoding="utf-8"?>
<Properties xmlns="http://schemas.openxmlformats.org/officeDocument/2006/custom-properties" xmlns:vt="http://schemas.openxmlformats.org/officeDocument/2006/docPropsVTypes"/>
</file>