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304"/>
      </w:tblGrid>
      <w:tr>
        <w:tc>
          <w:tcPr>
            <w:tcW w:type="dxa" w:w="4968"/>
            <w:shd w:fill="17365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ENGINEERING APPLICATIONS OF ARTIFICIAL INTELLIGENCE</w:t>
            </w:r>
          </w:p>
        </w:tc>
        <w:tc>
          <w:tcPr>
            <w:tcW w:type="dxa" w:w="4968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AUTHOR FORM</w:t>
            </w:r>
          </w:p>
        </w:tc>
      </w:tr>
    </w:tbl>
    <w:p/>
    <w:p>
      <w:pPr>
        <w:spacing w:after="320"/>
        <w:jc w:val="center"/>
      </w:pPr>
      <w:r>
        <w:rPr>
          <w:rFonts w:ascii="Arial" w:hAnsi="Arial"/>
          <w:b/>
          <w:color w:val="17365D"/>
          <w:sz w:val="36"/>
        </w:rPr>
        <w:t>Declaration of Competing Interest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272"/>
      </w:tblGrid>
      <w:tr>
        <w:tc>
          <w:tcPr>
            <w:tcW w:type="dxa" w:w="4968"/>
            <w:shd w:fill="EAF1F8"/>
            <w:vAlign w:val="center"/>
          </w:tcPr>
          <w:p>
            <w:r>
              <w:rPr>
                <w:b/>
                <w:color w:val="17365D"/>
              </w:rPr>
              <w:t>Journal</w:t>
            </w:r>
          </w:p>
        </w:tc>
        <w:tc>
          <w:tcPr>
            <w:tcW w:type="dxa" w:w="4968"/>
            <w:vAlign w:val="center"/>
          </w:tcPr>
          <w:p>
            <w:r>
              <w:t>Engineering Applications of Artificial Intelligence</w:t>
            </w:r>
          </w:p>
        </w:tc>
      </w:tr>
      <w:tr>
        <w:tc>
          <w:tcPr>
            <w:tcW w:type="dxa" w:w="4968"/>
            <w:shd w:fill="EAF1F8"/>
            <w:vAlign w:val="center"/>
          </w:tcPr>
          <w:p>
            <w:r>
              <w:rPr>
                <w:b/>
                <w:color w:val="17365D"/>
              </w:rPr>
              <w:t>Manuscript</w:t>
            </w:r>
          </w:p>
        </w:tc>
        <w:tc>
          <w:tcPr>
            <w:tcW w:type="dxa" w:w="4968"/>
            <w:vAlign w:val="center"/>
          </w:tcPr>
          <w:p>
            <w:r>
              <w:t>A Reproducible Benchmark and Cross-Domain Stress Test for Fragmentation-Event Forecasting in Unmanned Aerial Vehicle Networks</w:t>
            </w:r>
          </w:p>
        </w:tc>
      </w:tr>
      <w:tr>
        <w:tc>
          <w:tcPr>
            <w:tcW w:type="dxa" w:w="4968"/>
            <w:shd w:fill="EAF1F8"/>
            <w:vAlign w:val="center"/>
          </w:tcPr>
          <w:p>
            <w:r>
              <w:rPr>
                <w:b/>
                <w:color w:val="17365D"/>
              </w:rPr>
              <w:t>Author</w:t>
            </w:r>
          </w:p>
        </w:tc>
        <w:tc>
          <w:tcPr>
            <w:tcW w:type="dxa" w:w="4968"/>
            <w:vAlign w:val="center"/>
          </w:tcPr>
          <w:p>
            <w:r>
              <w:t>Ercan Erkalkan</w:t>
            </w:r>
          </w:p>
        </w:tc>
      </w:tr>
    </w:tbl>
    <w:p/>
    <w:p>
      <w:pPr>
        <w:spacing w:after="120"/>
      </w:pPr>
      <w:r>
        <w:rPr>
          <w:b/>
          <w:color w:val="17365D"/>
          <w:sz w:val="24"/>
        </w:rPr>
        <w:t>Declaration</w:t>
      </w:r>
    </w:p>
    <w:p>
      <w:pPr>
        <w:spacing w:after="360" w:line="276" w:lineRule="auto"/>
      </w:pPr>
      <w:r>
        <w:t>The author declares that there are no known competing financial interests or personal relationships that could have appeared to influence the work reported in this paper.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968"/>
            <w:shd w:fill="F4F7FA"/>
          </w:tcPr>
          <w:p>
            <w:r>
              <w:rPr>
                <w:b/>
                <w:sz w:val="22"/>
              </w:rPr>
              <w:t>Ercan Erkalkan</w:t>
            </w:r>
          </w:p>
        </w:tc>
        <w:tc>
          <w:tcPr>
            <w:tcW w:type="dxa" w:w="4968"/>
            <w:shd w:fill="F4F7FA"/>
          </w:tcPr>
          <w:p>
            <w:r>
              <w:rPr>
                <w:b/>
                <w:sz w:val="22"/>
              </w:rPr>
              <w:t>18 July 2026</w:t>
            </w:r>
          </w:p>
        </w:tc>
      </w:tr>
      <w:tr>
        <w:tc>
          <w:tcPr>
            <w:tcW w:type="dxa" w:w="4968"/>
          </w:tcPr>
          <w:p>
            <w:r>
              <w:rPr>
                <w:i/>
                <w:color w:val="5A636E"/>
                <w:sz w:val="17"/>
              </w:rPr>
              <w:t>Author / signature</w:t>
            </w:r>
          </w:p>
        </w:tc>
        <w:tc>
          <w:tcPr>
            <w:tcW w:type="dxa" w:w="4968"/>
          </w:tcPr>
          <w:p>
            <w:r>
              <w:rPr>
                <w:i/>
                <w:color w:val="5A636E"/>
                <w:sz w:val="17"/>
              </w:rPr>
              <w:t>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E78"/>
        <w:sz w:val="16"/>
      </w:rPr>
      <w:t>FANET-TopoGNN submission package • 18 July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