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Highlights</w:t>
      </w:r>
    </w:p>
    <w:p>
      <w:pPr>
        <w:pStyle w:val="ListBullet"/>
      </w:pPr>
      <w:r>
        <w:t>Graph-cut targets are built without using the unknown exact optimum.</w:t>
      </w:r>
    </w:p>
    <w:p>
      <w:pPr>
        <w:pStyle w:val="ListBullet"/>
      </w:pPr>
      <w:r>
        <w:t>Fixed overhead reveals when amplitude amplification becomes worthwhile.</w:t>
      </w:r>
    </w:p>
    <w:p>
      <w:pPr>
        <w:pStyle w:val="ListBullet"/>
      </w:pPr>
      <w:r>
        <w:t>Unknown-solution search avoids assuming the exact fraction of target states.</w:t>
      </w:r>
    </w:p>
    <w:p>
      <w:pPr>
        <w:pStyle w:val="ListBullet"/>
      </w:pPr>
      <w:r>
        <w:t>Compiled circuit costs favor no amplification when fixed overhead is zero.</w:t>
      </w:r>
    </w:p>
    <w:p>
      <w:pPr>
        <w:pStyle w:val="ListBullet"/>
      </w:pPr>
      <w:r>
        <w:t>Target-focused quantum optimization raises the chance of reaching the target.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