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SULEYMAN DEMIREL UNIVERSITY</w:t>
      </w:r>
    </w:p>
    <w:p>
      <w:pPr>
        <w:spacing w:lineRule="exact" w:line="360" w:before="0" w:after="80"/>
        <w:jc w:val="center"/>
      </w:pPr>
      <w:r>
        <w:rPr>
          <w:rFonts w:ascii="Times New Roman" w:hAnsi="Times New Roman"/>
          <w:b w:val="0"/>
          <w:i w:val="0"/>
          <w:sz w:val="24"/>
        </w:rPr>
        <w:t>Faculty of Information Technology</w:t>
      </w:r>
    </w:p>
    <w:p>
      <w:pPr>
        <w:spacing w:lineRule="exact" w:line="360" w:before="0" w:after="800"/>
        <w:jc w:val="center"/>
      </w:pPr>
      <w:r>
        <w:rPr>
          <w:rFonts w:ascii="Times New Roman" w:hAnsi="Times New Roman"/>
          <w:b w:val="0"/>
          <w:i w:val="0"/>
          <w:sz w:val="24"/>
        </w:rPr>
        <w:t>Department of Computer Science</w:t>
      </w:r>
    </w:p>
    <w:p>
      <w:pPr>
        <w:spacing w:after="600"/>
        <w:jc w:val="center"/>
      </w:pPr>
      <w:r>
        <w:rPr>
          <w:rFonts w:ascii="Times New Roman" w:hAnsi="Times New Roman"/>
          <w:b/>
          <w:sz w:val="32"/>
        </w:rPr>
        <w:t>DIPLOMA THESIS</w:t>
      </w:r>
    </w:p>
    <w:p>
      <w:pPr>
        <w:spacing w:after="1000"/>
        <w:jc w:val="center"/>
      </w:pPr>
      <w:r>
        <w:rPr>
          <w:rFonts w:ascii="Times New Roman" w:hAnsi="Times New Roman"/>
          <w:b/>
          <w:sz w:val="28"/>
        </w:rPr>
        <w:t>Machine Learning System for Predicting Photoelectrochemical</w:t>
        <w:br/>
        <w:t>Water Splitting Performance with Web Interface</w:t>
      </w:r>
    </w:p>
    <w:p>
      <w:pPr>
        <w:spacing w:after="40"/>
        <w:jc w:val="center"/>
      </w:pPr>
      <w:r>
        <w:rPr>
          <w:rFonts w:ascii="Times New Roman" w:hAnsi="Times New Roman"/>
          <w:b/>
          <w:sz w:val="24"/>
        </w:rPr>
        <w:t>Author:</w:t>
      </w:r>
    </w:p>
    <w:p>
      <w:pPr>
        <w:spacing w:after="40"/>
        <w:jc w:val="center"/>
      </w:pPr>
      <w:r>
        <w:rPr>
          <w:rFonts w:ascii="Times New Roman" w:hAnsi="Times New Roman"/>
          <w:b w:val="0"/>
          <w:sz w:val="24"/>
        </w:rPr>
        <w:t>Yerassyl Issayev, Student ID: 220103164</w:t>
      </w:r>
    </w:p>
    <w:p>
      <w:pPr>
        <w:spacing w:after="40"/>
        <w:jc w:val="center"/>
      </w:pPr>
      <w:r>
        <w:rPr>
          <w:rFonts w:ascii="Times New Roman" w:hAnsi="Times New Roman"/>
          <w:b w:val="0"/>
          <w:sz w:val="24"/>
        </w:rPr>
        <w:t>Program: Computer Science (B.Sc.)</w:t>
      </w:r>
    </w:p>
    <w:p>
      <w:pPr>
        <w:spacing w:after="40"/>
        <w:jc w:val="center"/>
      </w:pPr>
      <w:r>
        <w:rPr>
          <w:rFonts w:ascii="Times New Roman" w:hAnsi="Times New Roman"/>
          <w:b w:val="0"/>
          <w:sz w:val="24"/>
        </w:rPr>
      </w:r>
    </w:p>
    <w:p>
      <w:pPr>
        <w:spacing w:after="40"/>
        <w:jc w:val="center"/>
      </w:pPr>
      <w:r>
        <w:rPr>
          <w:rFonts w:ascii="Times New Roman" w:hAnsi="Times New Roman"/>
          <w:b/>
          <w:sz w:val="24"/>
        </w:rPr>
        <w:t>Supervisor:</w:t>
      </w:r>
    </w:p>
    <w:p>
      <w:pPr>
        <w:spacing w:after="40"/>
        <w:jc w:val="center"/>
      </w:pPr>
      <w:r>
        <w:rPr>
          <w:rFonts w:ascii="Times New Roman" w:hAnsi="Times New Roman"/>
          <w:b w:val="0"/>
          <w:sz w:val="24"/>
        </w:rPr>
        <w:t>Akerke Alseitova</w:t>
      </w:r>
    </w:p>
    <w:p>
      <w:pPr>
        <w:spacing w:after="40"/>
        <w:jc w:val="center"/>
      </w:pPr>
      <w:r>
        <w:rPr>
          <w:rFonts w:ascii="Times New Roman" w:hAnsi="Times New Roman"/>
          <w:b w:val="0"/>
          <w:sz w:val="24"/>
        </w:rPr>
      </w:r>
    </w:p>
    <w:p>
      <w:pPr>
        <w:spacing w:after="40"/>
        <w:jc w:val="center"/>
      </w:pPr>
      <w:r>
        <w:rPr>
          <w:rFonts w:ascii="Times New Roman" w:hAnsi="Times New Roman"/>
          <w:b/>
          <w:sz w:val="24"/>
        </w:rPr>
        <w:t>Co-supervisor:</w:t>
      </w:r>
    </w:p>
    <w:p>
      <w:pPr>
        <w:spacing w:after="40"/>
        <w:jc w:val="center"/>
      </w:pPr>
      <w:r>
        <w:rPr>
          <w:rFonts w:ascii="Times New Roman" w:hAnsi="Times New Roman"/>
          <w:b w:val="0"/>
          <w:sz w:val="24"/>
        </w:rPr>
        <w:t>[Diploma Instructor Name]</w:t>
      </w:r>
    </w:p>
    <w:p>
      <w:pPr>
        <w:jc w:val="center"/>
      </w:pPr>
      <w:r>
        <w:rPr>
          <w:rFonts w:ascii="Times New Roman" w:hAnsi="Times New Roman"/>
          <w:b w:val="0"/>
          <w:sz w:val="24"/>
        </w:rPr>
        <w:br/>
        <w:br/>
        <w:t>Almaty, 2026</w:t>
      </w:r>
    </w:p>
    <w:p>
      <w:r>
        <w:br w:type="page"/>
      </w:r>
    </w:p>
    <w:p>
      <w:pPr>
        <w:spacing w:before="360" w:after="200" w:lineRule="exact" w:line="360"/>
        <w:jc w:val="left"/>
      </w:pPr>
      <w:r>
        <w:rPr>
          <w:rFonts w:ascii="Times New Roman" w:hAnsi="Times New Roman"/>
          <w:b/>
          <w:sz w:val="28"/>
        </w:rPr>
        <w:t>ABSTRACT</w:t>
      </w:r>
    </w:p>
    <w:p>
      <w:pPr>
        <w:spacing w:lineRule="exact" w:line="360" w:before="0" w:after="120"/>
        <w:ind w:firstLine="709"/>
        <w:jc w:val="both"/>
      </w:pPr>
      <w:r>
        <w:rPr>
          <w:rFonts w:ascii="Times New Roman" w:hAnsi="Times New Roman"/>
          <w:b w:val="0"/>
          <w:i w:val="0"/>
          <w:sz w:val="24"/>
        </w:rPr>
        <w:t>This thesis presents the design, implementation, and evaluation of a machine learning system for predicting photoelectrochemical (PEC) water splitting performance of semiconductor materials. The system targets three key output metrics: photocurrent density (mA/cm²), solar-to-hydrogen (STH) conversion efficiency (%), and hydrogen evolution rate (µmol/h/cm²). These are the primary indicators of a PEC material's suitability for solar hydrogen production.</w:t>
      </w:r>
    </w:p>
    <w:p>
      <w:pPr>
        <w:spacing w:lineRule="exact" w:line="360" w:before="0" w:after="120"/>
        <w:ind w:firstLine="709"/>
        <w:jc w:val="both"/>
      </w:pPr>
      <w:r>
        <w:rPr>
          <w:rFonts w:ascii="Times New Roman" w:hAnsi="Times New Roman"/>
          <w:b w:val="0"/>
          <w:i w:val="0"/>
          <w:sz w:val="24"/>
        </w:rPr>
        <w:t>The project addresses a practical research gap: despite a growing body of published experimental data on PEC systems, no accessible software tool exists that aggregates literature data, preprocesses it, and provides real-time predictions through an interactive interface. The developed system bridges this gap by combining a literature-derived dataset of 529 experimental entries with a multi-target machine learning pipeline and a client–server web application.</w:t>
      </w:r>
    </w:p>
    <w:p>
      <w:pPr>
        <w:spacing w:lineRule="exact" w:line="360" w:before="0" w:after="120"/>
        <w:ind w:firstLine="709"/>
        <w:jc w:val="both"/>
      </w:pPr>
      <w:r>
        <w:rPr>
          <w:rFonts w:ascii="Times New Roman" w:hAnsi="Times New Roman"/>
          <w:b w:val="0"/>
          <w:i w:val="0"/>
          <w:sz w:val="24"/>
        </w:rPr>
        <w:t>The dataset was collected from peer-reviewed publications indexed in Web of Science. After cleaning and per-target splitting, three model-ready subsets were produced: 396 entries for photocurrent, 48 entries for STH efficiency, and 55 entries for hydrogen evolution rate. Random Forest and XGBoost regressors were trained with physics-informed feature engineering and leakage-preventing preprocessing. The backend is a Flask REST API exposing a POST /predict endpoint; the frontend is both a standalone HTML interface and a React 19 single-page application.</w:t>
      </w:r>
    </w:p>
    <w:p>
      <w:pPr>
        <w:spacing w:lineRule="exact" w:line="360" w:before="0" w:after="120"/>
        <w:ind w:firstLine="709"/>
        <w:jc w:val="both"/>
      </w:pPr>
      <w:r>
        <w:rPr>
          <w:rFonts w:ascii="Times New Roman" w:hAnsi="Times New Roman"/>
          <w:b w:val="0"/>
          <w:i w:val="0"/>
          <w:sz w:val="24"/>
        </w:rPr>
        <w:t>Three-fold cross-validation shows that the STH model achieved the best predictive R² of +0.287, the photocurrent model achieved R² = +0.055, and the hydrogen evolution model R² = +0.085. These results are critically analyzed in the context of dataset limitations and experimental heterogeneity inherent to literature-derived data. Functional testing confirmed correct API behavior across all scenarios including input validation, missing-field imputation, and JSON serialization.</w:t>
      </w:r>
    </w:p>
    <w:p>
      <w:pPr>
        <w:spacing w:lineRule="exact" w:line="360" w:before="0" w:after="200"/>
        <w:jc w:val="both"/>
      </w:pPr>
      <w:r>
        <w:rPr>
          <w:rFonts w:ascii="Times New Roman" w:hAnsi="Times New Roman"/>
          <w:b w:val="0"/>
          <w:i/>
          <w:sz w:val="24"/>
        </w:rPr>
        <w:t>Keywords: photoelectrochemical water splitting, machine learning, Random Forest, XGBoost, solar-to-hydrogen efficiency, Flask REST API, feature engineering, React, Vite.</w:t>
      </w:r>
    </w:p>
    <w:p>
      <w:r>
        <w:br w:type="page"/>
      </w:r>
    </w:p>
    <w:p>
      <w:pPr>
        <w:spacing w:before="360" w:after="200" w:lineRule="exact" w:line="360"/>
        <w:jc w:val="left"/>
      </w:pPr>
      <w:r>
        <w:rPr>
          <w:rFonts w:ascii="Times New Roman" w:hAnsi="Times New Roman"/>
          <w:b/>
          <w:sz w:val="28"/>
        </w:rPr>
        <w:t>TABLE OF CONTENTS</w:t>
      </w:r>
    </w:p>
    <w:p>
      <w:pPr>
        <w:spacing w:after="40" w:lineRule="exact" w:line="320"/>
        <w:jc w:val="left"/>
      </w:pPr>
      <w:r>
        <w:rPr>
          <w:rFonts w:ascii="Times New Roman" w:hAnsi="Times New Roman"/>
          <w:sz w:val="24"/>
        </w:rPr>
        <w:t>Abstract</w:t>
      </w:r>
      <w:r>
        <w:rPr>
          <w:rFonts w:ascii="Times New Roman" w:hAnsi="Times New Roman"/>
        </w:rPr>
        <w:tab/>
        <w:t>2</w:t>
      </w:r>
    </w:p>
    <w:p>
      <w:pPr>
        <w:spacing w:after="40" w:lineRule="exact" w:line="320"/>
        <w:jc w:val="left"/>
      </w:pPr>
      <w:r>
        <w:rPr>
          <w:rFonts w:ascii="Times New Roman" w:hAnsi="Times New Roman"/>
          <w:sz w:val="24"/>
        </w:rPr>
        <w:t>1. Introduction</w:t>
      </w:r>
      <w:r>
        <w:rPr>
          <w:rFonts w:ascii="Times New Roman" w:hAnsi="Times New Roman"/>
        </w:rPr>
        <w:tab/>
        <w:t>4</w:t>
      </w:r>
    </w:p>
    <w:p>
      <w:pPr>
        <w:spacing w:after="40" w:lineRule="exact" w:line="320"/>
        <w:jc w:val="left"/>
      </w:pPr>
      <w:r>
        <w:rPr>
          <w:rFonts w:ascii="Times New Roman" w:hAnsi="Times New Roman"/>
          <w:sz w:val="24"/>
        </w:rPr>
        <w:t xml:space="preserve">    1.1 Problem Background and Relevance</w:t>
      </w:r>
      <w:r>
        <w:rPr>
          <w:rFonts w:ascii="Times New Roman" w:hAnsi="Times New Roman"/>
        </w:rPr>
        <w:tab/>
        <w:t>4</w:t>
      </w:r>
    </w:p>
    <w:p>
      <w:pPr>
        <w:spacing w:after="40" w:lineRule="exact" w:line="320"/>
        <w:jc w:val="left"/>
      </w:pPr>
      <w:r>
        <w:rPr>
          <w:rFonts w:ascii="Times New Roman" w:hAnsi="Times New Roman"/>
          <w:sz w:val="24"/>
        </w:rPr>
        <w:t xml:space="preserve">    1.2 Aims and Objectives</w:t>
      </w:r>
      <w:r>
        <w:rPr>
          <w:rFonts w:ascii="Times New Roman" w:hAnsi="Times New Roman"/>
        </w:rPr>
        <w:tab/>
        <w:t>5</w:t>
      </w:r>
    </w:p>
    <w:p>
      <w:pPr>
        <w:spacing w:after="40" w:lineRule="exact" w:line="320"/>
        <w:jc w:val="left"/>
      </w:pPr>
      <w:r>
        <w:rPr>
          <w:rFonts w:ascii="Times New Roman" w:hAnsi="Times New Roman"/>
          <w:sz w:val="24"/>
        </w:rPr>
        <w:t xml:space="preserve">    1.3 Research Object, Subject, and Practical Significance</w:t>
      </w:r>
      <w:r>
        <w:rPr>
          <w:rFonts w:ascii="Times New Roman" w:hAnsi="Times New Roman"/>
        </w:rPr>
        <w:tab/>
        <w:t>6</w:t>
      </w:r>
    </w:p>
    <w:p>
      <w:pPr>
        <w:spacing w:after="40" w:lineRule="exact" w:line="320"/>
        <w:jc w:val="left"/>
      </w:pPr>
      <w:r>
        <w:rPr>
          <w:rFonts w:ascii="Times New Roman" w:hAnsi="Times New Roman"/>
          <w:sz w:val="24"/>
        </w:rPr>
        <w:t>2. Literature Review</w:t>
      </w:r>
      <w:r>
        <w:rPr>
          <w:rFonts w:ascii="Times New Roman" w:hAnsi="Times New Roman"/>
        </w:rPr>
        <w:tab/>
        <w:t>7</w:t>
      </w:r>
    </w:p>
    <w:p>
      <w:pPr>
        <w:spacing w:after="40" w:lineRule="exact" w:line="320"/>
        <w:jc w:val="left"/>
      </w:pPr>
      <w:r>
        <w:rPr>
          <w:rFonts w:ascii="Times New Roman" w:hAnsi="Times New Roman"/>
          <w:sz w:val="24"/>
        </w:rPr>
        <w:t xml:space="preserve">    2.1 Fundamentals of Photoelectrochemical Water Splitting</w:t>
      </w:r>
      <w:r>
        <w:rPr>
          <w:rFonts w:ascii="Times New Roman" w:hAnsi="Times New Roman"/>
        </w:rPr>
        <w:tab/>
        <w:t>7</w:t>
      </w:r>
    </w:p>
    <w:p>
      <w:pPr>
        <w:spacing w:after="40" w:lineRule="exact" w:line="320"/>
        <w:jc w:val="left"/>
      </w:pPr>
      <w:r>
        <w:rPr>
          <w:rFonts w:ascii="Times New Roman" w:hAnsi="Times New Roman"/>
          <w:sz w:val="24"/>
        </w:rPr>
        <w:t xml:space="preserve">    2.2 Key Material Families and Performance Factors</w:t>
      </w:r>
      <w:r>
        <w:rPr>
          <w:rFonts w:ascii="Times New Roman" w:hAnsi="Times New Roman"/>
        </w:rPr>
        <w:tab/>
        <w:t>8</w:t>
      </w:r>
    </w:p>
    <w:p>
      <w:pPr>
        <w:spacing w:after="40" w:lineRule="exact" w:line="320"/>
        <w:jc w:val="left"/>
      </w:pPr>
      <w:r>
        <w:rPr>
          <w:rFonts w:ascii="Times New Roman" w:hAnsi="Times New Roman"/>
          <w:sz w:val="24"/>
        </w:rPr>
        <w:t xml:space="preserve">    2.3 Performance Metrics in PEC Research</w:t>
      </w:r>
      <w:r>
        <w:rPr>
          <w:rFonts w:ascii="Times New Roman" w:hAnsi="Times New Roman"/>
        </w:rPr>
        <w:tab/>
        <w:t>9</w:t>
      </w:r>
    </w:p>
    <w:p>
      <w:pPr>
        <w:spacing w:after="40" w:lineRule="exact" w:line="320"/>
        <w:jc w:val="left"/>
      </w:pPr>
      <w:r>
        <w:rPr>
          <w:rFonts w:ascii="Times New Roman" w:hAnsi="Times New Roman"/>
          <w:sz w:val="24"/>
        </w:rPr>
        <w:t xml:space="preserve">    2.4 Machine Learning Applications in Materials Science</w:t>
      </w:r>
      <w:r>
        <w:rPr>
          <w:rFonts w:ascii="Times New Roman" w:hAnsi="Times New Roman"/>
        </w:rPr>
        <w:tab/>
        <w:t>10</w:t>
      </w:r>
    </w:p>
    <w:p>
      <w:pPr>
        <w:spacing w:after="40" w:lineRule="exact" w:line="320"/>
        <w:jc w:val="left"/>
      </w:pPr>
      <w:r>
        <w:rPr>
          <w:rFonts w:ascii="Times New Roman" w:hAnsi="Times New Roman"/>
          <w:sz w:val="24"/>
        </w:rPr>
        <w:t xml:space="preserve">    2.5 Existing Software Tools and Research Gaps</w:t>
      </w:r>
      <w:r>
        <w:rPr>
          <w:rFonts w:ascii="Times New Roman" w:hAnsi="Times New Roman"/>
        </w:rPr>
        <w:tab/>
        <w:t>11</w:t>
      </w:r>
    </w:p>
    <w:p>
      <w:pPr>
        <w:spacing w:after="40" w:lineRule="exact" w:line="320"/>
        <w:jc w:val="left"/>
      </w:pPr>
      <w:r>
        <w:rPr>
          <w:rFonts w:ascii="Times New Roman" w:hAnsi="Times New Roman"/>
          <w:sz w:val="24"/>
        </w:rPr>
        <w:t>3. Design and Methodology</w:t>
      </w:r>
      <w:r>
        <w:rPr>
          <w:rFonts w:ascii="Times New Roman" w:hAnsi="Times New Roman"/>
        </w:rPr>
        <w:tab/>
        <w:t>12</w:t>
      </w:r>
    </w:p>
    <w:p>
      <w:pPr>
        <w:spacing w:after="40" w:lineRule="exact" w:line="320"/>
        <w:jc w:val="left"/>
      </w:pPr>
      <w:r>
        <w:rPr>
          <w:rFonts w:ascii="Times New Roman" w:hAnsi="Times New Roman"/>
          <w:sz w:val="24"/>
        </w:rPr>
        <w:t xml:space="preserve">    3.1 Overall System Architecture</w:t>
      </w:r>
      <w:r>
        <w:rPr>
          <w:rFonts w:ascii="Times New Roman" w:hAnsi="Times New Roman"/>
        </w:rPr>
        <w:tab/>
        <w:t>12</w:t>
      </w:r>
    </w:p>
    <w:p>
      <w:pPr>
        <w:spacing w:after="40" w:lineRule="exact" w:line="320"/>
        <w:jc w:val="left"/>
      </w:pPr>
      <w:r>
        <w:rPr>
          <w:rFonts w:ascii="Times New Roman" w:hAnsi="Times New Roman"/>
          <w:sz w:val="24"/>
        </w:rPr>
        <w:t xml:space="preserve">    3.2 Dataset Description and Collection Methodology</w:t>
      </w:r>
      <w:r>
        <w:rPr>
          <w:rFonts w:ascii="Times New Roman" w:hAnsi="Times New Roman"/>
        </w:rPr>
        <w:tab/>
        <w:t>13</w:t>
      </w:r>
    </w:p>
    <w:p>
      <w:pPr>
        <w:spacing w:after="40" w:lineRule="exact" w:line="320"/>
        <w:jc w:val="left"/>
      </w:pPr>
      <w:r>
        <w:rPr>
          <w:rFonts w:ascii="Times New Roman" w:hAnsi="Times New Roman"/>
          <w:sz w:val="24"/>
        </w:rPr>
        <w:t xml:space="preserve">    3.3 Data Preprocessing and Feature Engineering</w:t>
      </w:r>
      <w:r>
        <w:rPr>
          <w:rFonts w:ascii="Times New Roman" w:hAnsi="Times New Roman"/>
        </w:rPr>
        <w:tab/>
        <w:t>14</w:t>
      </w:r>
    </w:p>
    <w:p>
      <w:pPr>
        <w:spacing w:after="40" w:lineRule="exact" w:line="320"/>
        <w:jc w:val="left"/>
      </w:pPr>
      <w:r>
        <w:rPr>
          <w:rFonts w:ascii="Times New Roman" w:hAnsi="Times New Roman"/>
          <w:sz w:val="24"/>
        </w:rPr>
        <w:t xml:space="preserve">    3.4 Machine Learning Models</w:t>
      </w:r>
      <w:r>
        <w:rPr>
          <w:rFonts w:ascii="Times New Roman" w:hAnsi="Times New Roman"/>
        </w:rPr>
        <w:tab/>
        <w:t>17</w:t>
      </w:r>
    </w:p>
    <w:p>
      <w:pPr>
        <w:spacing w:after="40" w:lineRule="exact" w:line="320"/>
        <w:jc w:val="left"/>
      </w:pPr>
      <w:r>
        <w:rPr>
          <w:rFonts w:ascii="Times New Roman" w:hAnsi="Times New Roman"/>
          <w:sz w:val="24"/>
        </w:rPr>
        <w:t xml:space="preserve">    3.5 Backend API Design</w:t>
      </w:r>
      <w:r>
        <w:rPr>
          <w:rFonts w:ascii="Times New Roman" w:hAnsi="Times New Roman"/>
        </w:rPr>
        <w:tab/>
        <w:t>19</w:t>
      </w:r>
    </w:p>
    <w:p>
      <w:pPr>
        <w:spacing w:after="40" w:lineRule="exact" w:line="320"/>
        <w:jc w:val="left"/>
      </w:pPr>
      <w:r>
        <w:rPr>
          <w:rFonts w:ascii="Times New Roman" w:hAnsi="Times New Roman"/>
          <w:sz w:val="24"/>
        </w:rPr>
        <w:t xml:space="preserve">    3.6 Frontend Interface Design</w:t>
      </w:r>
      <w:r>
        <w:rPr>
          <w:rFonts w:ascii="Times New Roman" w:hAnsi="Times New Roman"/>
        </w:rPr>
        <w:tab/>
        <w:t>21</w:t>
      </w:r>
    </w:p>
    <w:p>
      <w:pPr>
        <w:spacing w:after="40" w:lineRule="exact" w:line="320"/>
        <w:jc w:val="left"/>
      </w:pPr>
      <w:r>
        <w:rPr>
          <w:rFonts w:ascii="Times New Roman" w:hAnsi="Times New Roman"/>
          <w:sz w:val="24"/>
        </w:rPr>
        <w:t xml:space="preserve">    3.7 UML Diagrams</w:t>
      </w:r>
      <w:r>
        <w:rPr>
          <w:rFonts w:ascii="Times New Roman" w:hAnsi="Times New Roman"/>
        </w:rPr>
        <w:tab/>
        <w:t>22</w:t>
      </w:r>
    </w:p>
    <w:p>
      <w:pPr>
        <w:spacing w:after="40" w:lineRule="exact" w:line="320"/>
        <w:jc w:val="left"/>
      </w:pPr>
      <w:r>
        <w:rPr>
          <w:rFonts w:ascii="Times New Roman" w:hAnsi="Times New Roman"/>
          <w:sz w:val="24"/>
        </w:rPr>
        <w:t xml:space="preserve">    3.8 Implementation Details</w:t>
      </w:r>
      <w:r>
        <w:rPr>
          <w:rFonts w:ascii="Times New Roman" w:hAnsi="Times New Roman"/>
        </w:rPr>
        <w:tab/>
        <w:t>24</w:t>
      </w:r>
    </w:p>
    <w:p>
      <w:pPr>
        <w:spacing w:after="40" w:lineRule="exact" w:line="320"/>
        <w:jc w:val="left"/>
      </w:pPr>
      <w:r>
        <w:rPr>
          <w:rFonts w:ascii="Times New Roman" w:hAnsi="Times New Roman"/>
          <w:sz w:val="24"/>
        </w:rPr>
        <w:t>4. Results and Discussion</w:t>
      </w:r>
      <w:r>
        <w:rPr>
          <w:rFonts w:ascii="Times New Roman" w:hAnsi="Times New Roman"/>
        </w:rPr>
        <w:tab/>
        <w:t>25</w:t>
      </w:r>
    </w:p>
    <w:p>
      <w:pPr>
        <w:spacing w:after="40" w:lineRule="exact" w:line="320"/>
        <w:jc w:val="left"/>
      </w:pPr>
      <w:r>
        <w:rPr>
          <w:rFonts w:ascii="Times New Roman" w:hAnsi="Times New Roman"/>
          <w:sz w:val="24"/>
        </w:rPr>
        <w:t xml:space="preserve">    4.1 Dataset Statistical Analysis</w:t>
      </w:r>
      <w:r>
        <w:rPr>
          <w:rFonts w:ascii="Times New Roman" w:hAnsi="Times New Roman"/>
        </w:rPr>
        <w:tab/>
        <w:t>25</w:t>
      </w:r>
    </w:p>
    <w:p>
      <w:pPr>
        <w:spacing w:after="40" w:lineRule="exact" w:line="320"/>
        <w:jc w:val="left"/>
      </w:pPr>
      <w:r>
        <w:rPr>
          <w:rFonts w:ascii="Times New Roman" w:hAnsi="Times New Roman"/>
          <w:sz w:val="24"/>
        </w:rPr>
        <w:t xml:space="preserve">    4.2 Model Performance Results</w:t>
      </w:r>
      <w:r>
        <w:rPr>
          <w:rFonts w:ascii="Times New Roman" w:hAnsi="Times New Roman"/>
        </w:rPr>
        <w:tab/>
        <w:t>26</w:t>
      </w:r>
    </w:p>
    <w:p>
      <w:pPr>
        <w:spacing w:after="40" w:lineRule="exact" w:line="320"/>
        <w:jc w:val="left"/>
      </w:pPr>
      <w:r>
        <w:rPr>
          <w:rFonts w:ascii="Times New Roman" w:hAnsi="Times New Roman"/>
          <w:sz w:val="24"/>
        </w:rPr>
        <w:t xml:space="preserve">    4.3 Feature Importance Analysis</w:t>
      </w:r>
      <w:r>
        <w:rPr>
          <w:rFonts w:ascii="Times New Roman" w:hAnsi="Times New Roman"/>
        </w:rPr>
        <w:tab/>
        <w:t>27</w:t>
      </w:r>
    </w:p>
    <w:p>
      <w:pPr>
        <w:spacing w:after="40" w:lineRule="exact" w:line="320"/>
        <w:jc w:val="left"/>
      </w:pPr>
      <w:r>
        <w:rPr>
          <w:rFonts w:ascii="Times New Roman" w:hAnsi="Times New Roman"/>
          <w:sz w:val="24"/>
        </w:rPr>
        <w:t xml:space="preserve">    4.4 System Functional Testing</w:t>
      </w:r>
      <w:r>
        <w:rPr>
          <w:rFonts w:ascii="Times New Roman" w:hAnsi="Times New Roman"/>
        </w:rPr>
        <w:tab/>
        <w:t>28</w:t>
      </w:r>
    </w:p>
    <w:p>
      <w:pPr>
        <w:spacing w:after="40" w:lineRule="exact" w:line="320"/>
        <w:jc w:val="left"/>
      </w:pPr>
      <w:r>
        <w:rPr>
          <w:rFonts w:ascii="Times New Roman" w:hAnsi="Times New Roman"/>
          <w:sz w:val="24"/>
        </w:rPr>
        <w:t xml:space="preserve">    4.5 User Feedback</w:t>
      </w:r>
      <w:r>
        <w:rPr>
          <w:rFonts w:ascii="Times New Roman" w:hAnsi="Times New Roman"/>
        </w:rPr>
        <w:tab/>
        <w:t>29</w:t>
      </w:r>
    </w:p>
    <w:p>
      <w:pPr>
        <w:spacing w:after="40" w:lineRule="exact" w:line="320"/>
        <w:jc w:val="left"/>
      </w:pPr>
      <w:r>
        <w:rPr>
          <w:rFonts w:ascii="Times New Roman" w:hAnsi="Times New Roman"/>
          <w:sz w:val="24"/>
        </w:rPr>
        <w:t xml:space="preserve">    4.6 Discussion and Future Development</w:t>
      </w:r>
      <w:r>
        <w:rPr>
          <w:rFonts w:ascii="Times New Roman" w:hAnsi="Times New Roman"/>
        </w:rPr>
        <w:tab/>
        <w:t>30</w:t>
      </w:r>
    </w:p>
    <w:p>
      <w:pPr>
        <w:spacing w:after="40" w:lineRule="exact" w:line="320"/>
        <w:jc w:val="left"/>
      </w:pPr>
      <w:r>
        <w:rPr>
          <w:rFonts w:ascii="Times New Roman" w:hAnsi="Times New Roman"/>
          <w:sz w:val="24"/>
        </w:rPr>
        <w:t>5. Conclusion</w:t>
      </w:r>
      <w:r>
        <w:rPr>
          <w:rFonts w:ascii="Times New Roman" w:hAnsi="Times New Roman"/>
        </w:rPr>
        <w:tab/>
        <w:t>32</w:t>
      </w:r>
    </w:p>
    <w:p>
      <w:pPr>
        <w:spacing w:after="40" w:lineRule="exact" w:line="320"/>
        <w:jc w:val="left"/>
      </w:pPr>
      <w:r>
        <w:rPr>
          <w:rFonts w:ascii="Times New Roman" w:hAnsi="Times New Roman"/>
          <w:sz w:val="24"/>
        </w:rPr>
        <w:t>References</w:t>
      </w:r>
      <w:r>
        <w:rPr>
          <w:rFonts w:ascii="Times New Roman" w:hAnsi="Times New Roman"/>
        </w:rPr>
        <w:tab/>
        <w:t>33</w:t>
      </w:r>
    </w:p>
    <w:p>
      <w:pPr>
        <w:spacing w:after="40" w:lineRule="exact" w:line="320"/>
        <w:jc w:val="left"/>
      </w:pPr>
      <w:r>
        <w:rPr>
          <w:rFonts w:ascii="Times New Roman" w:hAnsi="Times New Roman"/>
          <w:sz w:val="24"/>
        </w:rPr>
        <w:t>Appendix A: Dataset Column Definitions</w:t>
      </w:r>
      <w:r>
        <w:rPr>
          <w:rFonts w:ascii="Times New Roman" w:hAnsi="Times New Roman"/>
        </w:rPr>
        <w:tab/>
        <w:t>36</w:t>
      </w:r>
    </w:p>
    <w:p>
      <w:pPr>
        <w:spacing w:after="40" w:lineRule="exact" w:line="320"/>
        <w:jc w:val="left"/>
      </w:pPr>
      <w:r>
        <w:rPr>
          <w:rFonts w:ascii="Times New Roman" w:hAnsi="Times New Roman"/>
          <w:sz w:val="24"/>
        </w:rPr>
        <w:t>Appendix B: Engineered Feature Definitions</w:t>
      </w:r>
      <w:r>
        <w:rPr>
          <w:rFonts w:ascii="Times New Roman" w:hAnsi="Times New Roman"/>
        </w:rPr>
        <w:tab/>
        <w:t>37</w:t>
      </w:r>
    </w:p>
    <w:p>
      <w:pPr>
        <w:spacing w:after="40" w:lineRule="exact" w:line="320"/>
        <w:jc w:val="left"/>
      </w:pPr>
      <w:r>
        <w:rPr>
          <w:rFonts w:ascii="Times New Roman" w:hAnsi="Times New Roman"/>
          <w:sz w:val="24"/>
        </w:rPr>
        <w:t>Appendix C: API Request Field Reference</w:t>
      </w:r>
      <w:r>
        <w:rPr>
          <w:rFonts w:ascii="Times New Roman" w:hAnsi="Times New Roman"/>
        </w:rPr>
        <w:tab/>
        <w:t>38</w:t>
      </w:r>
    </w:p>
    <w:p>
      <w:pPr>
        <w:spacing w:after="40" w:lineRule="exact" w:line="320"/>
        <w:jc w:val="left"/>
      </w:pPr>
      <w:r>
        <w:rPr>
          <w:rFonts w:ascii="Times New Roman" w:hAnsi="Times New Roman"/>
          <w:sz w:val="24"/>
        </w:rPr>
        <w:t>Appendix D: Project File Structure</w:t>
      </w:r>
      <w:r>
        <w:rPr>
          <w:rFonts w:ascii="Times New Roman" w:hAnsi="Times New Roman"/>
        </w:rPr>
        <w:tab/>
        <w:t>39</w:t>
      </w:r>
    </w:p>
    <w:p>
      <w:pPr>
        <w:spacing w:after="40" w:lineRule="exact" w:line="320"/>
        <w:jc w:val="left"/>
      </w:pPr>
      <w:r>
        <w:rPr>
          <w:rFonts w:ascii="Times New Roman" w:hAnsi="Times New Roman"/>
          <w:sz w:val="24"/>
        </w:rPr>
        <w:t>Appendix E: Training Output Log</w:t>
      </w:r>
      <w:r>
        <w:rPr>
          <w:rFonts w:ascii="Times New Roman" w:hAnsi="Times New Roman"/>
        </w:rPr>
        <w:tab/>
        <w:t>40</w:t>
      </w:r>
    </w:p>
    <w:p>
      <w:r>
        <w:br w:type="page"/>
      </w:r>
    </w:p>
    <w:p>
      <w:pPr>
        <w:spacing w:before="360" w:after="200" w:lineRule="exact" w:line="360"/>
        <w:jc w:val="left"/>
      </w:pPr>
      <w:r>
        <w:rPr>
          <w:rFonts w:ascii="Times New Roman" w:hAnsi="Times New Roman"/>
          <w:b/>
          <w:sz w:val="28"/>
        </w:rPr>
        <w:t>1. INTRODUCTION</w:t>
      </w:r>
    </w:p>
    <w:p>
      <w:pPr>
        <w:spacing w:before="240" w:after="120" w:lineRule="exact" w:line="360"/>
        <w:jc w:val="left"/>
      </w:pPr>
      <w:r>
        <w:rPr>
          <w:rFonts w:ascii="Times New Roman" w:hAnsi="Times New Roman"/>
          <w:b/>
          <w:sz w:val="26"/>
        </w:rPr>
        <w:t>1.1 Problem Background and Relevance</w:t>
      </w:r>
    </w:p>
    <w:p>
      <w:pPr>
        <w:spacing w:lineRule="exact" w:line="360" w:before="0" w:after="120"/>
        <w:ind w:firstLine="709"/>
        <w:jc w:val="both"/>
      </w:pPr>
      <w:r>
        <w:rPr>
          <w:rFonts w:ascii="Times New Roman" w:hAnsi="Times New Roman"/>
          <w:b w:val="0"/>
          <w:i w:val="0"/>
          <w:sz w:val="24"/>
        </w:rPr>
        <w:t>The global transition toward low-carbon energy systems has intensified research into technologies capable of converting and storing renewable energy in a chemically stable form. Among these, hydrogen produced by solar-driven water splitting has attracted substantial scientific interest as a clean, energy-dense fuel and chemical feedstock [1]. Photoelectrochemical (PEC) water splitting — a process in which a semiconductor photoelectrode absorbs sunlight, separates photogenerated charge carriers, and drives the oxidation and reduction half-reactions of water — represents one of the most direct pathways from solar energy to chemical fuel [2].</w:t>
      </w:r>
    </w:p>
    <w:p>
      <w:pPr>
        <w:spacing w:lineRule="exact" w:line="360" w:before="0" w:after="120"/>
        <w:ind w:firstLine="709"/>
        <w:jc w:val="both"/>
      </w:pPr>
      <w:r>
        <w:rPr>
          <w:rFonts w:ascii="Times New Roman" w:hAnsi="Times New Roman"/>
          <w:b w:val="0"/>
          <w:i w:val="0"/>
          <w:sz w:val="24"/>
        </w:rPr>
        <w:t>Despite decades of research, no PEC system has yet reached the combination of efficiency, stability, and cost-effectiveness required for industrial deployment. The root cause lies in the multidimensional complexity of photoelectrode performance: the efficiency of a given material depends on the interplay of bandgap, morphology, doping, synthesis method, electrolyte composition, pH, applied bias, light intensity, operating temperature, and the presence of co-catalysts or protective coatings [3]. Even for the same base material such as bismuth vanadate (BiVO₄), reported photocurrent densities span orders of magnitude depending on the specific experimental configuration [4].</w:t>
      </w:r>
    </w:p>
    <w:p>
      <w:pPr>
        <w:spacing w:lineRule="exact" w:line="360" w:before="0" w:after="120"/>
        <w:ind w:firstLine="709"/>
        <w:jc w:val="both"/>
      </w:pPr>
      <w:r>
        <w:rPr>
          <w:rFonts w:ascii="Times New Roman" w:hAnsi="Times New Roman"/>
          <w:b w:val="0"/>
          <w:i w:val="0"/>
          <w:sz w:val="24"/>
        </w:rPr>
        <w:t>The scientific community has responded by producing a large volume of publications, each describing individual experimental conditions and outcomes. While this body of knowledge is rich in detail, it is fragmented, inconsistently formatted, and difficult to synthesize programmatically. Column names use Unicode characters, numeric values contain uncertainty notation (±), and performance metrics are defined under varying measurement protocols. No unified database or interactive prediction tool currently exists that would allow a researcher to query the collective knowledge of the PEC literature and estimate, in real time, how a proposed combination of material parameters might perform.</w:t>
      </w:r>
    </w:p>
    <w:p>
      <w:pPr>
        <w:spacing w:lineRule="exact" w:line="360" w:before="0" w:after="120"/>
        <w:ind w:firstLine="709"/>
        <w:jc w:val="both"/>
      </w:pPr>
      <w:r>
        <w:rPr>
          <w:rFonts w:ascii="Times New Roman" w:hAnsi="Times New Roman"/>
          <w:b w:val="0"/>
          <w:i w:val="0"/>
          <w:sz w:val="24"/>
        </w:rPr>
        <w:t>The emergence of machine learning (ML) as a tool in materials science offers a promising solution. ML models trained on experimental databases have demonstrated the ability to identify non-obvious structure–property relationships, predict material properties, and guide experimental design in domains including catalysis, battery materials, and photovoltaics [5], [6]. Applying such methods to PEC water splitting data is a natural extension of this trend, but it faces specific challenges: the data is heterogeneous, key parameters are frequently unreported, and the number of available data points for certain performance metrics is small relative to the dimensionality of the feature space [21].</w:t>
      </w:r>
    </w:p>
    <w:p>
      <w:pPr>
        <w:spacing w:lineRule="exact" w:line="360" w:before="0" w:after="120"/>
        <w:ind w:firstLine="709"/>
        <w:jc w:val="both"/>
      </w:pPr>
      <w:r>
        <w:rPr>
          <w:rFonts w:ascii="Times New Roman" w:hAnsi="Times New Roman"/>
          <w:b w:val="0"/>
          <w:i w:val="0"/>
          <w:sz w:val="24"/>
        </w:rPr>
        <w:t>This project addresses these challenges by developing a comprehensive software system that collects, cleans, and structures literature-derived PEC data; trains separate machine learning models for each performance target; and exposes the trained models through a REST API and an interactive web-based interface accessible to researchers without programming expertise. The system is designed to be practically useful as both a research tool and a demonstration of applied machine learning methodology in the materials science domain.</w:t>
      </w:r>
    </w:p>
    <w:p>
      <w:pPr>
        <w:spacing w:before="240" w:after="120" w:lineRule="exact" w:line="360"/>
        <w:jc w:val="left"/>
      </w:pPr>
      <w:r>
        <w:rPr>
          <w:rFonts w:ascii="Times New Roman" w:hAnsi="Times New Roman"/>
          <w:b/>
          <w:sz w:val="26"/>
        </w:rPr>
        <w:t>1.2 Aims and Objectives</w:t>
      </w:r>
    </w:p>
    <w:p>
      <w:pPr>
        <w:spacing w:lineRule="exact" w:line="360" w:before="0" w:after="120"/>
        <w:ind w:firstLine="709"/>
        <w:jc w:val="both"/>
      </w:pPr>
      <w:r>
        <w:rPr>
          <w:rFonts w:ascii="Times New Roman" w:hAnsi="Times New Roman"/>
          <w:b/>
          <w:i w:val="0"/>
          <w:sz w:val="24"/>
        </w:rPr>
        <w:t>Aim: To develop a web-based machine learning system that predicts the photoelectrochemical water splitting performance of semiconductor materials — specifically photocurrent density, STH efficiency, and hydrogen evolution rate — based on experimental parameters extracted from scientific literature.</w:t>
      </w:r>
    </w:p>
    <w:p>
      <w:pPr>
        <w:spacing w:lineRule="exact" w:line="360" w:before="0" w:after="120"/>
        <w:ind w:firstLine="709"/>
        <w:jc w:val="both"/>
      </w:pPr>
      <w:r>
        <w:rPr>
          <w:rFonts w:ascii="Times New Roman" w:hAnsi="Times New Roman"/>
          <w:b w:val="0"/>
          <w:i w:val="0"/>
          <w:sz w:val="24"/>
        </w:rPr>
        <w:t>The following objectives have been formulated to achieve this aim:</w:t>
      </w:r>
    </w:p>
    <w:p>
      <w:pPr>
        <w:spacing w:lineRule="exact" w:line="360" w:before="0" w:after="60"/>
        <w:ind w:left="567"/>
        <w:jc w:val="both"/>
      </w:pPr>
      <w:r>
        <w:rPr>
          <w:rFonts w:ascii="Times New Roman" w:hAnsi="Times New Roman"/>
          <w:sz w:val="24"/>
        </w:rPr>
        <w:t>• Collect and structure a dataset of PEC water splitting experiments from peer-reviewed publications, covering material properties, experimental conditions, and performance metrics.</w:t>
      </w:r>
    </w:p>
    <w:p>
      <w:pPr>
        <w:spacing w:lineRule="exact" w:line="360" w:before="0" w:after="60"/>
        <w:ind w:left="567"/>
        <w:jc w:val="both"/>
      </w:pPr>
      <w:r>
        <w:rPr>
          <w:rFonts w:ascii="Times New Roman" w:hAnsi="Times New Roman"/>
          <w:sz w:val="24"/>
        </w:rPr>
        <w:t>• Design and implement a preprocessing pipeline that handles missing values, normalizes units, engineers physics-informed features, and constructs separate model-ready datasets for each prediction target while avoiding data leakage.</w:t>
      </w:r>
    </w:p>
    <w:p>
      <w:pPr>
        <w:spacing w:lineRule="exact" w:line="360" w:before="0" w:after="60"/>
        <w:ind w:left="567"/>
        <w:jc w:val="both"/>
      </w:pPr>
      <w:r>
        <w:rPr>
          <w:rFonts w:ascii="Times New Roman" w:hAnsi="Times New Roman"/>
          <w:sz w:val="24"/>
        </w:rPr>
        <w:t>• Train, evaluate, and compare machine learning regression models (Random Forest and XGBoost) for each of the three performance targets using cross-validated metrics.</w:t>
      </w:r>
    </w:p>
    <w:p>
      <w:pPr>
        <w:spacing w:lineRule="exact" w:line="360" w:before="0" w:after="60"/>
        <w:ind w:left="567"/>
        <w:jc w:val="both"/>
      </w:pPr>
      <w:r>
        <w:rPr>
          <w:rFonts w:ascii="Times New Roman" w:hAnsi="Times New Roman"/>
          <w:sz w:val="24"/>
        </w:rPr>
        <w:t>• Develop a Flask-based REST API backend that loads the trained models, accepts experimental parameter inputs via a JSON POST request, and returns predictions for all three targets.</w:t>
      </w:r>
    </w:p>
    <w:p>
      <w:pPr>
        <w:spacing w:lineRule="exact" w:line="360" w:before="0" w:after="60"/>
        <w:ind w:left="567"/>
        <w:jc w:val="both"/>
      </w:pPr>
      <w:r>
        <w:rPr>
          <w:rFonts w:ascii="Times New Roman" w:hAnsi="Times New Roman"/>
          <w:sz w:val="24"/>
        </w:rPr>
        <w:t>• Implement an interactive web frontend that enables users to input material parameters, submit them to the backend, and visualize the predicted performance metrics.</w:t>
      </w:r>
    </w:p>
    <w:p>
      <w:pPr>
        <w:spacing w:lineRule="exact" w:line="360" w:before="0" w:after="60"/>
        <w:ind w:left="567"/>
        <w:jc w:val="both"/>
      </w:pPr>
      <w:r>
        <w:rPr>
          <w:rFonts w:ascii="Times New Roman" w:hAnsi="Times New Roman"/>
          <w:sz w:val="24"/>
        </w:rPr>
        <w:t>• Evaluate the complete system through functional testing, collect user feedback, and critically assess model performance in the context of the limitations imposed by the dataset characteristics.</w:t>
      </w:r>
    </w:p>
    <w:p>
      <w:pPr>
        <w:spacing w:before="240" w:after="120" w:lineRule="exact" w:line="360"/>
        <w:jc w:val="left"/>
      </w:pPr>
      <w:r>
        <w:rPr>
          <w:rFonts w:ascii="Times New Roman" w:hAnsi="Times New Roman"/>
          <w:b/>
          <w:sz w:val="26"/>
        </w:rPr>
        <w:t>1.3 Research Object, Subject, and Practical Significance</w:t>
      </w:r>
    </w:p>
    <w:p>
      <w:pPr>
        <w:spacing w:lineRule="exact" w:line="360" w:before="0" w:after="120"/>
        <w:ind w:firstLine="709"/>
        <w:jc w:val="both"/>
      </w:pPr>
      <w:r>
        <w:rPr>
          <w:rFonts w:ascii="Times New Roman" w:hAnsi="Times New Roman"/>
          <w:b w:val="0"/>
          <w:i w:val="0"/>
          <w:sz w:val="24"/>
        </w:rPr>
        <w:t>The object of this research is semiconductor materials and experimental systems used in PEC water splitting for solar hydrogen production. The subject of the research is the methods of digital representation, preprocessing, and machine learning-based prediction of PEC material performance from heterogeneous, literature-derived tabular data.</w:t>
      </w:r>
    </w:p>
    <w:p>
      <w:pPr>
        <w:spacing w:lineRule="exact" w:line="360" w:before="0" w:after="120"/>
        <w:ind w:firstLine="709"/>
        <w:jc w:val="both"/>
      </w:pPr>
      <w:r>
        <w:rPr>
          <w:rFonts w:ascii="Times New Roman" w:hAnsi="Times New Roman"/>
          <w:b w:val="0"/>
          <w:i w:val="0"/>
          <w:sz w:val="24"/>
        </w:rPr>
        <w:t>The research methods employed include: systematic literature analysis and data extraction; tabular data preprocessing including Unicode normalization, numeric parsing, and physical bound validation; physics-informed feature engineering; ensemble regression model training and cross-validation; client–server software architecture design using the REST architectural style; and frontend web interface development using both native HTML/JavaScript and React component-based frameworks.</w:t>
      </w:r>
    </w:p>
    <w:p>
      <w:pPr>
        <w:spacing w:lineRule="exact" w:line="360" w:before="0" w:after="120"/>
        <w:ind w:firstLine="709"/>
        <w:jc w:val="both"/>
      </w:pPr>
      <w:r>
        <w:rPr>
          <w:rFonts w:ascii="Times New Roman" w:hAnsi="Times New Roman"/>
          <w:b w:val="0"/>
          <w:i w:val="0"/>
          <w:sz w:val="24"/>
        </w:rPr>
        <w:t>The practical significance of this work lies in three areas. First, the system reduces the time required to assess PEC material candidates, allowing researchers to obtain preliminary performance estimates in seconds rather than through multi-week experimental campaigns. Second, the normalized, structured dataset produced as a byproduct of this work has independent value as a training resource for future machine learning studies on PEC systems. Third, the project demonstrates the complete engineering pipeline from raw literature data to a deployed web application, providing a reproducible template for similar data-driven materials science applications.</w:t>
      </w:r>
    </w:p>
    <w:p>
      <w:r>
        <w:br w:type="page"/>
      </w:r>
    </w:p>
    <w:p>
      <w:pPr>
        <w:spacing w:before="360" w:after="200" w:lineRule="exact" w:line="360"/>
        <w:jc w:val="left"/>
      </w:pPr>
      <w:r>
        <w:rPr>
          <w:rFonts w:ascii="Times New Roman" w:hAnsi="Times New Roman"/>
          <w:b/>
          <w:sz w:val="28"/>
        </w:rPr>
        <w:t>2. LITERATURE REVIEW</w:t>
      </w:r>
    </w:p>
    <w:p>
      <w:pPr>
        <w:spacing w:before="240" w:after="120" w:lineRule="exact" w:line="360"/>
        <w:jc w:val="left"/>
      </w:pPr>
      <w:r>
        <w:rPr>
          <w:rFonts w:ascii="Times New Roman" w:hAnsi="Times New Roman"/>
          <w:b/>
          <w:sz w:val="26"/>
        </w:rPr>
        <w:t>2.1 Fundamentals of Photoelectrochemical Water Splitting</w:t>
      </w:r>
    </w:p>
    <w:p>
      <w:pPr>
        <w:spacing w:lineRule="exact" w:line="360" w:before="0" w:after="120"/>
        <w:ind w:firstLine="709"/>
        <w:jc w:val="both"/>
      </w:pPr>
      <w:r>
        <w:rPr>
          <w:rFonts w:ascii="Times New Roman" w:hAnsi="Times New Roman"/>
          <w:b w:val="0"/>
          <w:i w:val="0"/>
          <w:sz w:val="24"/>
        </w:rPr>
        <w:t>Photoelectrochemical water splitting is based on the absorption of photons by a semiconductor electrode immersed in an aqueous electrolyte. When a photon with energy greater than or equal to the semiconductor bandgap is absorbed, an electron–hole pair is generated. If the band alignment is appropriate and charge separation occurs before recombination, the electrons reduce water to produce hydrogen at the photocathode, while the holes oxidize water to produce oxygen at the photoanode [2]. The overall theoretical minimum bandgap for water splitting under AM 1.5G illumination is approximately 1.23 eV, though practical systems require 1.8–2.4 eV to overcome kinetic overpotentials [7].</w:t>
      </w:r>
    </w:p>
    <w:p>
      <w:pPr>
        <w:spacing w:lineRule="exact" w:line="360" w:before="0" w:after="120"/>
        <w:ind w:firstLine="709"/>
        <w:jc w:val="both"/>
      </w:pPr>
      <w:r>
        <w:rPr>
          <w:rFonts w:ascii="Times New Roman" w:hAnsi="Times New Roman"/>
          <w:b w:val="0"/>
          <w:i w:val="0"/>
          <w:sz w:val="24"/>
        </w:rPr>
        <w:t>The solar-to-hydrogen (STH) efficiency — defined as the ratio of the chemical energy stored in evolved hydrogen to the total incident solar power — is the primary figure of merit for PEC systems. The thermodynamic upper limit for a single-junction semiconductor under AM 1.5G illumination is approximately 30%, but reported experimental STH values for most materials remain well below 5% [3]. The best-reported single-photoelectrode systems approach 10–15% STH through tandem architectures or advanced surface engineering [8]. The hydrogen evolution rate, typically reported in micromoles per hour per square centimeter, directly quantifies hydrogen production and is particularly relevant for system-level engineering assessments [9].</w:t>
      </w:r>
    </w:p>
    <w:p>
      <w:pPr>
        <w:spacing w:lineRule="exact" w:line="360" w:before="0" w:after="120"/>
        <w:ind w:firstLine="709"/>
        <w:jc w:val="both"/>
      </w:pPr>
      <w:r>
        <w:rPr>
          <w:rFonts w:ascii="Times New Roman" w:hAnsi="Times New Roman"/>
          <w:b w:val="0"/>
          <w:i w:val="0"/>
          <w:sz w:val="24"/>
        </w:rPr>
        <w:t>Photocurrent density under standard conditions (AM 1.5G, 100 mW/cm², applied bias of 1.23 V vs. RHE) is the most commonly reported metric because it can be measured with a standard potentiostat setup without the need for gas collection equipment. It directly reflects the flux of photoexcited charge carriers that successfully reach the electrode–electrolyte interface and complete the electrochemical half-reactions. For a photoanode, photocurrent density is always positive; for a photocathode, it is negative by convention due to cathodic current direction [22].</w:t>
      </w:r>
    </w:p>
    <w:p>
      <w:pPr>
        <w:spacing w:before="240" w:after="120" w:lineRule="exact" w:line="360"/>
        <w:jc w:val="left"/>
      </w:pPr>
      <w:r>
        <w:rPr>
          <w:rFonts w:ascii="Times New Roman" w:hAnsi="Times New Roman"/>
          <w:b/>
          <w:sz w:val="26"/>
        </w:rPr>
        <w:t>2.2 Key Material Families and Performance Factors</w:t>
      </w:r>
    </w:p>
    <w:p>
      <w:pPr>
        <w:spacing w:lineRule="exact" w:line="360" w:before="0" w:after="120"/>
        <w:ind w:firstLine="709"/>
        <w:jc w:val="both"/>
      </w:pPr>
      <w:r>
        <w:rPr>
          <w:rFonts w:ascii="Times New Roman" w:hAnsi="Times New Roman"/>
          <w:b w:val="0"/>
          <w:i w:val="0"/>
          <w:sz w:val="24"/>
        </w:rPr>
        <w:t>The literature on PEC photoelectrodes is dominated by a relatively small set of semiconductor families. Among photoanode materials, titania (TiO₂), hematite (α-Fe₂O₃), tungsten trioxide (WO₃), and bismuth vanadate (BiVO₄) have received the most extensive investigation [4], [10]. Each presents a distinct combination of advantages and limitations: TiO₂ is chemically stable but limited to ultraviolet absorption (bandgap ~3.2 eV); Fe₂O₃ has a near-ideal bandgap of ~2.1 eV but suffers from extremely short hole diffusion length (~2-4 nm) and poor charge transport; WO₃ is stable in acidic media but limited in photovoltage; and BiVO₄ with a bandgap of ~2.4 eV has emerged as the benchmark visible-light photoanode, with reported photocurrents exceeding 5 mA/cm² after co-catalyst loading [11].</w:t>
      </w:r>
    </w:p>
    <w:p>
      <w:pPr>
        <w:spacing w:lineRule="exact" w:line="360" w:before="0" w:after="120"/>
        <w:ind w:firstLine="709"/>
        <w:jc w:val="both"/>
      </w:pPr>
      <w:r>
        <w:rPr>
          <w:rFonts w:ascii="Times New Roman" w:hAnsi="Times New Roman"/>
          <w:b w:val="0"/>
          <w:i w:val="0"/>
          <w:sz w:val="24"/>
        </w:rPr>
        <w:t>Among photocathode materials, Cu₂O, silicon, GaN, and GaP represent the most studied systems. Silicon has a near-ideal bandgap for single-junction water splitting (~1.1 eV) but requires protective coatings to prevent corrosion in aqueous environments. GaN nanowires have attracted particular interest due to tunable bandgap through alloying with InN [12]. Key performance factors relevant to machine learning modeling include: bandgap energy, applied electrochemical bias, electrolyte composition, pH, incident light intensity and spectrum, electrode morphology, nanostructuring, presence of co-catalysts (e.g., Pt, RuO₂, CoOx), and protective layer composition [3], [23].</w:t>
      </w:r>
    </w:p>
    <w:p>
      <w:pPr>
        <w:spacing w:lineRule="exact" w:line="360" w:before="0" w:after="120"/>
        <w:ind w:firstLine="709"/>
        <w:jc w:val="both"/>
      </w:pPr>
      <w:r>
        <w:rPr>
          <w:rFonts w:ascii="Times New Roman" w:hAnsi="Times New Roman"/>
          <w:b w:val="0"/>
          <w:i w:val="0"/>
          <w:sz w:val="24"/>
        </w:rPr>
        <w:t>The effect of nanostructuring on PEC performance is particularly significant and represents one of the most active areas of materials engineering. Nanostructured electrodes such as nanowire arrays, nanoporous films, and quantum dots increase the effective surface area available for charge transfer, reduce carrier diffusion distances, and can introduce quantum confinement effects that shift the optical absorption edge [24]. These factors make nanostructure type an important categorical feature for predictive modeling.</w:t>
      </w:r>
    </w:p>
    <w:p>
      <w:pPr>
        <w:spacing w:before="240" w:after="120" w:lineRule="exact" w:line="360"/>
        <w:jc w:val="left"/>
      </w:pPr>
      <w:r>
        <w:rPr>
          <w:rFonts w:ascii="Times New Roman" w:hAnsi="Times New Roman"/>
          <w:b/>
          <w:sz w:val="26"/>
        </w:rPr>
        <w:t>2.3 Performance Metrics in PEC Research</w:t>
      </w:r>
    </w:p>
    <w:p>
      <w:pPr>
        <w:spacing w:lineRule="exact" w:line="360" w:before="0" w:after="120"/>
        <w:ind w:firstLine="709"/>
        <w:jc w:val="both"/>
      </w:pPr>
      <w:r>
        <w:rPr>
          <w:rFonts w:ascii="Times New Roman" w:hAnsi="Times New Roman"/>
          <w:b w:val="0"/>
          <w:i w:val="0"/>
          <w:sz w:val="24"/>
        </w:rPr>
        <w:t>A key challenge in building predictive models from published PEC data is the inconsistent reporting of performance metrics across the literature. Photocurrent density is the most consistently reported metric; however, its value is highly sensitive to measurement conditions including the reference electrode scale, whether bias was applied, and the illumination source. STH efficiency is thermodynamically well-defined but reported in fewer publications, partly because its measurement requires unassisted operation or careful accounting of electrical energy input [9].</w:t>
      </w:r>
    </w:p>
    <w:p>
      <w:pPr>
        <w:spacing w:lineRule="exact" w:line="360" w:before="0" w:after="120"/>
        <w:ind w:firstLine="709"/>
        <w:jc w:val="both"/>
      </w:pPr>
      <w:r>
        <w:rPr>
          <w:rFonts w:ascii="Times New Roman" w:hAnsi="Times New Roman"/>
          <w:b w:val="0"/>
          <w:i w:val="0"/>
          <w:sz w:val="24"/>
        </w:rPr>
        <w:t>The inconsistency in measurement protocols creates systematic biases that are difficult to correct without access to raw data. For example, photocurrent density measured at 1.23 V vs. RHE under AM 1.5G illumination is directly comparable across publications; however, many studies report values at different bias points or under simulated sunlight with varying UV content. Similarly, hydrogen evolution rate is expressed per unit geometric area in some studies and per unit catalyst mass in others. The preprocessing pipeline developed in this project applies conservative physical bound checks to exclude clearly erroneous entries but cannot fully correct for methodological heterogeneity [25].</w:t>
      </w:r>
    </w:p>
    <w:p>
      <w:pPr>
        <w:spacing w:before="240" w:after="120" w:lineRule="exact" w:line="360"/>
        <w:jc w:val="left"/>
      </w:pPr>
      <w:r>
        <w:rPr>
          <w:rFonts w:ascii="Times New Roman" w:hAnsi="Times New Roman"/>
          <w:b/>
          <w:sz w:val="26"/>
        </w:rPr>
        <w:t>2.4 Machine Learning Applications in Materials Science</w:t>
      </w:r>
    </w:p>
    <w:p>
      <w:pPr>
        <w:spacing w:lineRule="exact" w:line="360" w:before="0" w:after="120"/>
        <w:ind w:firstLine="709"/>
        <w:jc w:val="both"/>
      </w:pPr>
      <w:r>
        <w:rPr>
          <w:rFonts w:ascii="Times New Roman" w:hAnsi="Times New Roman"/>
          <w:b w:val="0"/>
          <w:i w:val="0"/>
          <w:sz w:val="24"/>
        </w:rPr>
        <w:t>The application of machine learning to materials property prediction has undergone rapid development since the availability of high-throughput computational databases and, more recently, experimental compilations [5]. Among classical ML algorithms, Random Forest has proven particularly effective for tabular materials data because it handles mixed feature types, is robust to outliers, requires minimal hyperparameter tuning, and provides feature importance estimates that support scientific interpretability [13]. XGBoost, a gradient-boosted tree ensemble, has achieved state-of-the-art performance across a wide range of tabular regression tasks and is particularly effective when regularization is needed to prevent overfitting on small datasets [14].</w:t>
      </w:r>
    </w:p>
    <w:p>
      <w:pPr>
        <w:spacing w:lineRule="exact" w:line="360" w:before="0" w:after="120"/>
        <w:ind w:firstLine="709"/>
        <w:jc w:val="both"/>
      </w:pPr>
      <w:r>
        <w:rPr>
          <w:rFonts w:ascii="Times New Roman" w:hAnsi="Times New Roman"/>
          <w:b w:val="0"/>
          <w:i w:val="0"/>
          <w:sz w:val="24"/>
        </w:rPr>
        <w:t>Several studies have applied ML to photocatalytic and photovoltaic data with promising results. Goldsmith et al. demonstrated that Random Forest models trained on heterogeneous catalysis data could identify key descriptors of catalytic activity with R² values in the range 0.6–0.8 [6]. However, their dataset was derived from a single research group under consistent protocols, which is a substantially easier setting than cross-laboratory literature data. Schleder et al. reviewed ML applications to DFT-derived material property databases and noted that transition to experimental data requires more sophisticated handling of measurement uncertainty and incomplete records [15].</w:t>
      </w:r>
    </w:p>
    <w:p>
      <w:pPr>
        <w:spacing w:lineRule="exact" w:line="360" w:before="0" w:after="120"/>
        <w:ind w:firstLine="709"/>
        <w:jc w:val="both"/>
      </w:pPr>
      <w:r>
        <w:rPr>
          <w:rFonts w:ascii="Times New Roman" w:hAnsi="Times New Roman"/>
          <w:b w:val="0"/>
          <w:i w:val="0"/>
          <w:sz w:val="24"/>
        </w:rPr>
        <w:t>A 2021 study by Yildiz et al. applied neural networks to predict photocatalytic hydrogen evolution activity from 89 experimental data points, achieving R² ≈ 0.72 by limiting the material scope to a single catalyst family [26]. This result demonstrates that reasonable predictive performance is achievable with small datasets when the feature space is constrained. In contrast, the present work considers a broader material scope (25+ semiconductor systems), which increases predictive difficulty but provides more general applicability.</w:t>
      </w:r>
    </w:p>
    <w:p>
      <w:pPr>
        <w:spacing w:lineRule="exact" w:line="360" w:before="0" w:after="120"/>
        <w:ind w:firstLine="709"/>
        <w:jc w:val="both"/>
      </w:pPr>
      <w:r>
        <w:rPr>
          <w:rFonts w:ascii="Times New Roman" w:hAnsi="Times New Roman"/>
          <w:b w:val="0"/>
          <w:i w:val="0"/>
          <w:sz w:val="24"/>
        </w:rPr>
        <w:t>Butler et al. provided a broad overview of ML applications across molecular and materials science, identifying feature engineering as a critical differentiating step and emphasizing that domain knowledge encoded into features significantly outperforms purely data-driven representations when dataset size is limited [5]. This finding directly motivates the physics-informed feature engineering approach implemented in this project, where derived features such as overpotential proxy and photon energy at the absorption edge encode known electrochemical relationships.</w:t>
      </w:r>
    </w:p>
    <w:p>
      <w:pPr>
        <w:spacing w:before="240" w:after="120" w:lineRule="exact" w:line="360"/>
        <w:jc w:val="left"/>
      </w:pPr>
      <w:r>
        <w:rPr>
          <w:rFonts w:ascii="Times New Roman" w:hAnsi="Times New Roman"/>
          <w:b/>
          <w:sz w:val="26"/>
        </w:rPr>
        <w:t>2.5 Existing Software Tools and Research Gaps</w:t>
      </w:r>
    </w:p>
    <w:p>
      <w:pPr>
        <w:spacing w:lineRule="exact" w:line="360" w:before="0" w:after="120"/>
        <w:ind w:firstLine="709"/>
        <w:jc w:val="both"/>
      </w:pPr>
      <w:r>
        <w:rPr>
          <w:rFonts w:ascii="Times New Roman" w:hAnsi="Times New Roman"/>
          <w:b w:val="0"/>
          <w:i w:val="0"/>
          <w:sz w:val="24"/>
        </w:rPr>
        <w:t>Despite the growing interest in data-driven approaches to materials science, no publicly available, purpose-built software tool currently exists for real-time PEC performance prediction from user-specified material parameters. The Materials Project [16] provides a large database of DFT-calculated properties and a web interface, but focuses on computed rather than experimental data and does not target PEC performance metrics such as photocurrent density or STH efficiency directly.</w:t>
      </w:r>
    </w:p>
    <w:p>
      <w:pPr>
        <w:spacing w:lineRule="exact" w:line="360" w:before="0" w:after="120"/>
        <w:ind w:firstLine="709"/>
        <w:jc w:val="both"/>
      </w:pPr>
      <w:r>
        <w:rPr>
          <w:rFonts w:ascii="Times New Roman" w:hAnsi="Times New Roman"/>
          <w:b w:val="0"/>
          <w:i w:val="0"/>
          <w:sz w:val="24"/>
        </w:rPr>
        <w:t>The NREL Photovoltaic Research group maintains a historical record of solar cell efficiency milestones but does not provide a machine learning prediction tool. Commercial materials informatics platforms such as Citrine Informatics and Aflow-ML provide general-purpose ML prediction tools but require proprietary subscriptions and are not specifically designed for PEC water splitting applications [27]. The present project fills this gap by providing an open, domain-specific system with a zero-installation web interface.</w:t>
      </w:r>
    </w:p>
    <w:p>
      <w:pPr>
        <w:spacing w:lineRule="exact" w:line="360" w:before="0" w:after="120"/>
        <w:ind w:firstLine="709"/>
        <w:jc w:val="both"/>
      </w:pPr>
      <w:r>
        <w:rPr>
          <w:rFonts w:ascii="Times New Roman" w:hAnsi="Times New Roman"/>
          <w:b w:val="0"/>
          <w:i w:val="0"/>
          <w:sz w:val="24"/>
        </w:rPr>
        <w:t>For general machine learning on tabular materials data, the scikit-learn Python library provides a comprehensive set of algorithms and preprocessing tools [17]. The XGBoost library extends scikit-learn's interface with gradient boosting capabilities. Flask provides the lightweight web framework used for the REST API, and React 19 with Vite 8 provides the component-based frontend framework [28]. This combination of open-source tools enables the full stack to be reproduced, extended, and deployed without licensing constraints.</w:t>
      </w:r>
    </w:p>
    <w:p>
      <w:r>
        <w:br w:type="page"/>
      </w:r>
    </w:p>
    <w:p>
      <w:pPr>
        <w:spacing w:before="360" w:after="200" w:lineRule="exact" w:line="360"/>
        <w:jc w:val="left"/>
      </w:pPr>
      <w:r>
        <w:rPr>
          <w:rFonts w:ascii="Times New Roman" w:hAnsi="Times New Roman"/>
          <w:b/>
          <w:sz w:val="28"/>
        </w:rPr>
        <w:t>3. DESIGN AND METHODOLOGY</w:t>
      </w:r>
    </w:p>
    <w:p>
      <w:pPr>
        <w:spacing w:before="240" w:after="120" w:lineRule="exact" w:line="360"/>
        <w:jc w:val="left"/>
      </w:pPr>
      <w:r>
        <w:rPr>
          <w:rFonts w:ascii="Times New Roman" w:hAnsi="Times New Roman"/>
          <w:b/>
          <w:sz w:val="26"/>
        </w:rPr>
        <w:t>3.1 Overall System Architecture</w:t>
      </w:r>
    </w:p>
    <w:p>
      <w:pPr>
        <w:spacing w:lineRule="exact" w:line="360" w:before="0" w:after="120"/>
        <w:ind w:firstLine="709"/>
        <w:jc w:val="both"/>
      </w:pPr>
      <w:r>
        <w:rPr>
          <w:rFonts w:ascii="Times New Roman" w:hAnsi="Times New Roman"/>
          <w:b w:val="0"/>
          <w:i w:val="0"/>
          <w:sz w:val="24"/>
        </w:rPr>
        <w:t>The system follows a three-tier client–server architecture comprising a data and modeling layer, a backend application layer, and a frontend presentation layer, as illustrated in Figure 1. The three layers are deliberately decoupled: the modeling layer can be retrained independently of the API, and the frontend can be replaced or extended without modifying the backend logic.</w:t>
      </w:r>
    </w:p>
    <w:p>
      <w:pPr>
        <w:spacing w:before="40" w:after="40"/>
        <w:ind w:left="850"/>
      </w:pPr>
      <w:r>
        <w:rPr>
          <w:rFonts w:ascii="Courier New" w:hAnsi="Courier New"/>
          <w:sz w:val="18"/>
        </w:rPr>
        <w:t>┌─────────────────────────────────────────────────────────────────┐</w:t>
      </w:r>
    </w:p>
    <w:p>
      <w:pPr>
        <w:spacing w:before="40" w:after="40"/>
        <w:ind w:left="850"/>
      </w:pPr>
      <w:r>
        <w:rPr>
          <w:rFonts w:ascii="Courier New" w:hAnsi="Courier New"/>
          <w:sz w:val="18"/>
        </w:rPr>
        <w:t>│                    DATA &amp; MODEL LAYER                           │</w:t>
      </w:r>
    </w:p>
    <w:p>
      <w:pPr>
        <w:spacing w:before="40" w:after="40"/>
        <w:ind w:left="850"/>
      </w:pPr>
      <w:r>
        <w:rPr>
          <w:rFonts w:ascii="Courier New" w:hAnsi="Courier New"/>
          <w:sz w:val="18"/>
        </w:rPr>
        <w:t>│  pec_dataset.csv (529 rows) → preprocessing.py → train.py      │</w:t>
      </w:r>
    </w:p>
    <w:p>
      <w:pPr>
        <w:spacing w:before="40" w:after="40"/>
        <w:ind w:left="850"/>
      </w:pPr>
      <w:r>
        <w:rPr>
          <w:rFonts w:ascii="Courier New" w:hAnsi="Courier New"/>
          <w:sz w:val="18"/>
        </w:rPr>
        <w:t>│  → model_pc.pkl / model_sth.pkl / model_h2.pkl                 │</w:t>
      </w:r>
    </w:p>
    <w:p>
      <w:pPr>
        <w:spacing w:before="40" w:after="40"/>
        <w:ind w:left="850"/>
      </w:pPr>
      <w:r>
        <w:rPr>
          <w:rFonts w:ascii="Courier New" w:hAnsi="Courier New"/>
          <w:sz w:val="18"/>
        </w:rPr>
        <w:t>└────────────────────────────┬────────────────────────────────────┘</w:t>
      </w:r>
    </w:p>
    <w:p>
      <w:pPr>
        <w:spacing w:before="40" w:after="40"/>
        <w:ind w:left="850"/>
      </w:pPr>
      <w:r>
        <w:rPr>
          <w:rFonts w:ascii="Courier New" w:hAnsi="Courier New"/>
          <w:sz w:val="18"/>
        </w:rPr>
        <w:t xml:space="preserve">                             │ joblib.load()</w:t>
      </w:r>
    </w:p>
    <w:p>
      <w:pPr>
        <w:spacing w:before="40" w:after="40"/>
        <w:ind w:left="850"/>
      </w:pPr>
      <w:r>
        <w:rPr>
          <w:rFonts w:ascii="Courier New" w:hAnsi="Courier New"/>
          <w:sz w:val="18"/>
        </w:rPr>
        <w:t>┌────────────────────────────▼────────────────────────────────────┐</w:t>
      </w:r>
    </w:p>
    <w:p>
      <w:pPr>
        <w:spacing w:before="40" w:after="40"/>
        <w:ind w:left="850"/>
      </w:pPr>
      <w:r>
        <w:rPr>
          <w:rFonts w:ascii="Courier New" w:hAnsi="Courier New"/>
          <w:sz w:val="18"/>
        </w:rPr>
        <w:t>│               BACKEND APPLICATION LAYER                         │</w:t>
      </w:r>
    </w:p>
    <w:p>
      <w:pPr>
        <w:spacing w:before="40" w:after="40"/>
        <w:ind w:left="850"/>
      </w:pPr>
      <w:r>
        <w:rPr>
          <w:rFonts w:ascii="Courier New" w:hAnsi="Courier New"/>
          <w:sz w:val="18"/>
        </w:rPr>
        <w:t>│  Flask REST API (app.py, port 5001)                             │</w:t>
      </w:r>
    </w:p>
    <w:p>
      <w:pPr>
        <w:spacing w:before="40" w:after="40"/>
        <w:ind w:left="850"/>
      </w:pPr>
      <w:r>
        <w:rPr>
          <w:rFonts w:ascii="Courier New" w:hAnsi="Courier New"/>
          <w:sz w:val="18"/>
        </w:rPr>
        <w:t>│  GET  /          — health check                                 │</w:t>
      </w:r>
    </w:p>
    <w:p>
      <w:pPr>
        <w:spacing w:before="40" w:after="40"/>
        <w:ind w:left="850"/>
      </w:pPr>
      <w:r>
        <w:rPr>
          <w:rFonts w:ascii="Courier New" w:hAnsi="Courier New"/>
          <w:sz w:val="18"/>
        </w:rPr>
        <w:t>│  POST /predict   — returns STH, Photocurrent, H2                │</w:t>
      </w:r>
    </w:p>
    <w:p>
      <w:pPr>
        <w:spacing w:before="40" w:after="40"/>
        <w:ind w:left="850"/>
      </w:pPr>
      <w:r>
        <w:rPr>
          <w:rFonts w:ascii="Courier New" w:hAnsi="Courier New"/>
          <w:sz w:val="18"/>
        </w:rPr>
        <w:t>│  GET  /dataset   — returns clean dataset as JSON                │</w:t>
      </w:r>
    </w:p>
    <w:p>
      <w:pPr>
        <w:spacing w:before="40" w:after="40"/>
        <w:ind w:left="850"/>
      </w:pPr>
      <w:r>
        <w:rPr>
          <w:rFonts w:ascii="Courier New" w:hAnsi="Courier New"/>
          <w:sz w:val="18"/>
        </w:rPr>
        <w:t>└────────────────────────────┬────────────────────────────────────┘</w:t>
      </w:r>
    </w:p>
    <w:p>
      <w:pPr>
        <w:spacing w:before="40" w:after="40"/>
        <w:ind w:left="850"/>
      </w:pPr>
      <w:r>
        <w:rPr>
          <w:rFonts w:ascii="Courier New" w:hAnsi="Courier New"/>
          <w:sz w:val="18"/>
        </w:rPr>
        <w:t xml:space="preserve">                             │ HTTP / JSON (CORS enabled)</w:t>
      </w:r>
    </w:p>
    <w:p>
      <w:pPr>
        <w:spacing w:before="40" w:after="40"/>
        <w:ind w:left="850"/>
      </w:pPr>
      <w:r>
        <w:rPr>
          <w:rFonts w:ascii="Courier New" w:hAnsi="Courier New"/>
          <w:sz w:val="18"/>
        </w:rPr>
        <w:t>┌────────────────────────────▼────────────────────────────────────┐</w:t>
      </w:r>
    </w:p>
    <w:p>
      <w:pPr>
        <w:spacing w:before="40" w:after="40"/>
        <w:ind w:left="850"/>
      </w:pPr>
      <w:r>
        <w:rPr>
          <w:rFonts w:ascii="Courier New" w:hAnsi="Courier New"/>
          <w:sz w:val="18"/>
        </w:rPr>
        <w:t>│               FRONTEND PRESENTATION LAYER                       │</w:t>
      </w:r>
    </w:p>
    <w:p>
      <w:pPr>
        <w:spacing w:before="40" w:after="40"/>
        <w:ind w:left="850"/>
      </w:pPr>
      <w:r>
        <w:rPr>
          <w:rFonts w:ascii="Courier New" w:hAnsi="Courier New"/>
          <w:sz w:val="18"/>
        </w:rPr>
        <w:t>│  Standalone HTML (index.html)  +  React SPA (App.jsx)           │</w:t>
      </w:r>
    </w:p>
    <w:p>
      <w:pPr>
        <w:spacing w:before="40" w:after="40"/>
        <w:ind w:left="850"/>
      </w:pPr>
      <w:r>
        <w:rPr>
          <w:rFonts w:ascii="Courier New" w:hAnsi="Courier New"/>
          <w:sz w:val="18"/>
        </w:rPr>
        <w:t>│  Form input → fetch() POST /predict → display metric cards      │</w:t>
      </w:r>
    </w:p>
    <w:p>
      <w:pPr>
        <w:spacing w:before="40" w:after="40"/>
        <w:ind w:left="850"/>
      </w:pPr>
      <w:r>
        <w:rPr>
          <w:rFonts w:ascii="Courier New" w:hAnsi="Courier New"/>
          <w:sz w:val="18"/>
        </w:rPr>
        <w:t>└─────────────────────────────────────────────────────────────────┘</w:t>
      </w:r>
    </w:p>
    <w:p>
      <w:pPr>
        <w:spacing w:lineRule="exact" w:line="360" w:before="0" w:after="200"/>
        <w:jc w:val="center"/>
      </w:pPr>
      <w:r>
        <w:rPr>
          <w:rFonts w:ascii="Times New Roman" w:hAnsi="Times New Roman"/>
          <w:b w:val="0"/>
          <w:i/>
          <w:sz w:val="24"/>
        </w:rPr>
        <w:t>Figure 1. Three-tier system architecture.</w:t>
      </w:r>
    </w:p>
    <w:p>
      <w:pPr>
        <w:spacing w:lineRule="exact" w:line="360" w:before="0" w:after="120"/>
        <w:ind w:firstLine="709"/>
        <w:jc w:val="both"/>
      </w:pPr>
      <w:r>
        <w:rPr>
          <w:rFonts w:ascii="Times New Roman" w:hAnsi="Times New Roman"/>
          <w:b w:val="0"/>
          <w:i w:val="0"/>
          <w:sz w:val="24"/>
        </w:rPr>
        <w:t>Communication between frontend and backend uses the standard HTTP/JSON protocol, which makes the backend consumable by any HTTP-capable client, including future mobile applications or third-party research tools. Cross-Origin Resource Sharing (CORS) is enabled via the flask-cors library, with the allowed origin configurable through the FRONTEND_ORIGIN environment variable to support both development and production deployments.</w:t>
      </w:r>
    </w:p>
    <w:p>
      <w:pPr>
        <w:spacing w:before="240" w:after="120" w:lineRule="exact" w:line="360"/>
        <w:jc w:val="left"/>
      </w:pPr>
      <w:r>
        <w:rPr>
          <w:rFonts w:ascii="Times New Roman" w:hAnsi="Times New Roman"/>
          <w:b/>
          <w:sz w:val="26"/>
        </w:rPr>
        <w:t>3.2 Dataset Description and Collection Methodology</w:t>
      </w:r>
    </w:p>
    <w:p>
      <w:pPr>
        <w:spacing w:lineRule="exact" w:line="360" w:before="0" w:after="120"/>
        <w:ind w:firstLine="709"/>
        <w:jc w:val="both"/>
      </w:pPr>
      <w:r>
        <w:rPr>
          <w:rFonts w:ascii="Times New Roman" w:hAnsi="Times New Roman"/>
          <w:b w:val="0"/>
          <w:i w:val="0"/>
          <w:sz w:val="24"/>
        </w:rPr>
        <w:t>The dataset was constructed through systematic extraction of experimental parameters and performance metrics from peer-reviewed publications indexed in Web of Science, targeting papers reporting PEC water splitting experiments on semiconductor electrodes published between 2010 and 2024.</w:t>
      </w:r>
    </w:p>
    <w:p>
      <w:pPr>
        <w:spacing w:before="200" w:after="80"/>
        <w:jc w:val="center"/>
      </w:pPr>
      <w:r>
        <w:rPr>
          <w:rFonts w:ascii="Times New Roman" w:hAnsi="Times New Roman"/>
          <w:b/>
          <w:i/>
          <w:sz w:val="22"/>
        </w:rPr>
        <w:t>Table 1. Raw Dataset Summary Statistics</w:t>
      </w:r>
    </w:p>
    <w:tbl>
      <w:tblPr>
        <w:tblStyle w:val="TableGrid"/>
        <w:tblW w:type="auto" w:w="0"/>
        <w:tblLook w:firstColumn="1" w:firstRow="1" w:lastColumn="0" w:lastRow="0" w:noHBand="0" w:noVBand="1" w:val="04A0"/>
      </w:tblPr>
      <w:tblGrid>
        <w:gridCol w:w="4677"/>
        <w:gridCol w:w="4677"/>
      </w:tblGrid>
      <w:tr>
        <w:tc>
          <w:tcPr>
            <w:tcW w:type="dxa" w:w="4677"/>
            <w:shd w:val="clear" w:color="auto" w:fill="D9E1F2"/>
          </w:tcPr>
          <w:p>
            <w:pPr>
              <w:jc w:val="center"/>
            </w:pPr>
            <w:r>
              <w:rPr>
                <w:rFonts w:ascii="Times New Roman" w:hAnsi="Times New Roman"/>
                <w:b/>
                <w:sz w:val="20"/>
              </w:rPr>
              <w:t>Property</w:t>
            </w:r>
          </w:p>
        </w:tc>
        <w:tc>
          <w:tcPr>
            <w:tcW w:type="dxa" w:w="4677"/>
            <w:shd w:val="clear" w:color="auto" w:fill="D9E1F2"/>
          </w:tcPr>
          <w:p>
            <w:pPr>
              <w:jc w:val="center"/>
            </w:pPr>
            <w:r>
              <w:rPr>
                <w:rFonts w:ascii="Times New Roman" w:hAnsi="Times New Roman"/>
                <w:b/>
                <w:sz w:val="20"/>
              </w:rPr>
              <w:t>Value</w:t>
            </w:r>
          </w:p>
        </w:tc>
      </w:tr>
      <w:tr>
        <w:tc>
          <w:tcPr>
            <w:tcW w:type="dxa" w:w="4677"/>
          </w:tcPr>
          <w:p>
            <w:r>
              <w:rPr>
                <w:rFonts w:ascii="Times New Roman" w:hAnsi="Times New Roman"/>
                <w:sz w:val="20"/>
              </w:rPr>
              <w:t>Total entries (rows)</w:t>
            </w:r>
          </w:p>
        </w:tc>
        <w:tc>
          <w:tcPr>
            <w:tcW w:type="dxa" w:w="4677"/>
          </w:tcPr>
          <w:p>
            <w:r>
              <w:rPr>
                <w:rFonts w:ascii="Times New Roman" w:hAnsi="Times New Roman"/>
                <w:sz w:val="20"/>
              </w:rPr>
              <w:t>529</w:t>
            </w:r>
          </w:p>
        </w:tc>
      </w:tr>
      <w:tr>
        <w:tc>
          <w:tcPr>
            <w:tcW w:type="dxa" w:w="4677"/>
          </w:tcPr>
          <w:p>
            <w:r>
              <w:rPr>
                <w:rFonts w:ascii="Times New Roman" w:hAnsi="Times New Roman"/>
                <w:sz w:val="20"/>
              </w:rPr>
              <w:t>Total features (columns)</w:t>
            </w:r>
          </w:p>
        </w:tc>
        <w:tc>
          <w:tcPr>
            <w:tcW w:type="dxa" w:w="4677"/>
          </w:tcPr>
          <w:p>
            <w:r>
              <w:rPr>
                <w:rFonts w:ascii="Times New Roman" w:hAnsi="Times New Roman"/>
                <w:sz w:val="20"/>
              </w:rPr>
              <w:t>30</w:t>
            </w:r>
          </w:p>
        </w:tc>
      </w:tr>
      <w:tr>
        <w:tc>
          <w:tcPr>
            <w:tcW w:type="dxa" w:w="4677"/>
          </w:tcPr>
          <w:p>
            <w:r>
              <w:rPr>
                <w:rFonts w:ascii="Times New Roman" w:hAnsi="Times New Roman"/>
                <w:sz w:val="20"/>
              </w:rPr>
              <w:t>Unique material systems</w:t>
            </w:r>
          </w:p>
        </w:tc>
        <w:tc>
          <w:tcPr>
            <w:tcW w:type="dxa" w:w="4677"/>
          </w:tcPr>
          <w:p>
            <w:r>
              <w:rPr>
                <w:rFonts w:ascii="Times New Roman" w:hAnsi="Times New Roman"/>
                <w:sz w:val="20"/>
              </w:rPr>
              <w:t>~25</w:t>
            </w:r>
          </w:p>
        </w:tc>
      </w:tr>
      <w:tr>
        <w:tc>
          <w:tcPr>
            <w:tcW w:type="dxa" w:w="4677"/>
          </w:tcPr>
          <w:p>
            <w:r>
              <w:rPr>
                <w:rFonts w:ascii="Times New Roman" w:hAnsi="Times New Roman"/>
                <w:sz w:val="20"/>
              </w:rPr>
              <w:t>Year range</w:t>
            </w:r>
          </w:p>
        </w:tc>
        <w:tc>
          <w:tcPr>
            <w:tcW w:type="dxa" w:w="4677"/>
          </w:tcPr>
          <w:p>
            <w:r>
              <w:rPr>
                <w:rFonts w:ascii="Times New Roman" w:hAnsi="Times New Roman"/>
                <w:sz w:val="20"/>
              </w:rPr>
              <w:t>2010–2024</w:t>
            </w:r>
          </w:p>
        </w:tc>
      </w:tr>
      <w:tr>
        <w:tc>
          <w:tcPr>
            <w:tcW w:type="dxa" w:w="4677"/>
          </w:tcPr>
          <w:p>
            <w:r>
              <w:rPr>
                <w:rFonts w:ascii="Times New Roman" w:hAnsi="Times New Roman"/>
                <w:sz w:val="20"/>
              </w:rPr>
              <w:t>Source database</w:t>
            </w:r>
          </w:p>
        </w:tc>
        <w:tc>
          <w:tcPr>
            <w:tcW w:type="dxa" w:w="4677"/>
          </w:tcPr>
          <w:p>
            <w:r>
              <w:rPr>
                <w:rFonts w:ascii="Times New Roman" w:hAnsi="Times New Roman"/>
                <w:sz w:val="20"/>
              </w:rPr>
              <w:t>Web of Science</w:t>
            </w:r>
          </w:p>
        </w:tc>
      </w:tr>
      <w:tr>
        <w:tc>
          <w:tcPr>
            <w:tcW w:type="dxa" w:w="4677"/>
          </w:tcPr>
          <w:p>
            <w:r>
              <w:rPr>
                <w:rFonts w:ascii="Times New Roman" w:hAnsi="Times New Roman"/>
                <w:sz w:val="20"/>
              </w:rPr>
              <w:t>Primary electrode types</w:t>
            </w:r>
          </w:p>
        </w:tc>
        <w:tc>
          <w:tcPr>
            <w:tcW w:type="dxa" w:w="4677"/>
          </w:tcPr>
          <w:p>
            <w:r>
              <w:rPr>
                <w:rFonts w:ascii="Times New Roman" w:hAnsi="Times New Roman"/>
                <w:sz w:val="20"/>
              </w:rPr>
              <w:t>Photoanode, Photocathode</w:t>
            </w:r>
          </w:p>
        </w:tc>
      </w:tr>
    </w:tbl>
    <w:p/>
    <w:p>
      <w:pPr>
        <w:spacing w:lineRule="exact" w:line="360" w:before="0" w:after="120"/>
        <w:ind w:firstLine="709"/>
        <w:jc w:val="both"/>
      </w:pPr>
      <w:r>
        <w:rPr>
          <w:rFonts w:ascii="Times New Roman" w:hAnsi="Times New Roman"/>
          <w:b w:val="0"/>
          <w:i w:val="0"/>
          <w:sz w:val="24"/>
        </w:rPr>
        <w:t>The 30 columns of the raw dataset fall into four categories: (1) bibliographic metadata (Publication ID/DOI, year, title); (2) material properties (material system, composition, bandgap, synthesis method, morphology, nanostructure, cocatalyst, protective layer, electrode type, thickness); (3) experimental conditions (electrolyte, pH, illumination type, wavelength, light intensity, applied bias, temperature); and (4) performance metrics serving as prediction targets (photocurrent density, STH efficiency, hydrogen evolution rate). Column names in the raw file use Unicode characters including subscripts (₂, ₃, ₄) and superscripts (⁻¹, ⁻²) that must be resolved before programmatic processing.</w:t>
      </w:r>
    </w:p>
    <w:p>
      <w:pPr>
        <w:spacing w:before="200" w:after="80"/>
        <w:jc w:val="center"/>
      </w:pPr>
      <w:r>
        <w:rPr>
          <w:rFonts w:ascii="Times New Roman" w:hAnsi="Times New Roman"/>
          <w:b/>
          <w:i/>
          <w:sz w:val="22"/>
        </w:rPr>
        <w:t>Table 2. Data Completeness for Key Columns</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D9E1F2"/>
          </w:tcPr>
          <w:p>
            <w:pPr>
              <w:jc w:val="center"/>
            </w:pPr>
            <w:r>
              <w:rPr>
                <w:rFonts w:ascii="Times New Roman" w:hAnsi="Times New Roman"/>
                <w:b/>
                <w:sz w:val="20"/>
              </w:rPr>
              <w:t>Column</w:t>
            </w:r>
          </w:p>
        </w:tc>
        <w:tc>
          <w:tcPr>
            <w:tcW w:type="dxa" w:w="3118"/>
            <w:shd w:val="clear" w:color="auto" w:fill="D9E1F2"/>
          </w:tcPr>
          <w:p>
            <w:pPr>
              <w:jc w:val="center"/>
            </w:pPr>
            <w:r>
              <w:rPr>
                <w:rFonts w:ascii="Times New Roman" w:hAnsi="Times New Roman"/>
                <w:b/>
                <w:sz w:val="20"/>
              </w:rPr>
              <w:t>Non-null entries</w:t>
            </w:r>
          </w:p>
        </w:tc>
        <w:tc>
          <w:tcPr>
            <w:tcW w:type="dxa" w:w="3118"/>
            <w:shd w:val="clear" w:color="auto" w:fill="D9E1F2"/>
          </w:tcPr>
          <w:p>
            <w:pPr>
              <w:jc w:val="center"/>
            </w:pPr>
            <w:r>
              <w:rPr>
                <w:rFonts w:ascii="Times New Roman" w:hAnsi="Times New Roman"/>
                <w:b/>
                <w:sz w:val="20"/>
              </w:rPr>
              <w:t>Completeness (%)</w:t>
            </w:r>
          </w:p>
        </w:tc>
      </w:tr>
      <w:tr>
        <w:tc>
          <w:tcPr>
            <w:tcW w:type="dxa" w:w="3118"/>
          </w:tcPr>
          <w:p>
            <w:r>
              <w:rPr>
                <w:rFonts w:ascii="Times New Roman" w:hAnsi="Times New Roman"/>
                <w:sz w:val="20"/>
              </w:rPr>
              <w:t>Material System</w:t>
            </w:r>
          </w:p>
        </w:tc>
        <w:tc>
          <w:tcPr>
            <w:tcW w:type="dxa" w:w="3118"/>
          </w:tcPr>
          <w:p>
            <w:r>
              <w:rPr>
                <w:rFonts w:ascii="Times New Roman" w:hAnsi="Times New Roman"/>
                <w:sz w:val="20"/>
              </w:rPr>
              <w:t>513</w:t>
            </w:r>
          </w:p>
        </w:tc>
        <w:tc>
          <w:tcPr>
            <w:tcW w:type="dxa" w:w="3118"/>
          </w:tcPr>
          <w:p>
            <w:r>
              <w:rPr>
                <w:rFonts w:ascii="Times New Roman" w:hAnsi="Times New Roman"/>
                <w:sz w:val="20"/>
              </w:rPr>
              <w:t>97%</w:t>
            </w:r>
          </w:p>
        </w:tc>
      </w:tr>
      <w:tr>
        <w:tc>
          <w:tcPr>
            <w:tcW w:type="dxa" w:w="3118"/>
          </w:tcPr>
          <w:p>
            <w:r>
              <w:rPr>
                <w:rFonts w:ascii="Times New Roman" w:hAnsi="Times New Roman"/>
                <w:sz w:val="20"/>
              </w:rPr>
              <w:t>Photocurrent Density (mA/cm²)</w:t>
            </w:r>
          </w:p>
        </w:tc>
        <w:tc>
          <w:tcPr>
            <w:tcW w:type="dxa" w:w="3118"/>
          </w:tcPr>
          <w:p>
            <w:r>
              <w:rPr>
                <w:rFonts w:ascii="Times New Roman" w:hAnsi="Times New Roman"/>
                <w:sz w:val="20"/>
              </w:rPr>
              <w:t>410</w:t>
            </w:r>
          </w:p>
        </w:tc>
        <w:tc>
          <w:tcPr>
            <w:tcW w:type="dxa" w:w="3118"/>
          </w:tcPr>
          <w:p>
            <w:r>
              <w:rPr>
                <w:rFonts w:ascii="Times New Roman" w:hAnsi="Times New Roman"/>
                <w:sz w:val="20"/>
              </w:rPr>
              <w:t>78%</w:t>
            </w:r>
          </w:p>
        </w:tc>
      </w:tr>
      <w:tr>
        <w:tc>
          <w:tcPr>
            <w:tcW w:type="dxa" w:w="3118"/>
          </w:tcPr>
          <w:p>
            <w:r>
              <w:rPr>
                <w:rFonts w:ascii="Times New Roman" w:hAnsi="Times New Roman"/>
                <w:sz w:val="20"/>
              </w:rPr>
              <w:t>Applied Bias (V vs RHE)</w:t>
            </w:r>
          </w:p>
        </w:tc>
        <w:tc>
          <w:tcPr>
            <w:tcW w:type="dxa" w:w="3118"/>
          </w:tcPr>
          <w:p>
            <w:r>
              <w:rPr>
                <w:rFonts w:ascii="Times New Roman" w:hAnsi="Times New Roman"/>
                <w:sz w:val="20"/>
              </w:rPr>
              <w:t>390</w:t>
            </w:r>
          </w:p>
        </w:tc>
        <w:tc>
          <w:tcPr>
            <w:tcW w:type="dxa" w:w="3118"/>
          </w:tcPr>
          <w:p>
            <w:r>
              <w:rPr>
                <w:rFonts w:ascii="Times New Roman" w:hAnsi="Times New Roman"/>
                <w:sz w:val="20"/>
              </w:rPr>
              <w:t>74%</w:t>
            </w:r>
          </w:p>
        </w:tc>
      </w:tr>
      <w:tr>
        <w:tc>
          <w:tcPr>
            <w:tcW w:type="dxa" w:w="3118"/>
          </w:tcPr>
          <w:p>
            <w:r>
              <w:rPr>
                <w:rFonts w:ascii="Times New Roman" w:hAnsi="Times New Roman"/>
                <w:sz w:val="20"/>
              </w:rPr>
              <w:t>pH</w:t>
            </w:r>
          </w:p>
        </w:tc>
        <w:tc>
          <w:tcPr>
            <w:tcW w:type="dxa" w:w="3118"/>
          </w:tcPr>
          <w:p>
            <w:r>
              <w:rPr>
                <w:rFonts w:ascii="Times New Roman" w:hAnsi="Times New Roman"/>
                <w:sz w:val="20"/>
              </w:rPr>
              <w:t>250</w:t>
            </w:r>
          </w:p>
        </w:tc>
        <w:tc>
          <w:tcPr>
            <w:tcW w:type="dxa" w:w="3118"/>
          </w:tcPr>
          <w:p>
            <w:r>
              <w:rPr>
                <w:rFonts w:ascii="Times New Roman" w:hAnsi="Times New Roman"/>
                <w:sz w:val="20"/>
              </w:rPr>
              <w:t>47%</w:t>
            </w:r>
          </w:p>
        </w:tc>
      </w:tr>
      <w:tr>
        <w:tc>
          <w:tcPr>
            <w:tcW w:type="dxa" w:w="3118"/>
          </w:tcPr>
          <w:p>
            <w:r>
              <w:rPr>
                <w:rFonts w:ascii="Times New Roman" w:hAnsi="Times New Roman"/>
                <w:sz w:val="20"/>
              </w:rPr>
              <w:t>Bandgap (eV)</w:t>
            </w:r>
          </w:p>
        </w:tc>
        <w:tc>
          <w:tcPr>
            <w:tcW w:type="dxa" w:w="3118"/>
          </w:tcPr>
          <w:p>
            <w:r>
              <w:rPr>
                <w:rFonts w:ascii="Times New Roman" w:hAnsi="Times New Roman"/>
                <w:sz w:val="20"/>
              </w:rPr>
              <w:t>258</w:t>
            </w:r>
          </w:p>
        </w:tc>
        <w:tc>
          <w:tcPr>
            <w:tcW w:type="dxa" w:w="3118"/>
          </w:tcPr>
          <w:p>
            <w:r>
              <w:rPr>
                <w:rFonts w:ascii="Times New Roman" w:hAnsi="Times New Roman"/>
                <w:sz w:val="20"/>
              </w:rPr>
              <w:t>49%</w:t>
            </w:r>
          </w:p>
        </w:tc>
      </w:tr>
      <w:tr>
        <w:tc>
          <w:tcPr>
            <w:tcW w:type="dxa" w:w="3118"/>
          </w:tcPr>
          <w:p>
            <w:r>
              <w:rPr>
                <w:rFonts w:ascii="Times New Roman" w:hAnsi="Times New Roman"/>
                <w:sz w:val="20"/>
              </w:rPr>
              <w:t>Illumination Type</w:t>
            </w:r>
          </w:p>
        </w:tc>
        <w:tc>
          <w:tcPr>
            <w:tcW w:type="dxa" w:w="3118"/>
          </w:tcPr>
          <w:p>
            <w:r>
              <w:rPr>
                <w:rFonts w:ascii="Times New Roman" w:hAnsi="Times New Roman"/>
                <w:sz w:val="20"/>
              </w:rPr>
              <w:t>480</w:t>
            </w:r>
          </w:p>
        </w:tc>
        <w:tc>
          <w:tcPr>
            <w:tcW w:type="dxa" w:w="3118"/>
          </w:tcPr>
          <w:p>
            <w:r>
              <w:rPr>
                <w:rFonts w:ascii="Times New Roman" w:hAnsi="Times New Roman"/>
                <w:sz w:val="20"/>
              </w:rPr>
              <w:t>91%</w:t>
            </w:r>
          </w:p>
        </w:tc>
      </w:tr>
      <w:tr>
        <w:tc>
          <w:tcPr>
            <w:tcW w:type="dxa" w:w="3118"/>
          </w:tcPr>
          <w:p>
            <w:r>
              <w:rPr>
                <w:rFonts w:ascii="Times New Roman" w:hAnsi="Times New Roman"/>
                <w:sz w:val="20"/>
              </w:rPr>
              <w:t>Electrolyte</w:t>
            </w:r>
          </w:p>
        </w:tc>
        <w:tc>
          <w:tcPr>
            <w:tcW w:type="dxa" w:w="3118"/>
          </w:tcPr>
          <w:p>
            <w:r>
              <w:rPr>
                <w:rFonts w:ascii="Times New Roman" w:hAnsi="Times New Roman"/>
                <w:sz w:val="20"/>
              </w:rPr>
              <w:t>450</w:t>
            </w:r>
          </w:p>
        </w:tc>
        <w:tc>
          <w:tcPr>
            <w:tcW w:type="dxa" w:w="3118"/>
          </w:tcPr>
          <w:p>
            <w:r>
              <w:rPr>
                <w:rFonts w:ascii="Times New Roman" w:hAnsi="Times New Roman"/>
                <w:sz w:val="20"/>
              </w:rPr>
              <w:t>85%</w:t>
            </w:r>
          </w:p>
        </w:tc>
      </w:tr>
      <w:tr>
        <w:tc>
          <w:tcPr>
            <w:tcW w:type="dxa" w:w="3118"/>
          </w:tcPr>
          <w:p>
            <w:r>
              <w:rPr>
                <w:rFonts w:ascii="Times New Roman" w:hAnsi="Times New Roman"/>
                <w:sz w:val="20"/>
              </w:rPr>
              <w:t>STH Efficiency (%)</w:t>
            </w:r>
          </w:p>
        </w:tc>
        <w:tc>
          <w:tcPr>
            <w:tcW w:type="dxa" w:w="3118"/>
          </w:tcPr>
          <w:p>
            <w:r>
              <w:rPr>
                <w:rFonts w:ascii="Times New Roman" w:hAnsi="Times New Roman"/>
                <w:sz w:val="20"/>
              </w:rPr>
              <w:t>48</w:t>
            </w:r>
          </w:p>
        </w:tc>
        <w:tc>
          <w:tcPr>
            <w:tcW w:type="dxa" w:w="3118"/>
          </w:tcPr>
          <w:p>
            <w:r>
              <w:rPr>
                <w:rFonts w:ascii="Times New Roman" w:hAnsi="Times New Roman"/>
                <w:sz w:val="20"/>
              </w:rPr>
              <w:t>9%</w:t>
            </w:r>
          </w:p>
        </w:tc>
      </w:tr>
      <w:tr>
        <w:tc>
          <w:tcPr>
            <w:tcW w:type="dxa" w:w="3118"/>
          </w:tcPr>
          <w:p>
            <w:r>
              <w:rPr>
                <w:rFonts w:ascii="Times New Roman" w:hAnsi="Times New Roman"/>
                <w:sz w:val="20"/>
              </w:rPr>
              <w:t>H₂ Evolution Rate (µmol/h/cm²)</w:t>
            </w:r>
          </w:p>
        </w:tc>
        <w:tc>
          <w:tcPr>
            <w:tcW w:type="dxa" w:w="3118"/>
          </w:tcPr>
          <w:p>
            <w:r>
              <w:rPr>
                <w:rFonts w:ascii="Times New Roman" w:hAnsi="Times New Roman"/>
                <w:sz w:val="20"/>
              </w:rPr>
              <w:t>57</w:t>
            </w:r>
          </w:p>
        </w:tc>
        <w:tc>
          <w:tcPr>
            <w:tcW w:type="dxa" w:w="3118"/>
          </w:tcPr>
          <w:p>
            <w:r>
              <w:rPr>
                <w:rFonts w:ascii="Times New Roman" w:hAnsi="Times New Roman"/>
                <w:sz w:val="20"/>
              </w:rPr>
              <w:t>11%</w:t>
            </w:r>
          </w:p>
        </w:tc>
      </w:tr>
      <w:tr>
        <w:tc>
          <w:tcPr>
            <w:tcW w:type="dxa" w:w="3118"/>
          </w:tcPr>
          <w:p>
            <w:r>
              <w:rPr>
                <w:rFonts w:ascii="Times New Roman" w:hAnsi="Times New Roman"/>
                <w:sz w:val="20"/>
              </w:rPr>
              <w:t>Temperature (K)</w:t>
            </w:r>
          </w:p>
        </w:tc>
        <w:tc>
          <w:tcPr>
            <w:tcW w:type="dxa" w:w="3118"/>
          </w:tcPr>
          <w:p>
            <w:r>
              <w:rPr>
                <w:rFonts w:ascii="Times New Roman" w:hAnsi="Times New Roman"/>
                <w:sz w:val="20"/>
              </w:rPr>
              <w:t>112</w:t>
            </w:r>
          </w:p>
        </w:tc>
        <w:tc>
          <w:tcPr>
            <w:tcW w:type="dxa" w:w="3118"/>
          </w:tcPr>
          <w:p>
            <w:r>
              <w:rPr>
                <w:rFonts w:ascii="Times New Roman" w:hAnsi="Times New Roman"/>
                <w:sz w:val="20"/>
              </w:rPr>
              <w:t>21%</w:t>
            </w:r>
          </w:p>
        </w:tc>
      </w:tr>
      <w:tr>
        <w:tc>
          <w:tcPr>
            <w:tcW w:type="dxa" w:w="3118"/>
          </w:tcPr>
          <w:p>
            <w:r>
              <w:rPr>
                <w:rFonts w:ascii="Times New Roman" w:hAnsi="Times New Roman"/>
                <w:sz w:val="20"/>
              </w:rPr>
              <w:t>Cocatalyst</w:t>
            </w:r>
          </w:p>
        </w:tc>
        <w:tc>
          <w:tcPr>
            <w:tcW w:type="dxa" w:w="3118"/>
          </w:tcPr>
          <w:p>
            <w:r>
              <w:rPr>
                <w:rFonts w:ascii="Times New Roman" w:hAnsi="Times New Roman"/>
                <w:sz w:val="20"/>
              </w:rPr>
              <w:t>198</w:t>
            </w:r>
          </w:p>
        </w:tc>
        <w:tc>
          <w:tcPr>
            <w:tcW w:type="dxa" w:w="3118"/>
          </w:tcPr>
          <w:p>
            <w:r>
              <w:rPr>
                <w:rFonts w:ascii="Times New Roman" w:hAnsi="Times New Roman"/>
                <w:sz w:val="20"/>
              </w:rPr>
              <w:t>37%</w:t>
            </w:r>
          </w:p>
        </w:tc>
      </w:tr>
      <w:tr>
        <w:tc>
          <w:tcPr>
            <w:tcW w:type="dxa" w:w="3118"/>
          </w:tcPr>
          <w:p>
            <w:r>
              <w:rPr>
                <w:rFonts w:ascii="Times New Roman" w:hAnsi="Times New Roman"/>
                <w:sz w:val="20"/>
              </w:rPr>
              <w:t>Synthesis Method</w:t>
            </w:r>
          </w:p>
        </w:tc>
        <w:tc>
          <w:tcPr>
            <w:tcW w:type="dxa" w:w="3118"/>
          </w:tcPr>
          <w:p>
            <w:r>
              <w:rPr>
                <w:rFonts w:ascii="Times New Roman" w:hAnsi="Times New Roman"/>
                <w:sz w:val="20"/>
              </w:rPr>
              <w:t>315</w:t>
            </w:r>
          </w:p>
        </w:tc>
        <w:tc>
          <w:tcPr>
            <w:tcW w:type="dxa" w:w="3118"/>
          </w:tcPr>
          <w:p>
            <w:r>
              <w:rPr>
                <w:rFonts w:ascii="Times New Roman" w:hAnsi="Times New Roman"/>
                <w:sz w:val="20"/>
              </w:rPr>
              <w:t>60%</w:t>
            </w:r>
          </w:p>
        </w:tc>
      </w:tr>
    </w:tbl>
    <w:p/>
    <w:p>
      <w:pPr>
        <w:spacing w:lineRule="exact" w:line="360" w:before="0" w:after="120"/>
        <w:ind w:firstLine="709"/>
        <w:jc w:val="both"/>
      </w:pPr>
      <w:r>
        <w:rPr>
          <w:rFonts w:ascii="Times New Roman" w:hAnsi="Times New Roman"/>
          <w:b w:val="0"/>
          <w:i w:val="0"/>
          <w:sz w:val="24"/>
        </w:rPr>
        <w:t>The sparsity pattern in Table 2 reflects actual scientific reporting practices: photocurrent density and illumination type are reported in nearly all studies, while STH efficiency and hydrogen evolution rate are reported only when authors specifically target these metrics, which requires different experimental setups (e.g., gas-tight cells with quantitative hydrogen collection). This motivates the per-target dataset splitting strategy described in Section 3.3.</w:t>
      </w:r>
    </w:p>
    <w:p>
      <w:pPr>
        <w:spacing w:before="240" w:after="120" w:lineRule="exact" w:line="360"/>
        <w:jc w:val="left"/>
      </w:pPr>
      <w:r>
        <w:rPr>
          <w:rFonts w:ascii="Times New Roman" w:hAnsi="Times New Roman"/>
          <w:b/>
          <w:sz w:val="26"/>
        </w:rPr>
        <w:t>3.3 Data Preprocessing and Feature Engineering</w:t>
      </w:r>
    </w:p>
    <w:p>
      <w:pPr>
        <w:spacing w:lineRule="exact" w:line="360" w:before="0" w:after="120"/>
        <w:ind w:firstLine="709"/>
        <w:jc w:val="both"/>
      </w:pPr>
      <w:r>
        <w:rPr>
          <w:rFonts w:ascii="Times New Roman" w:hAnsi="Times New Roman"/>
          <w:b w:val="0"/>
          <w:i w:val="0"/>
          <w:sz w:val="24"/>
        </w:rPr>
        <w:t>The preprocessing pipeline is implemented in utils/preprocessing.py and orchestrated by train.py. It consists of nine sequential stages that transform raw CSV data into model-ready feature matrices.</w:t>
      </w:r>
    </w:p>
    <w:p>
      <w:pPr>
        <w:spacing w:before="160" w:after="80" w:lineRule="exact" w:line="360"/>
        <w:jc w:val="left"/>
      </w:pPr>
      <w:r>
        <w:rPr>
          <w:rFonts w:ascii="Times New Roman" w:hAnsi="Times New Roman"/>
          <w:b/>
          <w:i/>
          <w:sz w:val="24"/>
        </w:rPr>
        <w:t>Stage 1: Column Mapping and Unicode Normalization</w:t>
      </w:r>
    </w:p>
    <w:p>
      <w:pPr>
        <w:spacing w:lineRule="exact" w:line="360" w:before="0" w:after="120"/>
        <w:ind w:firstLine="709"/>
        <w:jc w:val="both"/>
      </w:pPr>
      <w:r>
        <w:rPr>
          <w:rFonts w:ascii="Times New Roman" w:hAnsi="Times New Roman"/>
          <w:b w:val="0"/>
          <w:i w:val="0"/>
          <w:sz w:val="24"/>
        </w:rPr>
        <w:t>Raw column names contain Unicode characters and follow inconsistent naming conventions across the collected publications. A deterministic mapping dictionary (COLUMN_MAP) translates each raw column name to a standardized ASCII internal name. For example, 'Hydrogen Evolution Rate (µmol h⁻¹ cm⁻²)' is mapped to 'h2' and 'Applied Bias (V vs RHE)' to 'bias'. This stage also handles case normalization in categorical values such as material names, where 'BiVO4', 'BIVO4', and 'bivo4' are all normalized to a canonical form for consistent one-hot encoding.</w:t>
      </w:r>
    </w:p>
    <w:p>
      <w:pPr>
        <w:spacing w:before="160" w:after="80" w:lineRule="exact" w:line="360"/>
        <w:jc w:val="left"/>
      </w:pPr>
      <w:r>
        <w:rPr>
          <w:rFonts w:ascii="Times New Roman" w:hAnsi="Times New Roman"/>
          <w:b/>
          <w:i/>
          <w:sz w:val="24"/>
        </w:rPr>
        <w:t>Stage 2: Numeric Parsing</w:t>
      </w:r>
    </w:p>
    <w:p>
      <w:pPr>
        <w:spacing w:lineRule="exact" w:line="360" w:before="0" w:after="120"/>
        <w:ind w:firstLine="709"/>
        <w:jc w:val="both"/>
      </w:pPr>
      <w:r>
        <w:rPr>
          <w:rFonts w:ascii="Times New Roman" w:hAnsi="Times New Roman"/>
          <w:b w:val="0"/>
          <w:i w:val="0"/>
          <w:sz w:val="24"/>
        </w:rPr>
        <w:t>Many numeric fields contain non-numeric characters introduced during manual data entry: range indicators (~, &lt;, &gt;), uncertainty notation (±), and mixed formats such as '2.5 ± 0.3'. A custom parser based on regular expressions strips these symbols and extracts the first numeric value. For range indicators, the nominal value is retained. Values that cannot be parsed to a float after stripping are set to NaN.</w:t>
      </w:r>
    </w:p>
    <w:p>
      <w:pPr>
        <w:spacing w:before="160" w:after="80" w:lineRule="exact" w:line="360"/>
        <w:jc w:val="left"/>
      </w:pPr>
      <w:r>
        <w:rPr>
          <w:rFonts w:ascii="Times New Roman" w:hAnsi="Times New Roman"/>
          <w:b/>
          <w:i/>
          <w:sz w:val="24"/>
        </w:rPr>
        <w:t>Stage 3: Physical Sanity Bounds</w:t>
      </w:r>
    </w:p>
    <w:p>
      <w:pPr>
        <w:spacing w:lineRule="exact" w:line="360" w:before="0" w:after="120"/>
        <w:ind w:firstLine="709"/>
        <w:jc w:val="both"/>
      </w:pPr>
      <w:r>
        <w:rPr>
          <w:rFonts w:ascii="Times New Roman" w:hAnsi="Times New Roman"/>
          <w:b w:val="0"/>
          <w:i w:val="0"/>
          <w:sz w:val="24"/>
        </w:rPr>
        <w:t>Values outside physically plausible ranges are set to NaN rather than being passed through to downstream processing. The bounds applied are: bandgap 0.5–6.0 eV (covers all known water-splitting semiconductors); pH 0–14 (by definition); STH 0–100%; temperature 200–1500 K; photocurrent ≥ −20 mA/cm² (allows for photocathode measurements). These bounds catch data entry errors such as temperature in Celsius being entered without conversion to Kelvin.</w:t>
      </w:r>
    </w:p>
    <w:p>
      <w:pPr>
        <w:spacing w:before="160" w:after="80" w:lineRule="exact" w:line="360"/>
        <w:jc w:val="left"/>
      </w:pPr>
      <w:r>
        <w:rPr>
          <w:rFonts w:ascii="Times New Roman" w:hAnsi="Times New Roman"/>
          <w:b/>
          <w:i/>
          <w:sz w:val="24"/>
        </w:rPr>
        <w:t>Stage 4: Photocathode Filtering for Photocurrent Model</w:t>
      </w:r>
    </w:p>
    <w:p>
      <w:pPr>
        <w:spacing w:lineRule="exact" w:line="360" w:before="0" w:after="120"/>
        <w:ind w:firstLine="709"/>
        <w:jc w:val="both"/>
      </w:pPr>
      <w:r>
        <w:rPr>
          <w:rFonts w:ascii="Times New Roman" w:hAnsi="Times New Roman"/>
          <w:b w:val="0"/>
          <w:i w:val="0"/>
          <w:sz w:val="24"/>
        </w:rPr>
        <w:t>Three entries in the dataset correspond to photocathode experiments and report photocurrent density as negative values (−14.11, −2.5, −0.21 mA/cm²). While these measurements are physically correct — photocathodes produce cathodic current — they represent a fundamentally different measurement convention than the photoanode data that comprises the majority of the dataset. Including them causes the photocurrent model to interpret large absolute values as unrelated to the sign convention, degrading overall R². These rows are excluded from the photocurrent training set (396 rows retained after exclusion).</w:t>
      </w:r>
    </w:p>
    <w:p>
      <w:pPr>
        <w:spacing w:before="160" w:after="80" w:lineRule="exact" w:line="360"/>
        <w:jc w:val="left"/>
      </w:pPr>
      <w:r>
        <w:rPr>
          <w:rFonts w:ascii="Times New Roman" w:hAnsi="Times New Roman"/>
          <w:b/>
          <w:i/>
          <w:sz w:val="24"/>
        </w:rPr>
        <w:t>Stage 5: Per-Target Dataset Splitting</w:t>
      </w:r>
    </w:p>
    <w:p>
      <w:pPr>
        <w:spacing w:lineRule="exact" w:line="360" w:before="0" w:after="120"/>
        <w:ind w:firstLine="709"/>
        <w:jc w:val="both"/>
      </w:pPr>
      <w:r>
        <w:rPr>
          <w:rFonts w:ascii="Times New Roman" w:hAnsi="Times New Roman"/>
          <w:b w:val="0"/>
          <w:i w:val="0"/>
          <w:sz w:val="24"/>
        </w:rPr>
        <w:t>Rather than building a single dataset and dropping rows with any missing target value, the pipeline produces three separate datasets: Photocurrent (n = 396), STH (n = 48), and H₂ Evolution (n = 55). This is critical because requiring all three targets to be simultaneously present would reduce the training set to fewer than 10 entries — an insufficient basis for any supervised learning approach.</w:t>
      </w:r>
    </w:p>
    <w:p>
      <w:pPr>
        <w:spacing w:before="160" w:after="80" w:lineRule="exact" w:line="360"/>
        <w:jc w:val="left"/>
      </w:pPr>
      <w:r>
        <w:rPr>
          <w:rFonts w:ascii="Times New Roman" w:hAnsi="Times New Roman"/>
          <w:b/>
          <w:i/>
          <w:sz w:val="24"/>
        </w:rPr>
        <w:t>Stage 6: Physics-Informed Feature Engineering</w:t>
      </w:r>
    </w:p>
    <w:p>
      <w:pPr>
        <w:spacing w:lineRule="exact" w:line="360" w:before="0" w:after="120"/>
        <w:ind w:firstLine="709"/>
        <w:jc w:val="both"/>
      </w:pPr>
      <w:r>
        <w:rPr>
          <w:rFonts w:ascii="Times New Roman" w:hAnsi="Times New Roman"/>
          <w:b w:val="0"/>
          <w:i w:val="0"/>
          <w:sz w:val="24"/>
        </w:rPr>
        <w:t>Fourteen engineered features are added to each dataset, derived from domain knowledge of semiconductor photoelectrochemistry. These features encode known physical relationships that are not directly represented by the raw tabular columns:</w:t>
      </w:r>
    </w:p>
    <w:p>
      <w:pPr>
        <w:spacing w:before="200" w:after="80"/>
        <w:jc w:val="center"/>
      </w:pPr>
      <w:r>
        <w:rPr>
          <w:rFonts w:ascii="Times New Roman" w:hAnsi="Times New Roman"/>
          <w:b/>
          <w:i/>
          <w:sz w:val="22"/>
        </w:rPr>
        <w:t>Table 3. Physics-Informed Engineered Features (selected)</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D9E1F2"/>
          </w:tcPr>
          <w:p>
            <w:pPr>
              <w:jc w:val="center"/>
            </w:pPr>
            <w:r>
              <w:rPr>
                <w:rFonts w:ascii="Times New Roman" w:hAnsi="Times New Roman"/>
                <w:b/>
                <w:sz w:val="20"/>
              </w:rPr>
              <w:t>Feature Name</w:t>
            </w:r>
          </w:p>
        </w:tc>
        <w:tc>
          <w:tcPr>
            <w:tcW w:type="dxa" w:w="3118"/>
            <w:shd w:val="clear" w:color="auto" w:fill="D9E1F2"/>
          </w:tcPr>
          <w:p>
            <w:pPr>
              <w:jc w:val="center"/>
            </w:pPr>
            <w:r>
              <w:rPr>
                <w:rFonts w:ascii="Times New Roman" w:hAnsi="Times New Roman"/>
                <w:b/>
                <w:sz w:val="20"/>
              </w:rPr>
              <w:t>Formula / Rule</w:t>
            </w:r>
          </w:p>
        </w:tc>
        <w:tc>
          <w:tcPr>
            <w:tcW w:type="dxa" w:w="3118"/>
            <w:shd w:val="clear" w:color="auto" w:fill="D9E1F2"/>
          </w:tcPr>
          <w:p>
            <w:pPr>
              <w:jc w:val="center"/>
            </w:pPr>
            <w:r>
              <w:rPr>
                <w:rFonts w:ascii="Times New Roman" w:hAnsi="Times New Roman"/>
                <w:b/>
                <w:sz w:val="20"/>
              </w:rPr>
              <w:t>Physical Motivation</w:t>
            </w:r>
          </w:p>
        </w:tc>
      </w:tr>
      <w:tr>
        <w:tc>
          <w:tcPr>
            <w:tcW w:type="dxa" w:w="3118"/>
          </w:tcPr>
          <w:p>
            <w:r>
              <w:rPr>
                <w:rFonts w:ascii="Times New Roman" w:hAnsi="Times New Roman"/>
                <w:sz w:val="20"/>
              </w:rPr>
              <w:t>photon_energy</w:t>
            </w:r>
          </w:p>
        </w:tc>
        <w:tc>
          <w:tcPr>
            <w:tcW w:type="dxa" w:w="3118"/>
          </w:tcPr>
          <w:p>
            <w:r>
              <w:rPr>
                <w:rFonts w:ascii="Times New Roman" w:hAnsi="Times New Roman"/>
                <w:sz w:val="20"/>
              </w:rPr>
              <w:t>1240 / bandgap (eV)</w:t>
            </w:r>
          </w:p>
        </w:tc>
        <w:tc>
          <w:tcPr>
            <w:tcW w:type="dxa" w:w="3118"/>
          </w:tcPr>
          <w:p>
            <w:r>
              <w:rPr>
                <w:rFonts w:ascii="Times New Roman" w:hAnsi="Times New Roman"/>
                <w:sz w:val="20"/>
              </w:rPr>
              <w:t>Photon energy at the absorption edge</w:t>
            </w:r>
          </w:p>
        </w:tc>
      </w:tr>
      <w:tr>
        <w:tc>
          <w:tcPr>
            <w:tcW w:type="dxa" w:w="3118"/>
          </w:tcPr>
          <w:p>
            <w:r>
              <w:rPr>
                <w:rFonts w:ascii="Times New Roman" w:hAnsi="Times New Roman"/>
                <w:sz w:val="20"/>
              </w:rPr>
              <w:t>overpotential_proxy</w:t>
            </w:r>
          </w:p>
        </w:tc>
        <w:tc>
          <w:tcPr>
            <w:tcW w:type="dxa" w:w="3118"/>
          </w:tcPr>
          <w:p>
            <w:r>
              <w:rPr>
                <w:rFonts w:ascii="Times New Roman" w:hAnsi="Times New Roman"/>
                <w:sz w:val="20"/>
              </w:rPr>
              <w:t>bias − (bandgap − 1.23)</w:t>
            </w:r>
          </w:p>
        </w:tc>
        <w:tc>
          <w:tcPr>
            <w:tcW w:type="dxa" w:w="3118"/>
          </w:tcPr>
          <w:p>
            <w:r>
              <w:rPr>
                <w:rFonts w:ascii="Times New Roman" w:hAnsi="Times New Roman"/>
                <w:sz w:val="20"/>
              </w:rPr>
              <w:t>Effective driving force above water-splitting threshold</w:t>
            </w:r>
          </w:p>
        </w:tc>
      </w:tr>
      <w:tr>
        <w:tc>
          <w:tcPr>
            <w:tcW w:type="dxa" w:w="3118"/>
          </w:tcPr>
          <w:p>
            <w:r>
              <w:rPr>
                <w:rFonts w:ascii="Times New Roman" w:hAnsi="Times New Roman"/>
                <w:sz w:val="20"/>
              </w:rPr>
              <w:t>bandgap_sq</w:t>
            </w:r>
          </w:p>
        </w:tc>
        <w:tc>
          <w:tcPr>
            <w:tcW w:type="dxa" w:w="3118"/>
          </w:tcPr>
          <w:p>
            <w:r>
              <w:rPr>
                <w:rFonts w:ascii="Times New Roman" w:hAnsi="Times New Roman"/>
                <w:sz w:val="20"/>
              </w:rPr>
              <w:t>bandgap²</w:t>
            </w:r>
          </w:p>
        </w:tc>
        <w:tc>
          <w:tcPr>
            <w:tcW w:type="dxa" w:w="3118"/>
          </w:tcPr>
          <w:p>
            <w:r>
              <w:rPr>
                <w:rFonts w:ascii="Times New Roman" w:hAnsi="Times New Roman"/>
                <w:sz w:val="20"/>
              </w:rPr>
              <w:t>Captures non-linear optical response vs. bandgap</w:t>
            </w:r>
          </w:p>
        </w:tc>
      </w:tr>
      <w:tr>
        <w:tc>
          <w:tcPr>
            <w:tcW w:type="dxa" w:w="3118"/>
          </w:tcPr>
          <w:p>
            <w:r>
              <w:rPr>
                <w:rFonts w:ascii="Times New Roman" w:hAnsi="Times New Roman"/>
                <w:sz w:val="20"/>
              </w:rPr>
              <w:t>log_bandgap</w:t>
            </w:r>
          </w:p>
        </w:tc>
        <w:tc>
          <w:tcPr>
            <w:tcW w:type="dxa" w:w="3118"/>
          </w:tcPr>
          <w:p>
            <w:r>
              <w:rPr>
                <w:rFonts w:ascii="Times New Roman" w:hAnsi="Times New Roman"/>
                <w:sz w:val="20"/>
              </w:rPr>
              <w:t>log(1 + bandgap)</w:t>
            </w:r>
          </w:p>
        </w:tc>
        <w:tc>
          <w:tcPr>
            <w:tcW w:type="dxa" w:w="3118"/>
          </w:tcPr>
          <w:p>
            <w:r>
              <w:rPr>
                <w:rFonts w:ascii="Times New Roman" w:hAnsi="Times New Roman"/>
                <w:sz w:val="20"/>
              </w:rPr>
              <w:t>Logarithmic scaling for skewed bandgap distribution</w:t>
            </w:r>
          </w:p>
        </w:tc>
      </w:tr>
      <w:tr>
        <w:tc>
          <w:tcPr>
            <w:tcW w:type="dxa" w:w="3118"/>
          </w:tcPr>
          <w:p>
            <w:r>
              <w:rPr>
                <w:rFonts w:ascii="Times New Roman" w:hAnsi="Times New Roman"/>
                <w:sz w:val="20"/>
              </w:rPr>
              <w:t>ph_deviation</w:t>
            </w:r>
          </w:p>
        </w:tc>
        <w:tc>
          <w:tcPr>
            <w:tcW w:type="dxa" w:w="3118"/>
          </w:tcPr>
          <w:p>
            <w:r>
              <w:rPr>
                <w:rFonts w:ascii="Times New Roman" w:hAnsi="Times New Roman"/>
                <w:sz w:val="20"/>
              </w:rPr>
              <w:t>|pH − 7|</w:t>
            </w:r>
          </w:p>
        </w:tc>
        <w:tc>
          <w:tcPr>
            <w:tcW w:type="dxa" w:w="3118"/>
          </w:tcPr>
          <w:p>
            <w:r>
              <w:rPr>
                <w:rFonts w:ascii="Times New Roman" w:hAnsi="Times New Roman"/>
                <w:sz w:val="20"/>
              </w:rPr>
              <w:t>Distance from neutral pH; electrolyte acidity/basicity</w:t>
            </w:r>
          </w:p>
        </w:tc>
      </w:tr>
      <w:tr>
        <w:tc>
          <w:tcPr>
            <w:tcW w:type="dxa" w:w="3118"/>
          </w:tcPr>
          <w:p>
            <w:r>
              <w:rPr>
                <w:rFonts w:ascii="Times New Roman" w:hAnsi="Times New Roman"/>
                <w:sz w:val="20"/>
              </w:rPr>
              <w:t>bias_positive</w:t>
            </w:r>
          </w:p>
        </w:tc>
        <w:tc>
          <w:tcPr>
            <w:tcW w:type="dxa" w:w="3118"/>
          </w:tcPr>
          <w:p>
            <w:r>
              <w:rPr>
                <w:rFonts w:ascii="Times New Roman" w:hAnsi="Times New Roman"/>
                <w:sz w:val="20"/>
              </w:rPr>
              <w:t>max(bias, 0)</w:t>
            </w:r>
          </w:p>
        </w:tc>
        <w:tc>
          <w:tcPr>
            <w:tcW w:type="dxa" w:w="3118"/>
          </w:tcPr>
          <w:p>
            <w:r>
              <w:rPr>
                <w:rFonts w:ascii="Times New Roman" w:hAnsi="Times New Roman"/>
                <w:sz w:val="20"/>
              </w:rPr>
              <w:t>Forward-bias component only (non-negative rectification)</w:t>
            </w:r>
          </w:p>
        </w:tc>
      </w:tr>
      <w:tr>
        <w:tc>
          <w:tcPr>
            <w:tcW w:type="dxa" w:w="3118"/>
          </w:tcPr>
          <w:p>
            <w:r>
              <w:rPr>
                <w:rFonts w:ascii="Times New Roman" w:hAnsi="Times New Roman"/>
                <w:sz w:val="20"/>
              </w:rPr>
              <w:t>has_cocatalyst</w:t>
            </w:r>
          </w:p>
        </w:tc>
        <w:tc>
          <w:tcPr>
            <w:tcW w:type="dxa" w:w="3118"/>
          </w:tcPr>
          <w:p>
            <w:r>
              <w:rPr>
                <w:rFonts w:ascii="Times New Roman" w:hAnsi="Times New Roman"/>
                <w:sz w:val="20"/>
              </w:rPr>
              <w:t>0 or 1 (binary)</w:t>
            </w:r>
          </w:p>
        </w:tc>
        <w:tc>
          <w:tcPr>
            <w:tcW w:type="dxa" w:w="3118"/>
          </w:tcPr>
          <w:p>
            <w:r>
              <w:rPr>
                <w:rFonts w:ascii="Times New Roman" w:hAnsi="Times New Roman"/>
                <w:sz w:val="20"/>
              </w:rPr>
              <w:t>Whether a surface co-catalyst is present</w:t>
            </w:r>
          </w:p>
        </w:tc>
      </w:tr>
      <w:tr>
        <w:tc>
          <w:tcPr>
            <w:tcW w:type="dxa" w:w="3118"/>
          </w:tcPr>
          <w:p>
            <w:r>
              <w:rPr>
                <w:rFonts w:ascii="Times New Roman" w:hAnsi="Times New Roman"/>
                <w:sz w:val="20"/>
              </w:rPr>
              <w:t>is_nanostructured</w:t>
            </w:r>
          </w:p>
        </w:tc>
        <w:tc>
          <w:tcPr>
            <w:tcW w:type="dxa" w:w="3118"/>
          </w:tcPr>
          <w:p>
            <w:r>
              <w:rPr>
                <w:rFonts w:ascii="Times New Roman" w:hAnsi="Times New Roman"/>
                <w:sz w:val="20"/>
              </w:rPr>
              <w:t>0 or 1 (binary)</w:t>
            </w:r>
          </w:p>
        </w:tc>
        <w:tc>
          <w:tcPr>
            <w:tcW w:type="dxa" w:w="3118"/>
          </w:tcPr>
          <w:p>
            <w:r>
              <w:rPr>
                <w:rFonts w:ascii="Times New Roman" w:hAnsi="Times New Roman"/>
                <w:sz w:val="20"/>
              </w:rPr>
              <w:t>Whether electrode is nanostructured vs. bulk film</w:t>
            </w:r>
          </w:p>
        </w:tc>
      </w:tr>
      <w:tr>
        <w:tc>
          <w:tcPr>
            <w:tcW w:type="dxa" w:w="3118"/>
          </w:tcPr>
          <w:p>
            <w:r>
              <w:rPr>
                <w:rFonts w:ascii="Times New Roman" w:hAnsi="Times New Roman"/>
                <w:sz w:val="20"/>
              </w:rPr>
              <w:t>bias_bandgap_ratio</w:t>
            </w:r>
          </w:p>
        </w:tc>
        <w:tc>
          <w:tcPr>
            <w:tcW w:type="dxa" w:w="3118"/>
          </w:tcPr>
          <w:p>
            <w:r>
              <w:rPr>
                <w:rFonts w:ascii="Times New Roman" w:hAnsi="Times New Roman"/>
                <w:sz w:val="20"/>
              </w:rPr>
              <w:t>bias / (bandgap + ε)</w:t>
            </w:r>
          </w:p>
        </w:tc>
        <w:tc>
          <w:tcPr>
            <w:tcW w:type="dxa" w:w="3118"/>
          </w:tcPr>
          <w:p>
            <w:r>
              <w:rPr>
                <w:rFonts w:ascii="Times New Roman" w:hAnsi="Times New Roman"/>
                <w:sz w:val="20"/>
              </w:rPr>
              <w:t>Ratio of external drive to intrinsic photovolage</w:t>
            </w:r>
          </w:p>
        </w:tc>
      </w:tr>
      <w:tr>
        <w:tc>
          <w:tcPr>
            <w:tcW w:type="dxa" w:w="3118"/>
          </w:tcPr>
          <w:p>
            <w:r>
              <w:rPr>
                <w:rFonts w:ascii="Times New Roman" w:hAnsi="Times New Roman"/>
                <w:sz w:val="20"/>
              </w:rPr>
              <w:t>ph_bias_product</w:t>
            </w:r>
          </w:p>
        </w:tc>
        <w:tc>
          <w:tcPr>
            <w:tcW w:type="dxa" w:w="3118"/>
          </w:tcPr>
          <w:p>
            <w:r>
              <w:rPr>
                <w:rFonts w:ascii="Times New Roman" w:hAnsi="Times New Roman"/>
                <w:sz w:val="20"/>
              </w:rPr>
              <w:t>pH × bias</w:t>
            </w:r>
          </w:p>
        </w:tc>
        <w:tc>
          <w:tcPr>
            <w:tcW w:type="dxa" w:w="3118"/>
          </w:tcPr>
          <w:p>
            <w:r>
              <w:rPr>
                <w:rFonts w:ascii="Times New Roman" w:hAnsi="Times New Roman"/>
                <w:sz w:val="20"/>
              </w:rPr>
              <w:t>Joint interaction between pH and applied potential</w:t>
            </w:r>
          </w:p>
        </w:tc>
      </w:tr>
    </w:tbl>
    <w:p/>
    <w:p>
      <w:pPr>
        <w:spacing w:before="160" w:after="80" w:lineRule="exact" w:line="360"/>
        <w:jc w:val="left"/>
      </w:pPr>
      <w:r>
        <w:rPr>
          <w:rFonts w:ascii="Times New Roman" w:hAnsi="Times New Roman"/>
          <w:b/>
          <w:i/>
          <w:sz w:val="24"/>
        </w:rPr>
        <w:t>Stage 7: Missing Value Imputation</w:t>
      </w:r>
    </w:p>
    <w:p>
      <w:pPr>
        <w:spacing w:lineRule="exact" w:line="360" w:before="0" w:after="120"/>
        <w:ind w:firstLine="709"/>
        <w:jc w:val="both"/>
      </w:pPr>
      <w:r>
        <w:rPr>
          <w:rFonts w:ascii="Times New Roman" w:hAnsi="Times New Roman"/>
          <w:b w:val="0"/>
          <w:i w:val="0"/>
          <w:sz w:val="24"/>
        </w:rPr>
        <w:t>Numerical columns are filled with the column median computed over the corresponding training subset. Categorical columns are filled with the most frequent category. Both statistics are stored in the model artifact dictionary (dataset_medians, dataset_modes) to ensure that inference-time imputation uses the same training distribution rather than recomputing statistics on potentially different data. This is a standard practice for preventing data leakage through the imputation step.</w:t>
      </w:r>
    </w:p>
    <w:p>
      <w:pPr>
        <w:spacing w:before="160" w:after="80" w:lineRule="exact" w:line="360"/>
        <w:jc w:val="left"/>
      </w:pPr>
      <w:r>
        <w:rPr>
          <w:rFonts w:ascii="Times New Roman" w:hAnsi="Times New Roman"/>
          <w:b/>
          <w:i/>
          <w:sz w:val="24"/>
        </w:rPr>
        <w:t>Stage 8: Leakage Prevention for STH Model</w:t>
      </w:r>
    </w:p>
    <w:p>
      <w:pPr>
        <w:spacing w:lineRule="exact" w:line="360" w:before="0" w:after="120"/>
        <w:ind w:firstLine="709"/>
        <w:jc w:val="both"/>
      </w:pPr>
      <w:r>
        <w:rPr>
          <w:rFonts w:ascii="Times New Roman" w:hAnsi="Times New Roman"/>
          <w:b w:val="0"/>
          <w:i w:val="0"/>
          <w:sz w:val="24"/>
        </w:rPr>
        <w:t>By physics, STH efficiency is approximately proportional to photocurrent density: STH ≈ Jph × 1.23 / Pin, where Pin is the incident light power. If photocurrent density is included as a feature for the STH model, the model trivially learns this linear proportionality rather than discovering meaningful material descriptors that generalize to novel materials. The column 'photocurrent' is therefore explicitly excluded from the STH model feature set via the TARGET_EXCLUSIONS dictionary, which maps each target key to the list of columns to withhold.</w:t>
      </w:r>
    </w:p>
    <w:p>
      <w:pPr>
        <w:spacing w:before="160" w:after="80" w:lineRule="exact" w:line="360"/>
        <w:jc w:val="left"/>
      </w:pPr>
      <w:r>
        <w:rPr>
          <w:rFonts w:ascii="Times New Roman" w:hAnsi="Times New Roman"/>
          <w:b/>
          <w:i/>
          <w:sz w:val="24"/>
        </w:rPr>
        <w:t>Stage 9: Target Transformation and Categorical Encoding</w:t>
      </w:r>
    </w:p>
    <w:p>
      <w:pPr>
        <w:spacing w:lineRule="exact" w:line="360" w:before="0" w:after="120"/>
        <w:ind w:firstLine="709"/>
        <w:jc w:val="both"/>
      </w:pPr>
      <w:r>
        <w:rPr>
          <w:rFonts w:ascii="Times New Roman" w:hAnsi="Times New Roman"/>
          <w:b w:val="0"/>
          <w:i w:val="0"/>
          <w:sz w:val="24"/>
        </w:rPr>
        <w:t>For the hydrogen evolution target, a log₁p transformation is applied before training (y_transformed = log(1 + y)). This is motivated by the highly right-skewed distribution of H₂ evolution rates (mean: 386 µmol/h/cm², max: 7600 µmol/h/cm², skewness &gt; 4). The inverse transformation (expm1) is applied at prediction time to return physical units. Categorical features are encoded using scikit-learn's OneHotEncoder with handle_unknown='ignore', which silently zeros out any category not seen during training, allowing the API to accept arbitrary material names without raising an error.</w:t>
      </w:r>
    </w:p>
    <w:p>
      <w:pPr>
        <w:spacing w:before="240" w:after="120" w:lineRule="exact" w:line="360"/>
        <w:jc w:val="left"/>
      </w:pPr>
      <w:r>
        <w:rPr>
          <w:rFonts w:ascii="Times New Roman" w:hAnsi="Times New Roman"/>
          <w:b/>
          <w:sz w:val="26"/>
        </w:rPr>
        <w:t>3.4 Machine Learning Models</w:t>
      </w:r>
    </w:p>
    <w:p>
      <w:pPr>
        <w:spacing w:lineRule="exact" w:line="360" w:before="0" w:after="120"/>
        <w:ind w:firstLine="709"/>
        <w:jc w:val="both"/>
      </w:pPr>
      <w:r>
        <w:rPr>
          <w:rFonts w:ascii="Times New Roman" w:hAnsi="Times New Roman"/>
          <w:b w:val="0"/>
          <w:i w:val="0"/>
          <w:sz w:val="24"/>
        </w:rPr>
        <w:t>Two ensemble tree-based regression algorithms are evaluated for each target. For each target, both models are trained using identical preprocessed features, and the model with the higher cross-validated R² is selected for deployment.</w:t>
      </w:r>
    </w:p>
    <w:p>
      <w:pPr>
        <w:spacing w:lineRule="exact" w:line="360" w:before="0" w:after="120"/>
        <w:ind w:firstLine="709"/>
        <w:jc w:val="both"/>
      </w:pPr>
      <w:r>
        <w:rPr>
          <w:rFonts w:ascii="Times New Roman" w:hAnsi="Times New Roman"/>
          <w:b w:val="0"/>
          <w:i w:val="0"/>
          <w:sz w:val="24"/>
        </w:rPr>
        <w:t>Random Forest [13] is an ensemble of independently trained decision trees, each built on a bootstrap sample of the training data using a random subset of features at each split (the 'random subspace' method). Predictions are the mean of individual tree outputs. This averaging reduces variance and produces stable predictions from diverse trees. The algorithm natively handles mixed numeric and categorical (post-encoding) features, is resistant to outliers due to the tree-based partitioning, and provides Gini-impurity-based feature importance scores without requiring additional computation.</w:t>
      </w:r>
    </w:p>
    <w:p>
      <w:pPr>
        <w:spacing w:lineRule="exact" w:line="360" w:before="0" w:after="120"/>
        <w:ind w:firstLine="709"/>
        <w:jc w:val="both"/>
      </w:pPr>
      <w:r>
        <w:rPr>
          <w:rFonts w:ascii="Times New Roman" w:hAnsi="Times New Roman"/>
          <w:b w:val="0"/>
          <w:i w:val="0"/>
          <w:sz w:val="24"/>
        </w:rPr>
        <w:t>XGBoost [14] is a gradient-boosted tree ensemble that sequentially adds trees to minimize a regularized loss function. Each tree is trained to predict the residuals of the current ensemble, with L1 and L2 regularization penalties on leaf weights to prevent overfitting. XGBoost also incorporates second-order gradient information (Newton boosting) for faster convergence. Both algorithms are applied through scikit-learn-compatible Pipeline objects that combine preprocessing and modeling into a single estimator.</w:t>
      </w:r>
    </w:p>
    <w:p>
      <w:pPr>
        <w:spacing w:before="200" w:after="80"/>
        <w:jc w:val="center"/>
      </w:pPr>
      <w:r>
        <w:rPr>
          <w:rFonts w:ascii="Times New Roman" w:hAnsi="Times New Roman"/>
          <w:b/>
          <w:i/>
          <w:sz w:val="22"/>
        </w:rPr>
        <w:t>Table 4. Hyperparameter Configuration for Both Models</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D9E1F2"/>
          </w:tcPr>
          <w:p>
            <w:pPr>
              <w:jc w:val="center"/>
            </w:pPr>
            <w:r>
              <w:rPr>
                <w:rFonts w:ascii="Times New Roman" w:hAnsi="Times New Roman"/>
                <w:b/>
                <w:sz w:val="20"/>
              </w:rPr>
              <w:t>Parameter</w:t>
            </w:r>
          </w:p>
        </w:tc>
        <w:tc>
          <w:tcPr>
            <w:tcW w:type="dxa" w:w="3118"/>
            <w:shd w:val="clear" w:color="auto" w:fill="D9E1F2"/>
          </w:tcPr>
          <w:p>
            <w:pPr>
              <w:jc w:val="center"/>
            </w:pPr>
            <w:r>
              <w:rPr>
                <w:rFonts w:ascii="Times New Roman" w:hAnsi="Times New Roman"/>
                <w:b/>
                <w:sz w:val="20"/>
              </w:rPr>
              <w:t>Random Forest</w:t>
            </w:r>
          </w:p>
        </w:tc>
        <w:tc>
          <w:tcPr>
            <w:tcW w:type="dxa" w:w="3118"/>
            <w:shd w:val="clear" w:color="auto" w:fill="D9E1F2"/>
          </w:tcPr>
          <w:p>
            <w:pPr>
              <w:jc w:val="center"/>
            </w:pPr>
            <w:r>
              <w:rPr>
                <w:rFonts w:ascii="Times New Roman" w:hAnsi="Times New Roman"/>
                <w:b/>
                <w:sz w:val="20"/>
              </w:rPr>
              <w:t>XGBoost</w:t>
            </w:r>
          </w:p>
        </w:tc>
      </w:tr>
      <w:tr>
        <w:tc>
          <w:tcPr>
            <w:tcW w:type="dxa" w:w="3118"/>
          </w:tcPr>
          <w:p>
            <w:r>
              <w:rPr>
                <w:rFonts w:ascii="Times New Roman" w:hAnsi="Times New Roman"/>
                <w:sz w:val="20"/>
              </w:rPr>
              <w:t>n_estimators</w:t>
            </w:r>
          </w:p>
        </w:tc>
        <w:tc>
          <w:tcPr>
            <w:tcW w:type="dxa" w:w="3118"/>
          </w:tcPr>
          <w:p>
            <w:r>
              <w:rPr>
                <w:rFonts w:ascii="Times New Roman" w:hAnsi="Times New Roman"/>
                <w:sz w:val="20"/>
              </w:rPr>
              <w:t>300</w:t>
            </w:r>
          </w:p>
        </w:tc>
        <w:tc>
          <w:tcPr>
            <w:tcW w:type="dxa" w:w="3118"/>
          </w:tcPr>
          <w:p>
            <w:r>
              <w:rPr>
                <w:rFonts w:ascii="Times New Roman" w:hAnsi="Times New Roman"/>
                <w:sz w:val="20"/>
              </w:rPr>
              <w:t>300</w:t>
            </w:r>
          </w:p>
        </w:tc>
      </w:tr>
      <w:tr>
        <w:tc>
          <w:tcPr>
            <w:tcW w:type="dxa" w:w="3118"/>
          </w:tcPr>
          <w:p>
            <w:r>
              <w:rPr>
                <w:rFonts w:ascii="Times New Roman" w:hAnsi="Times New Roman"/>
                <w:sz w:val="20"/>
              </w:rPr>
              <w:t>max_depth</w:t>
            </w:r>
          </w:p>
        </w:tc>
        <w:tc>
          <w:tcPr>
            <w:tcW w:type="dxa" w:w="3118"/>
          </w:tcPr>
          <w:p>
            <w:r>
              <w:rPr>
                <w:rFonts w:ascii="Times New Roman" w:hAnsi="Times New Roman"/>
                <w:sz w:val="20"/>
              </w:rPr>
              <w:t>8</w:t>
            </w:r>
          </w:p>
        </w:tc>
        <w:tc>
          <w:tcPr>
            <w:tcW w:type="dxa" w:w="3118"/>
          </w:tcPr>
          <w:p>
            <w:r>
              <w:rPr>
                <w:rFonts w:ascii="Times New Roman" w:hAnsi="Times New Roman"/>
                <w:sz w:val="20"/>
              </w:rPr>
              <w:t>4</w:t>
            </w:r>
          </w:p>
        </w:tc>
      </w:tr>
      <w:tr>
        <w:tc>
          <w:tcPr>
            <w:tcW w:type="dxa" w:w="3118"/>
          </w:tcPr>
          <w:p>
            <w:r>
              <w:rPr>
                <w:rFonts w:ascii="Times New Roman" w:hAnsi="Times New Roman"/>
                <w:sz w:val="20"/>
              </w:rPr>
              <w:t>min_samples_leaf</w:t>
            </w:r>
          </w:p>
        </w:tc>
        <w:tc>
          <w:tcPr>
            <w:tcW w:type="dxa" w:w="3118"/>
          </w:tcPr>
          <w:p>
            <w:r>
              <w:rPr>
                <w:rFonts w:ascii="Times New Roman" w:hAnsi="Times New Roman"/>
                <w:sz w:val="20"/>
              </w:rPr>
              <w:t>2</w:t>
            </w:r>
          </w:p>
        </w:tc>
        <w:tc>
          <w:tcPr>
            <w:tcW w:type="dxa" w:w="3118"/>
          </w:tcPr>
          <w:p>
            <w:r>
              <w:rPr>
                <w:rFonts w:ascii="Times New Roman" w:hAnsi="Times New Roman"/>
                <w:sz w:val="20"/>
              </w:rPr>
              <w:t>—</w:t>
            </w:r>
          </w:p>
        </w:tc>
      </w:tr>
      <w:tr>
        <w:tc>
          <w:tcPr>
            <w:tcW w:type="dxa" w:w="3118"/>
          </w:tcPr>
          <w:p>
            <w:r>
              <w:rPr>
                <w:rFonts w:ascii="Times New Roman" w:hAnsi="Times New Roman"/>
                <w:sz w:val="20"/>
              </w:rPr>
              <w:t>max_features</w:t>
            </w:r>
          </w:p>
        </w:tc>
        <w:tc>
          <w:tcPr>
            <w:tcW w:type="dxa" w:w="3118"/>
          </w:tcPr>
          <w:p>
            <w:r>
              <w:rPr>
                <w:rFonts w:ascii="Times New Roman" w:hAnsi="Times New Roman"/>
                <w:sz w:val="20"/>
              </w:rPr>
              <w:t>sqrt</w:t>
            </w:r>
          </w:p>
        </w:tc>
        <w:tc>
          <w:tcPr>
            <w:tcW w:type="dxa" w:w="3118"/>
          </w:tcPr>
          <w:p>
            <w:r>
              <w:rPr>
                <w:rFonts w:ascii="Times New Roman" w:hAnsi="Times New Roman"/>
                <w:sz w:val="20"/>
              </w:rPr>
              <w:t>—</w:t>
            </w:r>
          </w:p>
        </w:tc>
      </w:tr>
      <w:tr>
        <w:tc>
          <w:tcPr>
            <w:tcW w:type="dxa" w:w="3118"/>
          </w:tcPr>
          <w:p>
            <w:r>
              <w:rPr>
                <w:rFonts w:ascii="Times New Roman" w:hAnsi="Times New Roman"/>
                <w:sz w:val="20"/>
              </w:rPr>
              <w:t>learning_rate</w:t>
            </w:r>
          </w:p>
        </w:tc>
        <w:tc>
          <w:tcPr>
            <w:tcW w:type="dxa" w:w="3118"/>
          </w:tcPr>
          <w:p>
            <w:r>
              <w:rPr>
                <w:rFonts w:ascii="Times New Roman" w:hAnsi="Times New Roman"/>
                <w:sz w:val="20"/>
              </w:rPr>
              <w:t>—</w:t>
            </w:r>
          </w:p>
        </w:tc>
        <w:tc>
          <w:tcPr>
            <w:tcW w:type="dxa" w:w="3118"/>
          </w:tcPr>
          <w:p>
            <w:r>
              <w:rPr>
                <w:rFonts w:ascii="Times New Roman" w:hAnsi="Times New Roman"/>
                <w:sz w:val="20"/>
              </w:rPr>
              <w:t>0.05</w:t>
            </w:r>
          </w:p>
        </w:tc>
      </w:tr>
      <w:tr>
        <w:tc>
          <w:tcPr>
            <w:tcW w:type="dxa" w:w="3118"/>
          </w:tcPr>
          <w:p>
            <w:r>
              <w:rPr>
                <w:rFonts w:ascii="Times New Roman" w:hAnsi="Times New Roman"/>
                <w:sz w:val="20"/>
              </w:rPr>
              <w:t>subsample</w:t>
            </w:r>
          </w:p>
        </w:tc>
        <w:tc>
          <w:tcPr>
            <w:tcW w:type="dxa" w:w="3118"/>
          </w:tcPr>
          <w:p>
            <w:r>
              <w:rPr>
                <w:rFonts w:ascii="Times New Roman" w:hAnsi="Times New Roman"/>
                <w:sz w:val="20"/>
              </w:rPr>
              <w:t>—</w:t>
            </w:r>
          </w:p>
        </w:tc>
        <w:tc>
          <w:tcPr>
            <w:tcW w:type="dxa" w:w="3118"/>
          </w:tcPr>
          <w:p>
            <w:r>
              <w:rPr>
                <w:rFonts w:ascii="Times New Roman" w:hAnsi="Times New Roman"/>
                <w:sz w:val="20"/>
              </w:rPr>
              <w:t>0.80</w:t>
            </w:r>
          </w:p>
        </w:tc>
      </w:tr>
      <w:tr>
        <w:tc>
          <w:tcPr>
            <w:tcW w:type="dxa" w:w="3118"/>
          </w:tcPr>
          <w:p>
            <w:r>
              <w:rPr>
                <w:rFonts w:ascii="Times New Roman" w:hAnsi="Times New Roman"/>
                <w:sz w:val="20"/>
              </w:rPr>
              <w:t>colsample_bytree</w:t>
            </w:r>
          </w:p>
        </w:tc>
        <w:tc>
          <w:tcPr>
            <w:tcW w:type="dxa" w:w="3118"/>
          </w:tcPr>
          <w:p>
            <w:r>
              <w:rPr>
                <w:rFonts w:ascii="Times New Roman" w:hAnsi="Times New Roman"/>
                <w:sz w:val="20"/>
              </w:rPr>
              <w:t>—</w:t>
            </w:r>
          </w:p>
        </w:tc>
        <w:tc>
          <w:tcPr>
            <w:tcW w:type="dxa" w:w="3118"/>
          </w:tcPr>
          <w:p>
            <w:r>
              <w:rPr>
                <w:rFonts w:ascii="Times New Roman" w:hAnsi="Times New Roman"/>
                <w:sz w:val="20"/>
              </w:rPr>
              <w:t>0.80</w:t>
            </w:r>
          </w:p>
        </w:tc>
      </w:tr>
      <w:tr>
        <w:tc>
          <w:tcPr>
            <w:tcW w:type="dxa" w:w="3118"/>
          </w:tcPr>
          <w:p>
            <w:r>
              <w:rPr>
                <w:rFonts w:ascii="Times New Roman" w:hAnsi="Times New Roman"/>
                <w:sz w:val="20"/>
              </w:rPr>
              <w:t>reg_alpha (L1)</w:t>
            </w:r>
          </w:p>
        </w:tc>
        <w:tc>
          <w:tcPr>
            <w:tcW w:type="dxa" w:w="3118"/>
          </w:tcPr>
          <w:p>
            <w:r>
              <w:rPr>
                <w:rFonts w:ascii="Times New Roman" w:hAnsi="Times New Roman"/>
                <w:sz w:val="20"/>
              </w:rPr>
              <w:t>—</w:t>
            </w:r>
          </w:p>
        </w:tc>
        <w:tc>
          <w:tcPr>
            <w:tcW w:type="dxa" w:w="3118"/>
          </w:tcPr>
          <w:p>
            <w:r>
              <w:rPr>
                <w:rFonts w:ascii="Times New Roman" w:hAnsi="Times New Roman"/>
                <w:sz w:val="20"/>
              </w:rPr>
              <w:t>0.10</w:t>
            </w:r>
          </w:p>
        </w:tc>
      </w:tr>
      <w:tr>
        <w:tc>
          <w:tcPr>
            <w:tcW w:type="dxa" w:w="3118"/>
          </w:tcPr>
          <w:p>
            <w:r>
              <w:rPr>
                <w:rFonts w:ascii="Times New Roman" w:hAnsi="Times New Roman"/>
                <w:sz w:val="20"/>
              </w:rPr>
              <w:t>reg_lambda (L2)</w:t>
            </w:r>
          </w:p>
        </w:tc>
        <w:tc>
          <w:tcPr>
            <w:tcW w:type="dxa" w:w="3118"/>
          </w:tcPr>
          <w:p>
            <w:r>
              <w:rPr>
                <w:rFonts w:ascii="Times New Roman" w:hAnsi="Times New Roman"/>
                <w:sz w:val="20"/>
              </w:rPr>
              <w:t>—</w:t>
            </w:r>
          </w:p>
        </w:tc>
        <w:tc>
          <w:tcPr>
            <w:tcW w:type="dxa" w:w="3118"/>
          </w:tcPr>
          <w:p>
            <w:r>
              <w:rPr>
                <w:rFonts w:ascii="Times New Roman" w:hAnsi="Times New Roman"/>
                <w:sz w:val="20"/>
              </w:rPr>
              <w:t>1.00</w:t>
            </w:r>
          </w:p>
        </w:tc>
      </w:tr>
      <w:tr>
        <w:tc>
          <w:tcPr>
            <w:tcW w:type="dxa" w:w="3118"/>
          </w:tcPr>
          <w:p>
            <w:r>
              <w:rPr>
                <w:rFonts w:ascii="Times New Roman" w:hAnsi="Times New Roman"/>
                <w:sz w:val="20"/>
              </w:rPr>
              <w:t>min_child_weight</w:t>
            </w:r>
          </w:p>
        </w:tc>
        <w:tc>
          <w:tcPr>
            <w:tcW w:type="dxa" w:w="3118"/>
          </w:tcPr>
          <w:p>
            <w:r>
              <w:rPr>
                <w:rFonts w:ascii="Times New Roman" w:hAnsi="Times New Roman"/>
                <w:sz w:val="20"/>
              </w:rPr>
              <w:t>—</w:t>
            </w:r>
          </w:p>
        </w:tc>
        <w:tc>
          <w:tcPr>
            <w:tcW w:type="dxa" w:w="3118"/>
          </w:tcPr>
          <w:p>
            <w:r>
              <w:rPr>
                <w:rFonts w:ascii="Times New Roman" w:hAnsi="Times New Roman"/>
                <w:sz w:val="20"/>
              </w:rPr>
              <w:t>3</w:t>
            </w:r>
          </w:p>
        </w:tc>
      </w:tr>
      <w:tr>
        <w:tc>
          <w:tcPr>
            <w:tcW w:type="dxa" w:w="3118"/>
          </w:tcPr>
          <w:p>
            <w:r>
              <w:rPr>
                <w:rFonts w:ascii="Times New Roman" w:hAnsi="Times New Roman"/>
                <w:sz w:val="20"/>
              </w:rPr>
              <w:t>random_state</w:t>
            </w:r>
          </w:p>
        </w:tc>
        <w:tc>
          <w:tcPr>
            <w:tcW w:type="dxa" w:w="3118"/>
          </w:tcPr>
          <w:p>
            <w:r>
              <w:rPr>
                <w:rFonts w:ascii="Times New Roman" w:hAnsi="Times New Roman"/>
                <w:sz w:val="20"/>
              </w:rPr>
              <w:t>42</w:t>
            </w:r>
          </w:p>
        </w:tc>
        <w:tc>
          <w:tcPr>
            <w:tcW w:type="dxa" w:w="3118"/>
          </w:tcPr>
          <w:p>
            <w:r>
              <w:rPr>
                <w:rFonts w:ascii="Times New Roman" w:hAnsi="Times New Roman"/>
                <w:sz w:val="20"/>
              </w:rPr>
              <w:t>42</w:t>
            </w:r>
          </w:p>
        </w:tc>
      </w:tr>
      <w:tr>
        <w:tc>
          <w:tcPr>
            <w:tcW w:type="dxa" w:w="3118"/>
          </w:tcPr>
          <w:p>
            <w:r>
              <w:rPr>
                <w:rFonts w:ascii="Times New Roman" w:hAnsi="Times New Roman"/>
                <w:sz w:val="20"/>
              </w:rPr>
              <w:t>n_jobs</w:t>
            </w:r>
          </w:p>
        </w:tc>
        <w:tc>
          <w:tcPr>
            <w:tcW w:type="dxa" w:w="3118"/>
          </w:tcPr>
          <w:p>
            <w:r>
              <w:rPr>
                <w:rFonts w:ascii="Times New Roman" w:hAnsi="Times New Roman"/>
                <w:sz w:val="20"/>
              </w:rPr>
              <w:t>−1</w:t>
            </w:r>
          </w:p>
        </w:tc>
        <w:tc>
          <w:tcPr>
            <w:tcW w:type="dxa" w:w="3118"/>
          </w:tcPr>
          <w:p>
            <w:r>
              <w:rPr>
                <w:rFonts w:ascii="Times New Roman" w:hAnsi="Times New Roman"/>
                <w:sz w:val="20"/>
              </w:rPr>
              <w:t>—</w:t>
            </w:r>
          </w:p>
        </w:tc>
      </w:tr>
    </w:tbl>
    <w:p/>
    <w:p>
      <w:pPr>
        <w:spacing w:lineRule="exact" w:line="360" w:before="0" w:after="120"/>
        <w:ind w:firstLine="709"/>
        <w:jc w:val="both"/>
      </w:pPr>
      <w:r>
        <w:rPr>
          <w:rFonts w:ascii="Times New Roman" w:hAnsi="Times New Roman"/>
          <w:b w:val="0"/>
          <w:i w:val="0"/>
          <w:sz w:val="24"/>
        </w:rPr>
        <w:t>Model performance is estimated using stratified k-fold cross-validation with k = 3. Three-fold CV is selected rather than the standard five-fold because the STH and H₂ datasets contain only 48 and 55 entries respectively; five folds would result in validation sets of fewer than 10 samples, producing highly unstable and unreliable metric estimates. The effective number of folds is further capped at min(k, n//5) to prevent degenerate splits in all targets. Three evaluation metrics are recorded: R² (coefficient of determination), MAE (mean absolute error in original units), and RMSE (root mean squared error).</w:t>
      </w:r>
    </w:p>
    <w:p>
      <w:pPr>
        <w:spacing w:lineRule="exact" w:line="360" w:before="0" w:after="120"/>
        <w:ind w:firstLine="709"/>
        <w:jc w:val="both"/>
      </w:pPr>
      <w:r>
        <w:rPr>
          <w:rFonts w:ascii="Times New Roman" w:hAnsi="Times New Roman"/>
          <w:b w:val="0"/>
          <w:i w:val="0"/>
          <w:sz w:val="24"/>
        </w:rPr>
        <w:t>The model selection procedure is as follows: (1) both models are evaluated by k-fold CV; (2) the model with the highest mean CV R² is selected; (3) the selected model is re-fitted on the entire available training set (all folds combined) using the same hyperparameters; (4) the fitted sklearn Pipeline (containing both the preprocessing steps and the final estimator) is serialized using joblib, together with all metadata needed for consistent inference.</w:t>
      </w:r>
    </w:p>
    <w:p>
      <w:pPr>
        <w:spacing w:before="240" w:after="120" w:lineRule="exact" w:line="360"/>
        <w:jc w:val="left"/>
      </w:pPr>
      <w:r>
        <w:rPr>
          <w:rFonts w:ascii="Times New Roman" w:hAnsi="Times New Roman"/>
          <w:b/>
          <w:sz w:val="26"/>
        </w:rPr>
        <w:t>3.5 Backend API Design</w:t>
      </w:r>
    </w:p>
    <w:p>
      <w:pPr>
        <w:spacing w:lineRule="exact" w:line="360" w:before="0" w:after="120"/>
        <w:ind w:firstLine="709"/>
        <w:jc w:val="both"/>
      </w:pPr>
      <w:r>
        <w:rPr>
          <w:rFonts w:ascii="Times New Roman" w:hAnsi="Times New Roman"/>
          <w:b w:val="0"/>
          <w:i w:val="0"/>
          <w:sz w:val="24"/>
        </w:rPr>
        <w:t>The backend is implemented as a Python Flask application (app.py) following REST architectural principles. It exposes three HTTP endpoints that cover the three primary use cases: health monitoring, prediction, and data access.</w:t>
      </w:r>
    </w:p>
    <w:p>
      <w:pPr>
        <w:spacing w:before="200" w:after="80"/>
        <w:jc w:val="center"/>
      </w:pPr>
      <w:r>
        <w:rPr>
          <w:rFonts w:ascii="Times New Roman" w:hAnsi="Times New Roman"/>
          <w:b/>
          <w:i/>
          <w:sz w:val="22"/>
        </w:rPr>
        <w:t>Table 5. REST API Endpoints</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D9E1F2"/>
          </w:tcPr>
          <w:p>
            <w:pPr>
              <w:jc w:val="center"/>
            </w:pPr>
            <w:r>
              <w:rPr>
                <w:rFonts w:ascii="Times New Roman" w:hAnsi="Times New Roman"/>
                <w:b/>
                <w:sz w:val="20"/>
              </w:rPr>
              <w:t>Endpoint</w:t>
            </w:r>
          </w:p>
        </w:tc>
        <w:tc>
          <w:tcPr>
            <w:tcW w:type="dxa" w:w="2339"/>
            <w:shd w:val="clear" w:color="auto" w:fill="D9E1F2"/>
          </w:tcPr>
          <w:p>
            <w:pPr>
              <w:jc w:val="center"/>
            </w:pPr>
            <w:r>
              <w:rPr>
                <w:rFonts w:ascii="Times New Roman" w:hAnsi="Times New Roman"/>
                <w:b/>
                <w:sz w:val="20"/>
              </w:rPr>
              <w:t>Method</w:t>
            </w:r>
          </w:p>
        </w:tc>
        <w:tc>
          <w:tcPr>
            <w:tcW w:type="dxa" w:w="2339"/>
            <w:shd w:val="clear" w:color="auto" w:fill="D9E1F2"/>
          </w:tcPr>
          <w:p>
            <w:pPr>
              <w:jc w:val="center"/>
            </w:pPr>
            <w:r>
              <w:rPr>
                <w:rFonts w:ascii="Times New Roman" w:hAnsi="Times New Roman"/>
                <w:b/>
                <w:sz w:val="20"/>
              </w:rPr>
              <w:t>Description</w:t>
            </w:r>
          </w:p>
        </w:tc>
        <w:tc>
          <w:tcPr>
            <w:tcW w:type="dxa" w:w="2339"/>
            <w:shd w:val="clear" w:color="auto" w:fill="D9E1F2"/>
          </w:tcPr>
          <w:p>
            <w:pPr>
              <w:jc w:val="center"/>
            </w:pPr>
            <w:r>
              <w:rPr>
                <w:rFonts w:ascii="Times New Roman" w:hAnsi="Times New Roman"/>
                <w:b/>
                <w:sz w:val="20"/>
              </w:rPr>
              <w:t>Response</w:t>
            </w:r>
          </w:p>
        </w:tc>
      </w:tr>
      <w:tr>
        <w:tc>
          <w:tcPr>
            <w:tcW w:type="dxa" w:w="2339"/>
          </w:tcPr>
          <w:p>
            <w:r>
              <w:rPr>
                <w:rFonts w:ascii="Times New Roman" w:hAnsi="Times New Roman"/>
                <w:sz w:val="20"/>
              </w:rPr>
              <w:t>GET /</w:t>
            </w:r>
          </w:p>
        </w:tc>
        <w:tc>
          <w:tcPr>
            <w:tcW w:type="dxa" w:w="2339"/>
          </w:tcPr>
          <w:p>
            <w:r>
              <w:rPr>
                <w:rFonts w:ascii="Times New Roman" w:hAnsi="Times New Roman"/>
                <w:sz w:val="20"/>
              </w:rPr>
              <w:t>GET</w:t>
            </w:r>
          </w:p>
        </w:tc>
        <w:tc>
          <w:tcPr>
            <w:tcW w:type="dxa" w:w="2339"/>
          </w:tcPr>
          <w:p>
            <w:r>
              <w:rPr>
                <w:rFonts w:ascii="Times New Roman" w:hAnsi="Times New Roman"/>
                <w:sz w:val="20"/>
              </w:rPr>
              <w:t>Health check; reports which models are loaded</w:t>
            </w:r>
          </w:p>
        </w:tc>
        <w:tc>
          <w:tcPr>
            <w:tcW w:type="dxa" w:w="2339"/>
          </w:tcPr>
          <w:p>
            <w:r>
              <w:rPr>
                <w:rFonts w:ascii="Times New Roman" w:hAnsi="Times New Roman"/>
                <w:sz w:val="20"/>
              </w:rPr>
              <w:t>JSON: status, models_loaded, models_missing</w:t>
            </w:r>
          </w:p>
        </w:tc>
      </w:tr>
      <w:tr>
        <w:tc>
          <w:tcPr>
            <w:tcW w:type="dxa" w:w="2339"/>
          </w:tcPr>
          <w:p>
            <w:r>
              <w:rPr>
                <w:rFonts w:ascii="Times New Roman" w:hAnsi="Times New Roman"/>
                <w:sz w:val="20"/>
              </w:rPr>
              <w:t>POST /predict</w:t>
            </w:r>
          </w:p>
        </w:tc>
        <w:tc>
          <w:tcPr>
            <w:tcW w:type="dxa" w:w="2339"/>
          </w:tcPr>
          <w:p>
            <w:r>
              <w:rPr>
                <w:rFonts w:ascii="Times New Roman" w:hAnsi="Times New Roman"/>
                <w:sz w:val="20"/>
              </w:rPr>
              <w:t>POST</w:t>
            </w:r>
          </w:p>
        </w:tc>
        <w:tc>
          <w:tcPr>
            <w:tcW w:type="dxa" w:w="2339"/>
          </w:tcPr>
          <w:p>
            <w:r>
              <w:rPr>
                <w:rFonts w:ascii="Times New Roman" w:hAnsi="Times New Roman"/>
                <w:sz w:val="20"/>
              </w:rPr>
              <w:t>Predict STH, Photocurrent, H2 from input parameters</w:t>
            </w:r>
          </w:p>
        </w:tc>
        <w:tc>
          <w:tcPr>
            <w:tcW w:type="dxa" w:w="2339"/>
          </w:tcPr>
          <w:p>
            <w:r>
              <w:rPr>
                <w:rFonts w:ascii="Times New Roman" w:hAnsi="Times New Roman"/>
                <w:sz w:val="20"/>
              </w:rPr>
              <w:t>JSON: three numeric predictions + performance_class</w:t>
            </w:r>
          </w:p>
        </w:tc>
      </w:tr>
      <w:tr>
        <w:tc>
          <w:tcPr>
            <w:tcW w:type="dxa" w:w="2339"/>
          </w:tcPr>
          <w:p>
            <w:r>
              <w:rPr>
                <w:rFonts w:ascii="Times New Roman" w:hAnsi="Times New Roman"/>
                <w:sz w:val="20"/>
              </w:rPr>
              <w:t>GET /dataset</w:t>
            </w:r>
          </w:p>
        </w:tc>
        <w:tc>
          <w:tcPr>
            <w:tcW w:type="dxa" w:w="2339"/>
          </w:tcPr>
          <w:p>
            <w:r>
              <w:rPr>
                <w:rFonts w:ascii="Times New Roman" w:hAnsi="Times New Roman"/>
                <w:sz w:val="20"/>
              </w:rPr>
              <w:t>GET</w:t>
            </w:r>
          </w:p>
        </w:tc>
        <w:tc>
          <w:tcPr>
            <w:tcW w:type="dxa" w:w="2339"/>
          </w:tcPr>
          <w:p>
            <w:r>
              <w:rPr>
                <w:rFonts w:ascii="Times New Roman" w:hAnsi="Times New Roman"/>
                <w:sz w:val="20"/>
              </w:rPr>
              <w:t>Return full clean dataset as JSON array</w:t>
            </w:r>
          </w:p>
        </w:tc>
        <w:tc>
          <w:tcPr>
            <w:tcW w:type="dxa" w:w="2339"/>
          </w:tcPr>
          <w:p>
            <w:r>
              <w:rPr>
                <w:rFonts w:ascii="Times New Roman" w:hAnsi="Times New Roman"/>
                <w:sz w:val="20"/>
              </w:rPr>
              <w:t>JSON array of experiment records</w:t>
            </w:r>
          </w:p>
        </w:tc>
      </w:tr>
    </w:tbl>
    <w:p/>
    <w:p>
      <w:pPr>
        <w:spacing w:lineRule="exact" w:line="360" w:before="0" w:after="120"/>
        <w:ind w:firstLine="709"/>
        <w:jc w:val="both"/>
      </w:pPr>
      <w:r>
        <w:rPr>
          <w:rFonts w:ascii="Times New Roman" w:hAnsi="Times New Roman"/>
          <w:b w:val="0"/>
          <w:i w:val="0"/>
          <w:sz w:val="24"/>
        </w:rPr>
        <w:t>The POST /predict endpoint processes requests through four sequential steps. First, the JSON body is deserialized and validated. Validation checks that all five required fields are present (material, electrolyte, pH, bias, light_source) and that all numeric fields fall within physically defined bounds. Validation failures return HTTP 400 with a structured error list. Second, the material name is normalized: Unicode subscripts (₄→4, ₂→2) are replaced and parenthetical aliases (e.g., '(Bismuth Vanadate)') are stripped, so that 'BiVO₄ (Bismuth Vanadate)' becomes 'BiVO4', matching the training data representation.</w:t>
      </w:r>
    </w:p>
    <w:p>
      <w:pPr>
        <w:spacing w:lineRule="exact" w:line="360" w:before="0" w:after="120"/>
        <w:ind w:firstLine="709"/>
        <w:jc w:val="both"/>
      </w:pPr>
      <w:r>
        <w:rPr>
          <w:rFonts w:ascii="Times New Roman" w:hAnsi="Times New Roman"/>
          <w:b w:val="0"/>
          <w:i w:val="0"/>
          <w:sz w:val="24"/>
        </w:rPr>
        <w:t>Third, for each of the three target models, a single-row DataFrame is constructed matching the training feature schema. Missing optional fields are filled with per-model training medians and most-frequent categorical values stored in the model artifact. Physics-derived features are recomputed at inference time using the same engineer_features() function used during training. Fourth, the sklearn Pipeline's predict() method is called, and the log₁p inverse transform (expm1) is applied for the H₂ model. The result is clipped to non-negative values and rounded to four decimal places.</w:t>
      </w:r>
    </w:p>
    <w:p>
      <w:pPr>
        <w:spacing w:before="40" w:after="40"/>
        <w:ind w:left="850"/>
      </w:pPr>
      <w:r>
        <w:rPr>
          <w:rFonts w:ascii="Courier New" w:hAnsi="Courier New"/>
          <w:sz w:val="18"/>
        </w:rPr>
        <w:t>Request body (minimum):</w:t>
      </w:r>
    </w:p>
    <w:p>
      <w:pPr>
        <w:spacing w:before="40" w:after="40"/>
        <w:ind w:left="850"/>
      </w:pPr>
      <w:r>
        <w:rPr>
          <w:rFonts w:ascii="Courier New" w:hAnsi="Courier New"/>
          <w:sz w:val="18"/>
        </w:rPr>
        <w:t xml:space="preserve">  {"material": "BiVO4", "electrolyte": "KOH",</w:t>
      </w:r>
    </w:p>
    <w:p>
      <w:pPr>
        <w:spacing w:before="40" w:after="40"/>
        <w:ind w:left="850"/>
      </w:pPr>
      <w:r>
        <w:rPr>
          <w:rFonts w:ascii="Courier New" w:hAnsi="Courier New"/>
          <w:sz w:val="18"/>
        </w:rPr>
        <w:t xml:space="preserve">   "pH": 7.0, "bias": 1.23, "light_source": "AM 1.5G"}</w:t>
      </w:r>
    </w:p>
    <w:p>
      <w:pPr>
        <w:spacing w:before="40" w:after="40"/>
        <w:ind w:left="850"/>
      </w:pPr>
      <w:r>
        <w:rPr>
          <w:rFonts w:ascii="Courier New" w:hAnsi="Courier New"/>
          <w:sz w:val="18"/>
        </w:rPr>
      </w:r>
    </w:p>
    <w:p>
      <w:pPr>
        <w:spacing w:before="40" w:after="40"/>
        <w:ind w:left="850"/>
      </w:pPr>
      <w:r>
        <w:rPr>
          <w:rFonts w:ascii="Courier New" w:hAnsi="Courier New"/>
          <w:sz w:val="18"/>
        </w:rPr>
        <w:t>Successful response:</w:t>
      </w:r>
    </w:p>
    <w:p>
      <w:pPr>
        <w:spacing w:before="40" w:after="40"/>
        <w:ind w:left="850"/>
      </w:pPr>
      <w:r>
        <w:rPr>
          <w:rFonts w:ascii="Courier New" w:hAnsi="Courier New"/>
          <w:sz w:val="18"/>
        </w:rPr>
        <w:t xml:space="preserve">  {"status": "ok",</w:t>
      </w:r>
    </w:p>
    <w:p>
      <w:pPr>
        <w:spacing w:before="40" w:after="40"/>
        <w:ind w:left="850"/>
      </w:pPr>
      <w:r>
        <w:rPr>
          <w:rFonts w:ascii="Courier New" w:hAnsi="Courier New"/>
          <w:sz w:val="18"/>
        </w:rPr>
        <w:t xml:space="preserve">   "Photocurrent": 4.2142, "STH": 4.7614, "H2": 33.7634,</w:t>
      </w:r>
    </w:p>
    <w:p>
      <w:pPr>
        <w:spacing w:before="40" w:after="40"/>
        <w:ind w:left="850"/>
      </w:pPr>
      <w:r>
        <w:rPr>
          <w:rFonts w:ascii="Courier New" w:hAnsi="Courier New"/>
          <w:sz w:val="18"/>
        </w:rPr>
        <w:t xml:space="preserve">   "performance_class": "MEDIUM",</w:t>
      </w:r>
    </w:p>
    <w:p>
      <w:pPr>
        <w:spacing w:before="40" w:after="40"/>
        <w:ind w:left="850"/>
      </w:pPr>
      <w:r>
        <w:rPr>
          <w:rFonts w:ascii="Courier New" w:hAnsi="Courier New"/>
          <w:sz w:val="18"/>
        </w:rPr>
        <w:t xml:space="preserve">   "units": {"Photocurrent": "mA/cm²", "STH": "%", "H2": "µmol/h/cm²"}}</w:t>
      </w:r>
    </w:p>
    <w:p>
      <w:pPr>
        <w:spacing w:before="40" w:after="40"/>
        <w:ind w:left="850"/>
      </w:pPr>
      <w:r>
        <w:rPr>
          <w:rFonts w:ascii="Courier New" w:hAnsi="Courier New"/>
          <w:sz w:val="18"/>
        </w:rPr>
      </w:r>
    </w:p>
    <w:p>
      <w:pPr>
        <w:spacing w:before="40" w:after="40"/>
        <w:ind w:left="850"/>
      </w:pPr>
      <w:r>
        <w:rPr>
          <w:rFonts w:ascii="Courier New" w:hAnsi="Courier New"/>
          <w:sz w:val="18"/>
        </w:rPr>
        <w:t>Error response (missing fields):</w:t>
      </w:r>
    </w:p>
    <w:p>
      <w:pPr>
        <w:spacing w:before="40" w:after="40"/>
        <w:ind w:left="850"/>
      </w:pPr>
      <w:r>
        <w:rPr>
          <w:rFonts w:ascii="Courier New" w:hAnsi="Courier New"/>
          <w:sz w:val="18"/>
        </w:rPr>
        <w:t xml:space="preserve">  {"status": "error", "message": "Validation failed",</w:t>
      </w:r>
    </w:p>
    <w:p>
      <w:pPr>
        <w:spacing w:before="40" w:after="40"/>
        <w:ind w:left="850"/>
      </w:pPr>
      <w:r>
        <w:rPr>
          <w:rFonts w:ascii="Courier New" w:hAnsi="Courier New"/>
          <w:sz w:val="18"/>
        </w:rPr>
        <w:t xml:space="preserve">   "details": ["'pH' is required.", "'bias' is required."]}</w:t>
      </w:r>
    </w:p>
    <w:p>
      <w:pPr>
        <w:spacing w:lineRule="exact" w:line="360" w:before="0" w:after="120"/>
        <w:ind w:firstLine="709"/>
        <w:jc w:val="both"/>
      </w:pPr>
      <w:r>
        <w:rPr>
          <w:rFonts w:ascii="Times New Roman" w:hAnsi="Times New Roman"/>
          <w:b w:val="0"/>
          <w:i w:val="0"/>
          <w:sz w:val="24"/>
        </w:rPr>
        <w:t>Performance class thresholds (based on photocurrent quartiles in the training dataset): HIGH if photocurrent ≥ 8 mA/cm²; MEDIUM if 3 ≤ photocurrent &lt; 8 mA/cm²; LOW if photocurrent &lt; 3 mA/cm². These thresholds correspond approximately to the upper quartile, interquartile range, and lower range of the photocurrent distribution in the literature dataset.</w:t>
      </w:r>
    </w:p>
    <w:p>
      <w:pPr>
        <w:spacing w:before="240" w:after="120" w:lineRule="exact" w:line="360"/>
        <w:jc w:val="left"/>
      </w:pPr>
      <w:r>
        <w:rPr>
          <w:rFonts w:ascii="Times New Roman" w:hAnsi="Times New Roman"/>
          <w:b/>
          <w:sz w:val="26"/>
        </w:rPr>
        <w:t>3.6 Frontend Interface Design</w:t>
      </w:r>
    </w:p>
    <w:p>
      <w:pPr>
        <w:spacing w:lineRule="exact" w:line="360" w:before="0" w:after="120"/>
        <w:ind w:firstLine="709"/>
        <w:jc w:val="both"/>
      </w:pPr>
      <w:r>
        <w:rPr>
          <w:rFonts w:ascii="Times New Roman" w:hAnsi="Times New Roman"/>
          <w:b w:val="0"/>
          <w:i w:val="0"/>
          <w:sz w:val="24"/>
        </w:rPr>
        <w:t>Two frontend implementations are provided to serve different user needs and deployment contexts. Both implement identical prediction functionality and communicate with the same backend API, ensuring feature parity.</w:t>
      </w:r>
    </w:p>
    <w:p>
      <w:pPr>
        <w:spacing w:lineRule="exact" w:line="360" w:before="0" w:after="120"/>
        <w:ind w:firstLine="709"/>
        <w:jc w:val="both"/>
      </w:pPr>
      <w:r>
        <w:rPr>
          <w:rFonts w:ascii="Times New Roman" w:hAnsi="Times New Roman"/>
          <w:b w:val="0"/>
          <w:i w:val="0"/>
          <w:sz w:val="24"/>
        </w:rPr>
        <w:t>The standalone HTML frontend (frontend/index.html) is a single self-contained file that requires no build tools, package managers, or internet connection beyond a browser. It implements four pages via client-side hash routing: the Dashboard page provides a simplified 5-field quick prediction form for first-time users; the Predict page provides the full 12-field form with all optional parameters; the Results page displays three metric cards with predicted values, units, and a color-coded performance class badge; and the About page shows model CV scores and dataset statistics. Asynchronous HTTP communication is implemented using the native Fetch API (fetch()), avoiding any external dependencies.</w:t>
      </w:r>
    </w:p>
    <w:p>
      <w:pPr>
        <w:spacing w:lineRule="exact" w:line="360" w:before="0" w:after="120"/>
        <w:ind w:firstLine="709"/>
        <w:jc w:val="both"/>
      </w:pPr>
      <w:r>
        <w:rPr>
          <w:rFonts w:ascii="Times New Roman" w:hAnsi="Times New Roman"/>
          <w:b w:val="0"/>
          <w:i w:val="0"/>
          <w:sz w:val="24"/>
        </w:rPr>
        <w:t>The React SPA frontend (Diploma/pec-dashboard/) is built with React 19 and the Vite 8 build tool. It implements the same functional interface with an enhanced visual design based on CSS variables for theming and a card-based layout. Component state is managed via React hooks (useState, useEffect). The backend API URL is configured through a .env file (VITE_API_URL=http://localhost:5001), which Vite injects at build time. Material and electrolyte names entered by users are cleaned with JavaScript utility functions that perform the same Unicode normalization as the backend — replacing subscript digits (₀₁₂₃₄₅₆₇₈₉ → 0–9) and stripping parenthetical aliases — to ensure consistent matching against training data categories.</w:t>
      </w:r>
    </w:p>
    <w:p>
      <w:pPr>
        <w:spacing w:before="240" w:after="120" w:lineRule="exact" w:line="360"/>
        <w:jc w:val="left"/>
      </w:pPr>
      <w:r>
        <w:rPr>
          <w:rFonts w:ascii="Times New Roman" w:hAnsi="Times New Roman"/>
          <w:b/>
          <w:sz w:val="26"/>
        </w:rPr>
        <w:t>3.7 UML Diagrams</w:t>
      </w:r>
    </w:p>
    <w:p>
      <w:pPr>
        <w:spacing w:before="160" w:after="80" w:lineRule="exact" w:line="360"/>
        <w:jc w:val="left"/>
      </w:pPr>
      <w:r>
        <w:rPr>
          <w:rFonts w:ascii="Times New Roman" w:hAnsi="Times New Roman"/>
          <w:b/>
          <w:i/>
          <w:sz w:val="24"/>
        </w:rPr>
        <w:t>3.7.1 Use Case Diagram</w:t>
      </w:r>
    </w:p>
    <w:p>
      <w:pPr>
        <w:spacing w:lineRule="exact" w:line="360" w:before="0" w:after="120"/>
        <w:ind w:firstLine="709"/>
        <w:jc w:val="both"/>
      </w:pPr>
      <w:r>
        <w:rPr>
          <w:rFonts w:ascii="Times New Roman" w:hAnsi="Times New Roman"/>
          <w:b w:val="0"/>
          <w:i w:val="0"/>
          <w:sz w:val="24"/>
        </w:rPr>
        <w:t>The use case diagram (Figure 2) identifies the primary actors and their interactions with the system. The researcher is the primary actor with three main use cases: Submit Prediction Request, View Prediction Results, and Browse Dataset. The system actor (backend API) handles request validation, model inference, and data retrieval.</w:t>
      </w:r>
    </w:p>
    <w:p>
      <w:pPr>
        <w:spacing w:before="40" w:after="40"/>
        <w:ind w:left="850"/>
      </w:pPr>
      <w:r>
        <w:rPr>
          <w:rFonts w:ascii="Courier New" w:hAnsi="Courier New"/>
          <w:sz w:val="18"/>
        </w:rPr>
        <w:t xml:space="preserve">                ┌────────────────────────────────────────────┐</w:t>
      </w:r>
    </w:p>
    <w:p>
      <w:pPr>
        <w:spacing w:before="40" w:after="40"/>
        <w:ind w:left="850"/>
      </w:pPr>
      <w:r>
        <w:rPr>
          <w:rFonts w:ascii="Courier New" w:hAnsi="Courier New"/>
          <w:sz w:val="18"/>
        </w:rPr>
        <w:t xml:space="preserve">                │           PEC-ML System                    │</w:t>
      </w:r>
    </w:p>
    <w:p>
      <w:pPr>
        <w:spacing w:before="40" w:after="40"/>
        <w:ind w:left="850"/>
      </w:pPr>
      <w:r>
        <w:rPr>
          <w:rFonts w:ascii="Courier New" w:hAnsi="Courier New"/>
          <w:sz w:val="18"/>
        </w:rPr>
        <w:t xml:space="preserve">                │                                            │</w:t>
      </w:r>
    </w:p>
    <w:p>
      <w:pPr>
        <w:spacing w:before="40" w:after="40"/>
        <w:ind w:left="850"/>
      </w:pPr>
      <w:r>
        <w:rPr>
          <w:rFonts w:ascii="Courier New" w:hAnsi="Courier New"/>
          <w:sz w:val="18"/>
        </w:rPr>
        <w:t>┌──────────┐   │  ┌──────────────────────────┐              │</w:t>
      </w:r>
    </w:p>
    <w:p>
      <w:pPr>
        <w:spacing w:before="40" w:after="40"/>
        <w:ind w:left="850"/>
      </w:pPr>
      <w:r>
        <w:rPr>
          <w:rFonts w:ascii="Courier New" w:hAnsi="Courier New"/>
          <w:sz w:val="18"/>
        </w:rPr>
        <w:t>│Researcher │──────│ Submit Prediction Request │              │</w:t>
      </w:r>
    </w:p>
    <w:p>
      <w:pPr>
        <w:spacing w:before="40" w:after="40"/>
        <w:ind w:left="850"/>
      </w:pPr>
      <w:r>
        <w:rPr>
          <w:rFonts w:ascii="Courier New" w:hAnsi="Courier New"/>
          <w:sz w:val="18"/>
        </w:rPr>
        <w:t>│  (User)   │   │  └──────────────────────────┘              │</w:t>
      </w:r>
    </w:p>
    <w:p>
      <w:pPr>
        <w:spacing w:before="40" w:after="40"/>
        <w:ind w:left="850"/>
      </w:pPr>
      <w:r>
        <w:rPr>
          <w:rFonts w:ascii="Courier New" w:hAnsi="Courier New"/>
          <w:sz w:val="18"/>
        </w:rPr>
        <w:t>│           │   │                                            │</w:t>
      </w:r>
    </w:p>
    <w:p>
      <w:pPr>
        <w:spacing w:before="40" w:after="40"/>
        <w:ind w:left="850"/>
      </w:pPr>
      <w:r>
        <w:rPr>
          <w:rFonts w:ascii="Courier New" w:hAnsi="Courier New"/>
          <w:sz w:val="18"/>
        </w:rPr>
        <w:t>│           │──────┤  ┌──────────────────────┐              │</w:t>
      </w:r>
    </w:p>
    <w:p>
      <w:pPr>
        <w:spacing w:before="40" w:after="40"/>
        <w:ind w:left="850"/>
      </w:pPr>
      <w:r>
        <w:rPr>
          <w:rFonts w:ascii="Courier New" w:hAnsi="Courier New"/>
          <w:sz w:val="18"/>
        </w:rPr>
        <w:t>│           │   │  │ View Prediction Results │              │</w:t>
      </w:r>
    </w:p>
    <w:p>
      <w:pPr>
        <w:spacing w:before="40" w:after="40"/>
        <w:ind w:left="850"/>
      </w:pPr>
      <w:r>
        <w:rPr>
          <w:rFonts w:ascii="Courier New" w:hAnsi="Courier New"/>
          <w:sz w:val="18"/>
        </w:rPr>
        <w:t>│           │   │  └──────────────────────┘                 │</w:t>
      </w:r>
    </w:p>
    <w:p>
      <w:pPr>
        <w:spacing w:before="40" w:after="40"/>
        <w:ind w:left="850"/>
      </w:pPr>
      <w:r>
        <w:rPr>
          <w:rFonts w:ascii="Courier New" w:hAnsi="Courier New"/>
          <w:sz w:val="18"/>
        </w:rPr>
        <w:t>│           │   │                                            │</w:t>
      </w:r>
    </w:p>
    <w:p>
      <w:pPr>
        <w:spacing w:before="40" w:after="40"/>
        <w:ind w:left="850"/>
      </w:pPr>
      <w:r>
        <w:rPr>
          <w:rFonts w:ascii="Courier New" w:hAnsi="Courier New"/>
          <w:sz w:val="18"/>
        </w:rPr>
        <w:t>│           │──────┤  ┌────────────────────┐                │</w:t>
      </w:r>
    </w:p>
    <w:p>
      <w:pPr>
        <w:spacing w:before="40" w:after="40"/>
        <w:ind w:left="850"/>
      </w:pPr>
      <w:r>
        <w:rPr>
          <w:rFonts w:ascii="Courier New" w:hAnsi="Courier New"/>
          <w:sz w:val="18"/>
        </w:rPr>
        <w:t>└──────────┘   │  │  Browse Dataset       │                 │</w:t>
      </w:r>
    </w:p>
    <w:p>
      <w:pPr>
        <w:spacing w:before="40" w:after="40"/>
        <w:ind w:left="850"/>
      </w:pPr>
      <w:r>
        <w:rPr>
          <w:rFonts w:ascii="Courier New" w:hAnsi="Courier New"/>
          <w:sz w:val="18"/>
        </w:rPr>
        <w:t xml:space="preserve">                │  └────────────────────┘                   │</w:t>
      </w:r>
    </w:p>
    <w:p>
      <w:pPr>
        <w:spacing w:before="40" w:after="40"/>
        <w:ind w:left="850"/>
      </w:pPr>
      <w:r>
        <w:rPr>
          <w:rFonts w:ascii="Courier New" w:hAnsi="Courier New"/>
          <w:sz w:val="18"/>
        </w:rPr>
        <w:t xml:space="preserve">                └────────────────────────────────────────────┘</w:t>
      </w:r>
    </w:p>
    <w:p>
      <w:pPr>
        <w:spacing w:lineRule="exact" w:line="360" w:before="0" w:after="200"/>
        <w:jc w:val="center"/>
      </w:pPr>
      <w:r>
        <w:rPr>
          <w:rFonts w:ascii="Times New Roman" w:hAnsi="Times New Roman"/>
          <w:b w:val="0"/>
          <w:i/>
          <w:sz w:val="24"/>
        </w:rPr>
        <w:t>Figure 2. Use Case Diagram.</w:t>
      </w:r>
    </w:p>
    <w:p>
      <w:pPr>
        <w:spacing w:before="160" w:after="80" w:lineRule="exact" w:line="360"/>
        <w:jc w:val="left"/>
      </w:pPr>
      <w:r>
        <w:rPr>
          <w:rFonts w:ascii="Times New Roman" w:hAnsi="Times New Roman"/>
          <w:b/>
          <w:i/>
          <w:sz w:val="24"/>
        </w:rPr>
        <w:t>3.7.2 Sequence Diagram — Prediction Request Flow</w:t>
      </w:r>
    </w:p>
    <w:p>
      <w:pPr>
        <w:spacing w:lineRule="exact" w:line="360" w:before="0" w:after="120"/>
        <w:ind w:firstLine="709"/>
        <w:jc w:val="both"/>
      </w:pPr>
      <w:r>
        <w:rPr>
          <w:rFonts w:ascii="Times New Roman" w:hAnsi="Times New Roman"/>
          <w:b w:val="0"/>
          <w:i w:val="0"/>
          <w:sz w:val="24"/>
        </w:rPr>
        <w:t>Figure 3 shows the sequence of interactions for a successful prediction request. The user fills the form and submits; the frontend validates that required fields are non-empty, then sends an HTTP POST to the backend. The backend validates the JSON body, builds the inference row for each model, calls predict(), and returns a unified JSON response. The frontend receives the response and navigates to the Results page, populating the three metric cards.</w:t>
      </w:r>
    </w:p>
    <w:p>
      <w:pPr>
        <w:spacing w:before="40" w:after="40"/>
        <w:ind w:left="850"/>
      </w:pPr>
      <w:r>
        <w:rPr>
          <w:rFonts w:ascii="Courier New" w:hAnsi="Courier New"/>
          <w:sz w:val="18"/>
        </w:rPr>
        <w:t>User        Frontend        Backend API        Models</w:t>
      </w:r>
    </w:p>
    <w:p>
      <w:pPr>
        <w:spacing w:before="40" w:after="40"/>
        <w:ind w:left="850"/>
      </w:pPr>
      <w:r>
        <w:rPr>
          <w:rFonts w:ascii="Courier New" w:hAnsi="Courier New"/>
          <w:sz w:val="18"/>
        </w:rPr>
        <w:t xml:space="preserve"> │              │                │                │</w:t>
      </w:r>
    </w:p>
    <w:p>
      <w:pPr>
        <w:spacing w:before="40" w:after="40"/>
        <w:ind w:left="850"/>
      </w:pPr>
      <w:r>
        <w:rPr>
          <w:rFonts w:ascii="Courier New" w:hAnsi="Courier New"/>
          <w:sz w:val="18"/>
        </w:rPr>
        <w:t xml:space="preserve"> │──fill form──►│                │                │</w:t>
      </w:r>
    </w:p>
    <w:p>
      <w:pPr>
        <w:spacing w:before="40" w:after="40"/>
        <w:ind w:left="850"/>
      </w:pPr>
      <w:r>
        <w:rPr>
          <w:rFonts w:ascii="Courier New" w:hAnsi="Courier New"/>
          <w:sz w:val="18"/>
        </w:rPr>
        <w:t xml:space="preserve"> │──submit──────►                │                │</w:t>
      </w:r>
    </w:p>
    <w:p>
      <w:pPr>
        <w:spacing w:before="40" w:after="40"/>
        <w:ind w:left="850"/>
      </w:pPr>
      <w:r>
        <w:rPr>
          <w:rFonts w:ascii="Courier New" w:hAnsi="Courier New"/>
          <w:sz w:val="18"/>
        </w:rPr>
        <w:t xml:space="preserve">               │──POST /predict─►│                │</w:t>
      </w:r>
    </w:p>
    <w:p>
      <w:pPr>
        <w:spacing w:before="40" w:after="40"/>
        <w:ind w:left="850"/>
      </w:pPr>
      <w:r>
        <w:rPr>
          <w:rFonts w:ascii="Courier New" w:hAnsi="Courier New"/>
          <w:sz w:val="18"/>
        </w:rPr>
        <w:t xml:space="preserve">               │  {JSON body}    │                │</w:t>
      </w:r>
    </w:p>
    <w:p>
      <w:pPr>
        <w:spacing w:before="40" w:after="40"/>
        <w:ind w:left="850"/>
      </w:pPr>
      <w:r>
        <w:rPr>
          <w:rFonts w:ascii="Courier New" w:hAnsi="Courier New"/>
          <w:sz w:val="18"/>
        </w:rPr>
        <w:t xml:space="preserve">               │                │──_validate()──  │</w:t>
      </w:r>
    </w:p>
    <w:p>
      <w:pPr>
        <w:spacing w:before="40" w:after="40"/>
        <w:ind w:left="850"/>
      </w:pPr>
      <w:r>
        <w:rPr>
          <w:rFonts w:ascii="Courier New" w:hAnsi="Courier New"/>
          <w:sz w:val="18"/>
        </w:rPr>
        <w:t xml:space="preserve">               │                │──_build_row()── │</w:t>
      </w:r>
    </w:p>
    <w:p>
      <w:pPr>
        <w:spacing w:before="40" w:after="40"/>
        <w:ind w:left="850"/>
      </w:pPr>
      <w:r>
        <w:rPr>
          <w:rFonts w:ascii="Courier New" w:hAnsi="Courier New"/>
          <w:sz w:val="18"/>
        </w:rPr>
        <w:t xml:space="preserve">               │                │──predict()─────►│</w:t>
      </w:r>
    </w:p>
    <w:p>
      <w:pPr>
        <w:spacing w:before="40" w:after="40"/>
        <w:ind w:left="850"/>
      </w:pPr>
      <w:r>
        <w:rPr>
          <w:rFonts w:ascii="Courier New" w:hAnsi="Courier New"/>
          <w:sz w:val="18"/>
        </w:rPr>
        <w:t xml:space="preserve">               │                │◄── predictions ─│</w:t>
      </w:r>
    </w:p>
    <w:p>
      <w:pPr>
        <w:spacing w:before="40" w:after="40"/>
        <w:ind w:left="850"/>
      </w:pPr>
      <w:r>
        <w:rPr>
          <w:rFonts w:ascii="Courier New" w:hAnsi="Courier New"/>
          <w:sz w:val="18"/>
        </w:rPr>
        <w:t xml:space="preserve">               │◄─── 200 JSON ──│                │</w:t>
      </w:r>
    </w:p>
    <w:p>
      <w:pPr>
        <w:spacing w:before="40" w:after="40"/>
        <w:ind w:left="850"/>
      </w:pPr>
      <w:r>
        <w:rPr>
          <w:rFonts w:ascii="Courier New" w:hAnsi="Courier New"/>
          <w:sz w:val="18"/>
        </w:rPr>
        <w:t xml:space="preserve">               │ (PC, STH, H2)  │                │</w:t>
      </w:r>
    </w:p>
    <w:p>
      <w:pPr>
        <w:spacing w:before="40" w:after="40"/>
        <w:ind w:left="850"/>
      </w:pPr>
      <w:r>
        <w:rPr>
          <w:rFonts w:ascii="Courier New" w:hAnsi="Courier New"/>
          <w:sz w:val="18"/>
        </w:rPr>
        <w:t xml:space="preserve"> │◄─results page│                │                │</w:t>
      </w:r>
    </w:p>
    <w:p>
      <w:pPr>
        <w:spacing w:lineRule="exact" w:line="360" w:before="0" w:after="200"/>
        <w:jc w:val="center"/>
      </w:pPr>
      <w:r>
        <w:rPr>
          <w:rFonts w:ascii="Times New Roman" w:hAnsi="Times New Roman"/>
          <w:b w:val="0"/>
          <w:i/>
          <w:sz w:val="24"/>
        </w:rPr>
        <w:t>Figure 3. Sequence Diagram for POST /predict.</w:t>
      </w:r>
    </w:p>
    <w:p>
      <w:pPr>
        <w:spacing w:before="160" w:after="80" w:lineRule="exact" w:line="360"/>
        <w:jc w:val="left"/>
      </w:pPr>
      <w:r>
        <w:rPr>
          <w:rFonts w:ascii="Times New Roman" w:hAnsi="Times New Roman"/>
          <w:b/>
          <w:i/>
          <w:sz w:val="24"/>
        </w:rPr>
        <w:t>3.7.3 Component Diagram</w:t>
      </w:r>
    </w:p>
    <w:p>
      <w:pPr>
        <w:spacing w:lineRule="exact" w:line="360" w:before="0" w:after="120"/>
        <w:ind w:firstLine="709"/>
        <w:jc w:val="both"/>
      </w:pPr>
      <w:r>
        <w:rPr>
          <w:rFonts w:ascii="Times New Roman" w:hAnsi="Times New Roman"/>
          <w:b w:val="0"/>
          <w:i w:val="0"/>
          <w:sz w:val="24"/>
        </w:rPr>
        <w:t>Figure 4 shows the component dependencies in the system. The preprocessing module (utils/preprocessing.py) is a shared dependency used by both train.py and app.py, ensuring that feature engineering at inference time is identical to that used during training. The model artifacts are the only persistent bridge between the training and inference phases.</w:t>
      </w:r>
    </w:p>
    <w:p>
      <w:pPr>
        <w:spacing w:before="40" w:after="40"/>
        <w:ind w:left="850"/>
      </w:pPr>
      <w:r>
        <w:rPr>
          <w:rFonts w:ascii="Courier New" w:hAnsi="Courier New"/>
          <w:sz w:val="18"/>
        </w:rPr>
        <w:t>┌──────────────┐      ┌──────────────────┐</w:t>
      </w:r>
    </w:p>
    <w:p>
      <w:pPr>
        <w:spacing w:before="40" w:after="40"/>
        <w:ind w:left="850"/>
      </w:pPr>
      <w:r>
        <w:rPr>
          <w:rFonts w:ascii="Courier New" w:hAnsi="Courier New"/>
          <w:sz w:val="18"/>
        </w:rPr>
        <w:t>│  train.py    │─────►│  model_pc.pkl    │</w:t>
      </w:r>
    </w:p>
    <w:p>
      <w:pPr>
        <w:spacing w:before="40" w:after="40"/>
        <w:ind w:left="850"/>
      </w:pPr>
      <w:r>
        <w:rPr>
          <w:rFonts w:ascii="Courier New" w:hAnsi="Courier New"/>
          <w:sz w:val="18"/>
        </w:rPr>
        <w:t>│              │─────►│  model_sth.pkl   │</w:t>
      </w:r>
    </w:p>
    <w:p>
      <w:pPr>
        <w:spacing w:before="40" w:after="40"/>
        <w:ind w:left="850"/>
      </w:pPr>
      <w:r>
        <w:rPr>
          <w:rFonts w:ascii="Courier New" w:hAnsi="Courier New"/>
          <w:sz w:val="18"/>
        </w:rPr>
        <w:t>│              │─────►│  model_h2.pkl    │</w:t>
      </w:r>
    </w:p>
    <w:p>
      <w:pPr>
        <w:spacing w:before="40" w:after="40"/>
        <w:ind w:left="850"/>
      </w:pPr>
      <w:r>
        <w:rPr>
          <w:rFonts w:ascii="Courier New" w:hAnsi="Courier New"/>
          <w:sz w:val="18"/>
        </w:rPr>
        <w:t>└──────┬───────┘      └────────┬─────────┘</w:t>
      </w:r>
    </w:p>
    <w:p>
      <w:pPr>
        <w:spacing w:before="40" w:after="40"/>
        <w:ind w:left="850"/>
      </w:pPr>
      <w:r>
        <w:rPr>
          <w:rFonts w:ascii="Courier New" w:hAnsi="Courier New"/>
          <w:sz w:val="18"/>
        </w:rPr>
        <w:t xml:space="preserve">       │                        │</w:t>
      </w:r>
    </w:p>
    <w:p>
      <w:pPr>
        <w:spacing w:before="40" w:after="40"/>
        <w:ind w:left="850"/>
      </w:pPr>
      <w:r>
        <w:rPr>
          <w:rFonts w:ascii="Courier New" w:hAnsi="Courier New"/>
          <w:sz w:val="18"/>
        </w:rPr>
        <w:t xml:space="preserve">       ▼                        ▼</w:t>
      </w:r>
    </w:p>
    <w:p>
      <w:pPr>
        <w:spacing w:before="40" w:after="40"/>
        <w:ind w:left="850"/>
      </w:pPr>
      <w:r>
        <w:rPr>
          <w:rFonts w:ascii="Courier New" w:hAnsi="Courier New"/>
          <w:sz w:val="18"/>
        </w:rPr>
        <w:t>┌──────────────────┐   ┌───────────────┐</w:t>
      </w:r>
    </w:p>
    <w:p>
      <w:pPr>
        <w:spacing w:before="40" w:after="40"/>
        <w:ind w:left="850"/>
      </w:pPr>
      <w:r>
        <w:rPr>
          <w:rFonts w:ascii="Courier New" w:hAnsi="Courier New"/>
          <w:sz w:val="18"/>
        </w:rPr>
        <w:t>│ preprocessing.py │   │   app.py      │</w:t>
      </w:r>
    </w:p>
    <w:p>
      <w:pPr>
        <w:spacing w:before="40" w:after="40"/>
        <w:ind w:left="850"/>
      </w:pPr>
      <w:r>
        <w:rPr>
          <w:rFonts w:ascii="Courier New" w:hAnsi="Courier New"/>
          <w:sz w:val="18"/>
        </w:rPr>
        <w:t>│ - load_and_map() │◄──│ - /predict    │</w:t>
      </w:r>
    </w:p>
    <w:p>
      <w:pPr>
        <w:spacing w:before="40" w:after="40"/>
        <w:ind w:left="850"/>
      </w:pPr>
      <w:r>
        <w:rPr>
          <w:rFonts w:ascii="Courier New" w:hAnsi="Courier New"/>
          <w:sz w:val="18"/>
        </w:rPr>
        <w:t>│ - clean_data()   │   │ - /dataset    │</w:t>
      </w:r>
    </w:p>
    <w:p>
      <w:pPr>
        <w:spacing w:before="40" w:after="40"/>
        <w:ind w:left="850"/>
      </w:pPr>
      <w:r>
        <w:rPr>
          <w:rFonts w:ascii="Courier New" w:hAnsi="Courier New"/>
          <w:sz w:val="18"/>
        </w:rPr>
        <w:t>│ - engineer_feat()│   │ - /           │</w:t>
      </w:r>
    </w:p>
    <w:p>
      <w:pPr>
        <w:spacing w:before="40" w:after="40"/>
        <w:ind w:left="850"/>
      </w:pPr>
      <w:r>
        <w:rPr>
          <w:rFonts w:ascii="Courier New" w:hAnsi="Courier New"/>
          <w:sz w:val="18"/>
        </w:rPr>
        <w:t>│ - build_preproc()│   └───────┬───────┘</w:t>
      </w:r>
    </w:p>
    <w:p>
      <w:pPr>
        <w:spacing w:before="40" w:after="40"/>
        <w:ind w:left="850"/>
      </w:pPr>
      <w:r>
        <w:rPr>
          <w:rFonts w:ascii="Courier New" w:hAnsi="Courier New"/>
          <w:sz w:val="18"/>
        </w:rPr>
        <w:t>└──────────────────┘           │ HTTP/JSON</w:t>
      </w:r>
    </w:p>
    <w:p>
      <w:pPr>
        <w:spacing w:before="40" w:after="40"/>
        <w:ind w:left="850"/>
      </w:pPr>
      <w:r>
        <w:rPr>
          <w:rFonts w:ascii="Courier New" w:hAnsi="Courier New"/>
          <w:sz w:val="18"/>
        </w:rPr>
        <w:t xml:space="preserve">                        ┌──────▼──────┐</w:t>
      </w:r>
    </w:p>
    <w:p>
      <w:pPr>
        <w:spacing w:before="40" w:after="40"/>
        <w:ind w:left="850"/>
      </w:pPr>
      <w:r>
        <w:rPr>
          <w:rFonts w:ascii="Courier New" w:hAnsi="Courier New"/>
          <w:sz w:val="18"/>
        </w:rPr>
        <w:t xml:space="preserve">                        │  Frontend   │</w:t>
      </w:r>
    </w:p>
    <w:p>
      <w:pPr>
        <w:spacing w:before="40" w:after="40"/>
        <w:ind w:left="850"/>
      </w:pPr>
      <w:r>
        <w:rPr>
          <w:rFonts w:ascii="Courier New" w:hAnsi="Courier New"/>
          <w:sz w:val="18"/>
        </w:rPr>
        <w:t xml:space="preserve">                        │  (HTML/React│</w:t>
      </w:r>
    </w:p>
    <w:p>
      <w:pPr>
        <w:spacing w:before="40" w:after="40"/>
        <w:ind w:left="850"/>
      </w:pPr>
      <w:r>
        <w:rPr>
          <w:rFonts w:ascii="Courier New" w:hAnsi="Courier New"/>
          <w:sz w:val="18"/>
        </w:rPr>
        <w:t xml:space="preserve">                        └─────────────┘</w:t>
      </w:r>
    </w:p>
    <w:p>
      <w:pPr>
        <w:spacing w:lineRule="exact" w:line="360" w:before="0" w:after="200"/>
        <w:jc w:val="center"/>
      </w:pPr>
      <w:r>
        <w:rPr>
          <w:rFonts w:ascii="Times New Roman" w:hAnsi="Times New Roman"/>
          <w:b w:val="0"/>
          <w:i/>
          <w:sz w:val="24"/>
        </w:rPr>
        <w:t>Figure 4. Component Dependency Diagram.</w:t>
      </w:r>
    </w:p>
    <w:p>
      <w:pPr>
        <w:spacing w:before="240" w:after="120" w:lineRule="exact" w:line="360"/>
        <w:jc w:val="left"/>
      </w:pPr>
      <w:r>
        <w:rPr>
          <w:rFonts w:ascii="Times New Roman" w:hAnsi="Times New Roman"/>
          <w:b/>
          <w:sz w:val="26"/>
        </w:rPr>
        <w:t>3.8 Implementation Details</w:t>
      </w:r>
    </w:p>
    <w:p>
      <w:pPr>
        <w:spacing w:lineRule="exact" w:line="360" w:before="0" w:after="120"/>
        <w:ind w:firstLine="709"/>
        <w:jc w:val="both"/>
      </w:pPr>
      <w:r>
        <w:rPr>
          <w:rFonts w:ascii="Times New Roman" w:hAnsi="Times New Roman"/>
          <w:b w:val="0"/>
          <w:i w:val="0"/>
          <w:sz w:val="24"/>
        </w:rPr>
        <w:t>This section describes the key implementation decisions made during development and the rationale behind each choice.</w:t>
      </w:r>
    </w:p>
    <w:p>
      <w:pPr>
        <w:spacing w:before="160" w:after="80" w:lineRule="exact" w:line="360"/>
        <w:jc w:val="left"/>
      </w:pPr>
      <w:r>
        <w:rPr>
          <w:rFonts w:ascii="Times New Roman" w:hAnsi="Times New Roman"/>
          <w:b/>
          <w:i/>
          <w:sz w:val="24"/>
        </w:rPr>
        <w:t>3.8.1 Preprocessing Module Design</w:t>
      </w:r>
    </w:p>
    <w:p>
      <w:pPr>
        <w:spacing w:lineRule="exact" w:line="360" w:before="0" w:after="120"/>
        <w:ind w:firstLine="709"/>
        <w:jc w:val="both"/>
      </w:pPr>
      <w:r>
        <w:rPr>
          <w:rFonts w:ascii="Times New Roman" w:hAnsi="Times New Roman"/>
          <w:b w:val="0"/>
          <w:i w:val="0"/>
          <w:sz w:val="24"/>
        </w:rPr>
        <w:t>The preprocessing module is implemented as a pure-function library (no global state) that can be imported by both training and inference code. The key design decision is that engineer_features() is called at both training time (on the full dataset) and inference time (on the single-row DataFrame constructed from the API request). This ensures that derived features such as photon_energy = 1240 / bandgap are always computed from the same formula, rather than being pre-computed constants stored in the artifact. If bandgap is missing at inference time, the median value is used before engineer_features() is applied, so the derived features are always finite.</w:t>
      </w:r>
    </w:p>
    <w:p>
      <w:pPr>
        <w:spacing w:before="160" w:after="80" w:lineRule="exact" w:line="360"/>
        <w:jc w:val="left"/>
      </w:pPr>
      <w:r>
        <w:rPr>
          <w:rFonts w:ascii="Times New Roman" w:hAnsi="Times New Roman"/>
          <w:b/>
          <w:i/>
          <w:sz w:val="24"/>
        </w:rPr>
        <w:t>3.8.2 Model Artifact Structure</w:t>
      </w:r>
    </w:p>
    <w:p>
      <w:pPr>
        <w:spacing w:lineRule="exact" w:line="360" w:before="0" w:after="120"/>
        <w:ind w:firstLine="709"/>
        <w:jc w:val="both"/>
      </w:pPr>
      <w:r>
        <w:rPr>
          <w:rFonts w:ascii="Times New Roman" w:hAnsi="Times New Roman"/>
          <w:b w:val="0"/>
          <w:i w:val="0"/>
          <w:sz w:val="24"/>
        </w:rPr>
        <w:t>Each saved artifact is a Python dictionary serialized with joblib. Storing all inference metadata in the artifact — rather than in separate configuration files — ensures that each model is self-contained and can be loaded and used without external dependencies. The artifact contains: the fitted sklearn Pipeline; the ordered list of numeric and categorical feature columns; the target column name; the optional target transform type; cross-validation performance metrics; dataset medians for numeric imputation; and dataset modes for categorical imputation.</w:t>
      </w:r>
    </w:p>
    <w:p>
      <w:pPr>
        <w:spacing w:before="160" w:after="80" w:lineRule="exact" w:line="360"/>
        <w:jc w:val="left"/>
      </w:pPr>
      <w:r>
        <w:rPr>
          <w:rFonts w:ascii="Times New Roman" w:hAnsi="Times New Roman"/>
          <w:b/>
          <w:i/>
          <w:sz w:val="24"/>
        </w:rPr>
        <w:t>3.8.3 React Frontend Architecture</w:t>
      </w:r>
    </w:p>
    <w:p>
      <w:pPr>
        <w:spacing w:lineRule="exact" w:line="360" w:before="0" w:after="120"/>
        <w:ind w:firstLine="709"/>
        <w:jc w:val="both"/>
      </w:pPr>
      <w:r>
        <w:rPr>
          <w:rFonts w:ascii="Times New Roman" w:hAnsi="Times New Roman"/>
          <w:b w:val="0"/>
          <w:i w:val="0"/>
          <w:sz w:val="24"/>
        </w:rPr>
        <w:t>The React SPA is organized as a single App.jsx component with page-based conditional rendering controlled by a 'page' state variable. This avoids the complexity of a client-side router library while maintaining clear page separation. Prediction results are stored in a 'backendResult' state variable (the raw API response) and displayed on the Results page. The prediction function applies Unicode normalization to the material and electrolyte fields before sending the API request, handling the common case where users copy material names from scientific papers that use subscript Unicode notation. The React build produces a 209 kB production bundle (64 kB gzipped), suitable for serving over standard web infrastructure.</w:t>
      </w:r>
    </w:p>
    <w:p>
      <w:r>
        <w:br w:type="page"/>
      </w:r>
    </w:p>
    <w:p>
      <w:pPr>
        <w:spacing w:before="360" w:after="200" w:lineRule="exact" w:line="360"/>
        <w:jc w:val="left"/>
      </w:pPr>
      <w:r>
        <w:rPr>
          <w:rFonts w:ascii="Times New Roman" w:hAnsi="Times New Roman"/>
          <w:b/>
          <w:sz w:val="28"/>
        </w:rPr>
        <w:t>4. RESULTS AND DISCUSSION</w:t>
      </w:r>
    </w:p>
    <w:p>
      <w:pPr>
        <w:spacing w:before="240" w:after="120" w:lineRule="exact" w:line="360"/>
        <w:jc w:val="left"/>
      </w:pPr>
      <w:r>
        <w:rPr>
          <w:rFonts w:ascii="Times New Roman" w:hAnsi="Times New Roman"/>
          <w:b/>
          <w:sz w:val="26"/>
        </w:rPr>
        <w:t>4.1 Dataset Statistical Analysis</w:t>
      </w:r>
    </w:p>
    <w:p>
      <w:pPr>
        <w:spacing w:lineRule="exact" w:line="360" w:before="0" w:after="120"/>
        <w:ind w:firstLine="709"/>
        <w:jc w:val="both"/>
      </w:pPr>
      <w:r>
        <w:rPr>
          <w:rFonts w:ascii="Times New Roman" w:hAnsi="Times New Roman"/>
          <w:b w:val="0"/>
          <w:i w:val="0"/>
          <w:sz w:val="24"/>
        </w:rPr>
        <w:t>Analysis of the three target variables reveals substantially different statistical characteristics that directly influence the expected predictive difficulty for each target model.</w:t>
      </w:r>
    </w:p>
    <w:p>
      <w:pPr>
        <w:spacing w:before="200" w:after="80"/>
        <w:jc w:val="center"/>
      </w:pPr>
      <w:r>
        <w:rPr>
          <w:rFonts w:ascii="Times New Roman" w:hAnsi="Times New Roman"/>
          <w:b/>
          <w:i/>
          <w:sz w:val="22"/>
        </w:rPr>
        <w:t>Table 6. Target Variable Descriptive Statistics (post-filtering)</w:t>
      </w:r>
    </w:p>
    <w:tbl>
      <w:tblPr>
        <w:tblStyle w:val="TableGri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shd w:val="clear" w:color="auto" w:fill="D9E1F2"/>
          </w:tcPr>
          <w:p>
            <w:pPr>
              <w:jc w:val="center"/>
            </w:pPr>
            <w:r>
              <w:rPr>
                <w:rFonts w:ascii="Times New Roman" w:hAnsi="Times New Roman"/>
                <w:b/>
                <w:sz w:val="20"/>
              </w:rPr>
              <w:t>Target</w:t>
            </w:r>
          </w:p>
        </w:tc>
        <w:tc>
          <w:tcPr>
            <w:tcW w:type="dxa" w:w="1336"/>
            <w:shd w:val="clear" w:color="auto" w:fill="D9E1F2"/>
          </w:tcPr>
          <w:p>
            <w:pPr>
              <w:jc w:val="center"/>
            </w:pPr>
            <w:r>
              <w:rPr>
                <w:rFonts w:ascii="Times New Roman" w:hAnsi="Times New Roman"/>
                <w:b/>
                <w:sz w:val="20"/>
              </w:rPr>
              <w:t>n</w:t>
            </w:r>
          </w:p>
        </w:tc>
        <w:tc>
          <w:tcPr>
            <w:tcW w:type="dxa" w:w="1336"/>
            <w:shd w:val="clear" w:color="auto" w:fill="D9E1F2"/>
          </w:tcPr>
          <w:p>
            <w:pPr>
              <w:jc w:val="center"/>
            </w:pPr>
            <w:r>
              <w:rPr>
                <w:rFonts w:ascii="Times New Roman" w:hAnsi="Times New Roman"/>
                <w:b/>
                <w:sz w:val="20"/>
              </w:rPr>
              <w:t>Mean</w:t>
            </w:r>
          </w:p>
        </w:tc>
        <w:tc>
          <w:tcPr>
            <w:tcW w:type="dxa" w:w="1336"/>
            <w:shd w:val="clear" w:color="auto" w:fill="D9E1F2"/>
          </w:tcPr>
          <w:p>
            <w:pPr>
              <w:jc w:val="center"/>
            </w:pPr>
            <w:r>
              <w:rPr>
                <w:rFonts w:ascii="Times New Roman" w:hAnsi="Times New Roman"/>
                <w:b/>
                <w:sz w:val="20"/>
              </w:rPr>
              <w:t>Std</w:t>
            </w:r>
          </w:p>
        </w:tc>
        <w:tc>
          <w:tcPr>
            <w:tcW w:type="dxa" w:w="1336"/>
            <w:shd w:val="clear" w:color="auto" w:fill="D9E1F2"/>
          </w:tcPr>
          <w:p>
            <w:pPr>
              <w:jc w:val="center"/>
            </w:pPr>
            <w:r>
              <w:rPr>
                <w:rFonts w:ascii="Times New Roman" w:hAnsi="Times New Roman"/>
                <w:b/>
                <w:sz w:val="20"/>
              </w:rPr>
              <w:t>Min</w:t>
            </w:r>
          </w:p>
        </w:tc>
        <w:tc>
          <w:tcPr>
            <w:tcW w:type="dxa" w:w="1336"/>
            <w:shd w:val="clear" w:color="auto" w:fill="D9E1F2"/>
          </w:tcPr>
          <w:p>
            <w:pPr>
              <w:jc w:val="center"/>
            </w:pPr>
            <w:r>
              <w:rPr>
                <w:rFonts w:ascii="Times New Roman" w:hAnsi="Times New Roman"/>
                <w:b/>
                <w:sz w:val="20"/>
              </w:rPr>
              <w:t>Max</w:t>
            </w:r>
          </w:p>
        </w:tc>
        <w:tc>
          <w:tcPr>
            <w:tcW w:type="dxa" w:w="1336"/>
            <w:shd w:val="clear" w:color="auto" w:fill="D9E1F2"/>
          </w:tcPr>
          <w:p>
            <w:pPr>
              <w:jc w:val="center"/>
            </w:pPr>
            <w:r>
              <w:rPr>
                <w:rFonts w:ascii="Times New Roman" w:hAnsi="Times New Roman"/>
                <w:b/>
                <w:sz w:val="20"/>
              </w:rPr>
              <w:t>CV (std/mean)</w:t>
            </w:r>
          </w:p>
        </w:tc>
      </w:tr>
      <w:tr>
        <w:tc>
          <w:tcPr>
            <w:tcW w:type="dxa" w:w="1336"/>
          </w:tcPr>
          <w:p>
            <w:r>
              <w:rPr>
                <w:rFonts w:ascii="Times New Roman" w:hAnsi="Times New Roman"/>
                <w:sz w:val="20"/>
              </w:rPr>
              <w:t>Photocurrent (mA/cm²)</w:t>
            </w:r>
          </w:p>
        </w:tc>
        <w:tc>
          <w:tcPr>
            <w:tcW w:type="dxa" w:w="1336"/>
          </w:tcPr>
          <w:p>
            <w:r>
              <w:rPr>
                <w:rFonts w:ascii="Times New Roman" w:hAnsi="Times New Roman"/>
                <w:sz w:val="20"/>
              </w:rPr>
              <w:t>396</w:t>
            </w:r>
          </w:p>
        </w:tc>
        <w:tc>
          <w:tcPr>
            <w:tcW w:type="dxa" w:w="1336"/>
          </w:tcPr>
          <w:p>
            <w:r>
              <w:rPr>
                <w:rFonts w:ascii="Times New Roman" w:hAnsi="Times New Roman"/>
                <w:sz w:val="20"/>
              </w:rPr>
              <w:t>4.59</w:t>
            </w:r>
          </w:p>
        </w:tc>
        <w:tc>
          <w:tcPr>
            <w:tcW w:type="dxa" w:w="1336"/>
          </w:tcPr>
          <w:p>
            <w:r>
              <w:rPr>
                <w:rFonts w:ascii="Times New Roman" w:hAnsi="Times New Roman"/>
                <w:sz w:val="20"/>
              </w:rPr>
              <w:t>11.37</w:t>
            </w:r>
          </w:p>
        </w:tc>
        <w:tc>
          <w:tcPr>
            <w:tcW w:type="dxa" w:w="1336"/>
          </w:tcPr>
          <w:p>
            <w:r>
              <w:rPr>
                <w:rFonts w:ascii="Times New Roman" w:hAnsi="Times New Roman"/>
                <w:sz w:val="20"/>
              </w:rPr>
              <w:t>0.001</w:t>
            </w:r>
          </w:p>
        </w:tc>
        <w:tc>
          <w:tcPr>
            <w:tcW w:type="dxa" w:w="1336"/>
          </w:tcPr>
          <w:p>
            <w:r>
              <w:rPr>
                <w:rFonts w:ascii="Times New Roman" w:hAnsi="Times New Roman"/>
                <w:sz w:val="20"/>
              </w:rPr>
              <w:t>180.0</w:t>
            </w:r>
          </w:p>
        </w:tc>
        <w:tc>
          <w:tcPr>
            <w:tcW w:type="dxa" w:w="1336"/>
          </w:tcPr>
          <w:p>
            <w:r>
              <w:rPr>
                <w:rFonts w:ascii="Times New Roman" w:hAnsi="Times New Roman"/>
                <w:sz w:val="20"/>
              </w:rPr>
              <w:t>2.48</w:t>
            </w:r>
          </w:p>
        </w:tc>
      </w:tr>
      <w:tr>
        <w:tc>
          <w:tcPr>
            <w:tcW w:type="dxa" w:w="1336"/>
          </w:tcPr>
          <w:p>
            <w:r>
              <w:rPr>
                <w:rFonts w:ascii="Times New Roman" w:hAnsi="Times New Roman"/>
                <w:sz w:val="20"/>
              </w:rPr>
              <w:t>STH Efficiency (%)</w:t>
            </w:r>
          </w:p>
        </w:tc>
        <w:tc>
          <w:tcPr>
            <w:tcW w:type="dxa" w:w="1336"/>
          </w:tcPr>
          <w:p>
            <w:r>
              <w:rPr>
                <w:rFonts w:ascii="Times New Roman" w:hAnsi="Times New Roman"/>
                <w:sz w:val="20"/>
              </w:rPr>
              <w:t>48</w:t>
            </w:r>
          </w:p>
        </w:tc>
        <w:tc>
          <w:tcPr>
            <w:tcW w:type="dxa" w:w="1336"/>
          </w:tcPr>
          <w:p>
            <w:r>
              <w:rPr>
                <w:rFonts w:ascii="Times New Roman" w:hAnsi="Times New Roman"/>
                <w:sz w:val="20"/>
              </w:rPr>
              <w:t>5.66</w:t>
            </w:r>
          </w:p>
        </w:tc>
        <w:tc>
          <w:tcPr>
            <w:tcW w:type="dxa" w:w="1336"/>
          </w:tcPr>
          <w:p>
            <w:r>
              <w:rPr>
                <w:rFonts w:ascii="Times New Roman" w:hAnsi="Times New Roman"/>
                <w:sz w:val="20"/>
              </w:rPr>
              <w:t>7.91</w:t>
            </w:r>
          </w:p>
        </w:tc>
        <w:tc>
          <w:tcPr>
            <w:tcW w:type="dxa" w:w="1336"/>
          </w:tcPr>
          <w:p>
            <w:r>
              <w:rPr>
                <w:rFonts w:ascii="Times New Roman" w:hAnsi="Times New Roman"/>
                <w:sz w:val="20"/>
              </w:rPr>
              <w:t>0.05</w:t>
            </w:r>
          </w:p>
        </w:tc>
        <w:tc>
          <w:tcPr>
            <w:tcW w:type="dxa" w:w="1336"/>
          </w:tcPr>
          <w:p>
            <w:r>
              <w:rPr>
                <w:rFonts w:ascii="Times New Roman" w:hAnsi="Times New Roman"/>
                <w:sz w:val="20"/>
              </w:rPr>
              <w:t>24.0</w:t>
            </w:r>
          </w:p>
        </w:tc>
        <w:tc>
          <w:tcPr>
            <w:tcW w:type="dxa" w:w="1336"/>
          </w:tcPr>
          <w:p>
            <w:r>
              <w:rPr>
                <w:rFonts w:ascii="Times New Roman" w:hAnsi="Times New Roman"/>
                <w:sz w:val="20"/>
              </w:rPr>
              <w:t>1.40</w:t>
            </w:r>
          </w:p>
        </w:tc>
      </w:tr>
      <w:tr>
        <w:tc>
          <w:tcPr>
            <w:tcW w:type="dxa" w:w="1336"/>
          </w:tcPr>
          <w:p>
            <w:r>
              <w:rPr>
                <w:rFonts w:ascii="Times New Roman" w:hAnsi="Times New Roman"/>
                <w:sz w:val="20"/>
              </w:rPr>
              <w:t>H₂ Evolution (µmol/h/cm²)</w:t>
            </w:r>
          </w:p>
        </w:tc>
        <w:tc>
          <w:tcPr>
            <w:tcW w:type="dxa" w:w="1336"/>
          </w:tcPr>
          <w:p>
            <w:r>
              <w:rPr>
                <w:rFonts w:ascii="Times New Roman" w:hAnsi="Times New Roman"/>
                <w:sz w:val="20"/>
              </w:rPr>
              <w:t>55</w:t>
            </w:r>
          </w:p>
        </w:tc>
        <w:tc>
          <w:tcPr>
            <w:tcW w:type="dxa" w:w="1336"/>
          </w:tcPr>
          <w:p>
            <w:r>
              <w:rPr>
                <w:rFonts w:ascii="Times New Roman" w:hAnsi="Times New Roman"/>
                <w:sz w:val="20"/>
              </w:rPr>
              <w:t>382.1</w:t>
            </w:r>
          </w:p>
        </w:tc>
        <w:tc>
          <w:tcPr>
            <w:tcW w:type="dxa" w:w="1336"/>
          </w:tcPr>
          <w:p>
            <w:r>
              <w:rPr>
                <w:rFonts w:ascii="Times New Roman" w:hAnsi="Times New Roman"/>
                <w:sz w:val="20"/>
              </w:rPr>
              <w:t>1423.0</w:t>
            </w:r>
          </w:p>
        </w:tc>
        <w:tc>
          <w:tcPr>
            <w:tcW w:type="dxa" w:w="1336"/>
          </w:tcPr>
          <w:p>
            <w:r>
              <w:rPr>
                <w:rFonts w:ascii="Times New Roman" w:hAnsi="Times New Roman"/>
                <w:sz w:val="20"/>
              </w:rPr>
              <w:t>0.42</w:t>
            </w:r>
          </w:p>
        </w:tc>
        <w:tc>
          <w:tcPr>
            <w:tcW w:type="dxa" w:w="1336"/>
          </w:tcPr>
          <w:p>
            <w:r>
              <w:rPr>
                <w:rFonts w:ascii="Times New Roman" w:hAnsi="Times New Roman"/>
                <w:sz w:val="20"/>
              </w:rPr>
              <w:t>7600</w:t>
            </w:r>
          </w:p>
        </w:tc>
        <w:tc>
          <w:tcPr>
            <w:tcW w:type="dxa" w:w="1336"/>
          </w:tcPr>
          <w:p>
            <w:r>
              <w:rPr>
                <w:rFonts w:ascii="Times New Roman" w:hAnsi="Times New Roman"/>
                <w:sz w:val="20"/>
              </w:rPr>
              <w:t>3.72</w:t>
            </w:r>
          </w:p>
        </w:tc>
      </w:tr>
    </w:tbl>
    <w:p/>
    <w:p>
      <w:pPr>
        <w:spacing w:lineRule="exact" w:line="360" w:before="0" w:after="120"/>
        <w:ind w:firstLine="709"/>
        <w:jc w:val="both"/>
      </w:pPr>
      <w:r>
        <w:rPr>
          <w:rFonts w:ascii="Times New Roman" w:hAnsi="Times New Roman"/>
          <w:b w:val="0"/>
          <w:i w:val="0"/>
          <w:sz w:val="24"/>
        </w:rPr>
        <w:t>The photocurrent dataset exhibits high variability (CV = 2.48) driven by the broad range of experimental configurations across the literature. The STH dataset has the lowest relative variability (CV = 1.40) and the highest concentration of values below 10% (75th percentile ≈ 6%), which reflects the physical difficulty of achieving high unassisted water splitting efficiency. The H₂ evolution dataset is extremely right-skewed (CV = 3.72) — the maximum value (7600 µmol/h/cm²) is approximately 20× the mean — motivating the log₁p target transformation.</w:t>
      </w:r>
    </w:p>
    <w:p>
      <w:pPr>
        <w:spacing w:lineRule="exact" w:line="360" w:before="0" w:after="120"/>
        <w:ind w:firstLine="709"/>
        <w:jc w:val="both"/>
      </w:pPr>
      <w:r>
        <w:rPr>
          <w:rFonts w:ascii="Times New Roman" w:hAnsi="Times New Roman"/>
          <w:b w:val="0"/>
          <w:i w:val="0"/>
          <w:sz w:val="24"/>
        </w:rPr>
        <w:t>Material distribution analysis shows that BiVO₄ accounts for the largest fraction of entries (~28%), followed by TiO₂ (~18%), Fe₂O₃/α-Fe₂O₃ (~15%), WO₃ (~10%), and various other systems (Cu₂O, GaN, CdS, ZnO, Ta₃N₅, etc.) each contributing fewer than 5% of entries. This imbalance means that the model is trained primarily on well-studied photoanode systems and may produce less reliable predictions for underrepresented materials.</w:t>
      </w:r>
    </w:p>
    <w:p>
      <w:pPr>
        <w:spacing w:before="240" w:after="120" w:lineRule="exact" w:line="360"/>
        <w:jc w:val="left"/>
      </w:pPr>
      <w:r>
        <w:rPr>
          <w:rFonts w:ascii="Times New Roman" w:hAnsi="Times New Roman"/>
          <w:b/>
          <w:sz w:val="26"/>
        </w:rPr>
        <w:t>4.2 Model Performance Results</w:t>
      </w:r>
    </w:p>
    <w:p>
      <w:pPr>
        <w:spacing w:before="200" w:after="80"/>
        <w:jc w:val="center"/>
      </w:pPr>
      <w:r>
        <w:rPr>
          <w:rFonts w:ascii="Times New Roman" w:hAnsi="Times New Roman"/>
          <w:b/>
          <w:i/>
          <w:sz w:val="22"/>
        </w:rPr>
        <w:t>Table 7. 3-Fold Cross-Validation Results — All Models</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D9E1F2"/>
          </w:tcPr>
          <w:p>
            <w:pPr>
              <w:jc w:val="center"/>
            </w:pPr>
            <w:r>
              <w:rPr>
                <w:rFonts w:ascii="Times New Roman" w:hAnsi="Times New Roman"/>
                <w:b/>
                <w:sz w:val="20"/>
              </w:rPr>
              <w:t>Target</w:t>
            </w:r>
          </w:p>
        </w:tc>
        <w:tc>
          <w:tcPr>
            <w:tcW w:type="dxa" w:w="1871"/>
            <w:shd w:val="clear" w:color="auto" w:fill="D9E1F2"/>
          </w:tcPr>
          <w:p>
            <w:pPr>
              <w:jc w:val="center"/>
            </w:pPr>
            <w:r>
              <w:rPr>
                <w:rFonts w:ascii="Times New Roman" w:hAnsi="Times New Roman"/>
                <w:b/>
                <w:sz w:val="20"/>
              </w:rPr>
              <w:t>Model</w:t>
            </w:r>
          </w:p>
        </w:tc>
        <w:tc>
          <w:tcPr>
            <w:tcW w:type="dxa" w:w="1871"/>
            <w:shd w:val="clear" w:color="auto" w:fill="D9E1F2"/>
          </w:tcPr>
          <w:p>
            <w:pPr>
              <w:jc w:val="center"/>
            </w:pPr>
            <w:r>
              <w:rPr>
                <w:rFonts w:ascii="Times New Roman" w:hAnsi="Times New Roman"/>
                <w:b/>
                <w:sz w:val="20"/>
              </w:rPr>
              <w:t>CV R² (mean)</w:t>
            </w:r>
          </w:p>
        </w:tc>
        <w:tc>
          <w:tcPr>
            <w:tcW w:type="dxa" w:w="1871"/>
            <w:shd w:val="clear" w:color="auto" w:fill="D9E1F2"/>
          </w:tcPr>
          <w:p>
            <w:pPr>
              <w:jc w:val="center"/>
            </w:pPr>
            <w:r>
              <w:rPr>
                <w:rFonts w:ascii="Times New Roman" w:hAnsi="Times New Roman"/>
                <w:b/>
                <w:sz w:val="20"/>
              </w:rPr>
              <w:t>MAE</w:t>
            </w:r>
          </w:p>
        </w:tc>
        <w:tc>
          <w:tcPr>
            <w:tcW w:type="dxa" w:w="1871"/>
            <w:shd w:val="clear" w:color="auto" w:fill="D9E1F2"/>
          </w:tcPr>
          <w:p>
            <w:pPr>
              <w:jc w:val="center"/>
            </w:pPr>
            <w:r>
              <w:rPr>
                <w:rFonts w:ascii="Times New Roman" w:hAnsi="Times New Roman"/>
                <w:b/>
                <w:sz w:val="20"/>
              </w:rPr>
              <w:t>Dataset n</w:t>
            </w:r>
          </w:p>
        </w:tc>
      </w:tr>
      <w:tr>
        <w:tc>
          <w:tcPr>
            <w:tcW w:type="dxa" w:w="1871"/>
          </w:tcPr>
          <w:p>
            <w:r>
              <w:rPr>
                <w:rFonts w:ascii="Times New Roman" w:hAnsi="Times New Roman"/>
                <w:sz w:val="20"/>
              </w:rPr>
              <w:t>Photocurrent</w:t>
            </w:r>
          </w:p>
        </w:tc>
        <w:tc>
          <w:tcPr>
            <w:tcW w:type="dxa" w:w="1871"/>
          </w:tcPr>
          <w:p>
            <w:r>
              <w:rPr>
                <w:rFonts w:ascii="Times New Roman" w:hAnsi="Times New Roman"/>
                <w:sz w:val="20"/>
              </w:rPr>
              <w:t>Random Forest</w:t>
            </w:r>
          </w:p>
        </w:tc>
        <w:tc>
          <w:tcPr>
            <w:tcW w:type="dxa" w:w="1871"/>
          </w:tcPr>
          <w:p>
            <w:r>
              <w:rPr>
                <w:rFonts w:ascii="Times New Roman" w:hAnsi="Times New Roman"/>
                <w:sz w:val="20"/>
              </w:rPr>
              <w:t>+0.055</w:t>
            </w:r>
          </w:p>
        </w:tc>
        <w:tc>
          <w:tcPr>
            <w:tcW w:type="dxa" w:w="1871"/>
          </w:tcPr>
          <w:p>
            <w:r>
              <w:rPr>
                <w:rFonts w:ascii="Times New Roman" w:hAnsi="Times New Roman"/>
                <w:sz w:val="20"/>
              </w:rPr>
              <w:t>4.81 mA/cm²</w:t>
            </w:r>
          </w:p>
        </w:tc>
        <w:tc>
          <w:tcPr>
            <w:tcW w:type="dxa" w:w="1871"/>
          </w:tcPr>
          <w:p>
            <w:r>
              <w:rPr>
                <w:rFonts w:ascii="Times New Roman" w:hAnsi="Times New Roman"/>
                <w:sz w:val="20"/>
              </w:rPr>
              <w:t>396</w:t>
            </w:r>
          </w:p>
        </w:tc>
      </w:tr>
      <w:tr>
        <w:tc>
          <w:tcPr>
            <w:tcW w:type="dxa" w:w="1871"/>
          </w:tcPr>
          <w:p>
            <w:r>
              <w:rPr>
                <w:rFonts w:ascii="Times New Roman" w:hAnsi="Times New Roman"/>
                <w:sz w:val="20"/>
              </w:rPr>
              <w:t>Photocurrent</w:t>
            </w:r>
          </w:p>
        </w:tc>
        <w:tc>
          <w:tcPr>
            <w:tcW w:type="dxa" w:w="1871"/>
          </w:tcPr>
          <w:p>
            <w:r>
              <w:rPr>
                <w:rFonts w:ascii="Times New Roman" w:hAnsi="Times New Roman"/>
                <w:sz w:val="20"/>
              </w:rPr>
              <w:t>XGBoost</w:t>
            </w:r>
          </w:p>
        </w:tc>
        <w:tc>
          <w:tcPr>
            <w:tcW w:type="dxa" w:w="1871"/>
          </w:tcPr>
          <w:p>
            <w:r>
              <w:rPr>
                <w:rFonts w:ascii="Times New Roman" w:hAnsi="Times New Roman"/>
                <w:sz w:val="20"/>
              </w:rPr>
              <w:t>−0.112</w:t>
            </w:r>
          </w:p>
        </w:tc>
        <w:tc>
          <w:tcPr>
            <w:tcW w:type="dxa" w:w="1871"/>
          </w:tcPr>
          <w:p>
            <w:r>
              <w:rPr>
                <w:rFonts w:ascii="Times New Roman" w:hAnsi="Times New Roman"/>
                <w:sz w:val="20"/>
              </w:rPr>
              <w:t>5.07 mA/cm²</w:t>
            </w:r>
          </w:p>
        </w:tc>
        <w:tc>
          <w:tcPr>
            <w:tcW w:type="dxa" w:w="1871"/>
          </w:tcPr>
          <w:p>
            <w:r>
              <w:rPr>
                <w:rFonts w:ascii="Times New Roman" w:hAnsi="Times New Roman"/>
                <w:sz w:val="20"/>
              </w:rPr>
              <w:t>396</w:t>
            </w:r>
          </w:p>
        </w:tc>
      </w:tr>
      <w:tr>
        <w:tc>
          <w:tcPr>
            <w:tcW w:type="dxa" w:w="1871"/>
          </w:tcPr>
          <w:p>
            <w:r>
              <w:rPr>
                <w:rFonts w:ascii="Times New Roman" w:hAnsi="Times New Roman"/>
                <w:sz w:val="20"/>
              </w:rPr>
              <w:t>STH Efficiency</w:t>
            </w:r>
          </w:p>
        </w:tc>
        <w:tc>
          <w:tcPr>
            <w:tcW w:type="dxa" w:w="1871"/>
          </w:tcPr>
          <w:p>
            <w:r>
              <w:rPr>
                <w:rFonts w:ascii="Times New Roman" w:hAnsi="Times New Roman"/>
                <w:sz w:val="20"/>
              </w:rPr>
              <w:t>Random Forest</w:t>
            </w:r>
          </w:p>
        </w:tc>
        <w:tc>
          <w:tcPr>
            <w:tcW w:type="dxa" w:w="1871"/>
          </w:tcPr>
          <w:p>
            <w:r>
              <w:rPr>
                <w:rFonts w:ascii="Times New Roman" w:hAnsi="Times New Roman"/>
                <w:sz w:val="20"/>
              </w:rPr>
              <w:t>+0.287</w:t>
            </w:r>
          </w:p>
        </w:tc>
        <w:tc>
          <w:tcPr>
            <w:tcW w:type="dxa" w:w="1871"/>
          </w:tcPr>
          <w:p>
            <w:r>
              <w:rPr>
                <w:rFonts w:ascii="Times New Roman" w:hAnsi="Times New Roman"/>
                <w:sz w:val="20"/>
              </w:rPr>
              <w:t>5.45 %</w:t>
            </w:r>
          </w:p>
        </w:tc>
        <w:tc>
          <w:tcPr>
            <w:tcW w:type="dxa" w:w="1871"/>
          </w:tcPr>
          <w:p>
            <w:r>
              <w:rPr>
                <w:rFonts w:ascii="Times New Roman" w:hAnsi="Times New Roman"/>
                <w:sz w:val="20"/>
              </w:rPr>
              <w:t>48</w:t>
            </w:r>
          </w:p>
        </w:tc>
      </w:tr>
      <w:tr>
        <w:tc>
          <w:tcPr>
            <w:tcW w:type="dxa" w:w="1871"/>
          </w:tcPr>
          <w:p>
            <w:r>
              <w:rPr>
                <w:rFonts w:ascii="Times New Roman" w:hAnsi="Times New Roman"/>
                <w:sz w:val="20"/>
              </w:rPr>
              <w:t>STH Efficiency</w:t>
            </w:r>
          </w:p>
        </w:tc>
        <w:tc>
          <w:tcPr>
            <w:tcW w:type="dxa" w:w="1871"/>
          </w:tcPr>
          <w:p>
            <w:r>
              <w:rPr>
                <w:rFonts w:ascii="Times New Roman" w:hAnsi="Times New Roman"/>
                <w:sz w:val="20"/>
              </w:rPr>
              <w:t>XGBoost</w:t>
            </w:r>
          </w:p>
        </w:tc>
        <w:tc>
          <w:tcPr>
            <w:tcW w:type="dxa" w:w="1871"/>
          </w:tcPr>
          <w:p>
            <w:r>
              <w:rPr>
                <w:rFonts w:ascii="Times New Roman" w:hAnsi="Times New Roman"/>
                <w:sz w:val="20"/>
              </w:rPr>
              <w:t>+0.182</w:t>
            </w:r>
          </w:p>
        </w:tc>
        <w:tc>
          <w:tcPr>
            <w:tcW w:type="dxa" w:w="1871"/>
          </w:tcPr>
          <w:p>
            <w:r>
              <w:rPr>
                <w:rFonts w:ascii="Times New Roman" w:hAnsi="Times New Roman"/>
                <w:sz w:val="20"/>
              </w:rPr>
              <w:t>5.91 %</w:t>
            </w:r>
          </w:p>
        </w:tc>
        <w:tc>
          <w:tcPr>
            <w:tcW w:type="dxa" w:w="1871"/>
          </w:tcPr>
          <w:p>
            <w:r>
              <w:rPr>
                <w:rFonts w:ascii="Times New Roman" w:hAnsi="Times New Roman"/>
                <w:sz w:val="20"/>
              </w:rPr>
              <w:t>48</w:t>
            </w:r>
          </w:p>
        </w:tc>
      </w:tr>
      <w:tr>
        <w:tc>
          <w:tcPr>
            <w:tcW w:type="dxa" w:w="1871"/>
          </w:tcPr>
          <w:p>
            <w:r>
              <w:rPr>
                <w:rFonts w:ascii="Times New Roman" w:hAnsi="Times New Roman"/>
                <w:sz w:val="20"/>
              </w:rPr>
              <w:t>H₂ Evolution</w:t>
            </w:r>
          </w:p>
        </w:tc>
        <w:tc>
          <w:tcPr>
            <w:tcW w:type="dxa" w:w="1871"/>
          </w:tcPr>
          <w:p>
            <w:r>
              <w:rPr>
                <w:rFonts w:ascii="Times New Roman" w:hAnsi="Times New Roman"/>
                <w:sz w:val="20"/>
              </w:rPr>
              <w:t>Random Forest</w:t>
            </w:r>
          </w:p>
        </w:tc>
        <w:tc>
          <w:tcPr>
            <w:tcW w:type="dxa" w:w="1871"/>
          </w:tcPr>
          <w:p>
            <w:r>
              <w:rPr>
                <w:rFonts w:ascii="Times New Roman" w:hAnsi="Times New Roman"/>
                <w:sz w:val="20"/>
              </w:rPr>
              <w:t>+0.085</w:t>
            </w:r>
          </w:p>
        </w:tc>
        <w:tc>
          <w:tcPr>
            <w:tcW w:type="dxa" w:w="1871"/>
          </w:tcPr>
          <w:p>
            <w:r>
              <w:rPr>
                <w:rFonts w:ascii="Times New Roman" w:hAnsi="Times New Roman"/>
                <w:sz w:val="20"/>
              </w:rPr>
              <w:t>1.30 (log1p)</w:t>
            </w:r>
          </w:p>
        </w:tc>
        <w:tc>
          <w:tcPr>
            <w:tcW w:type="dxa" w:w="1871"/>
          </w:tcPr>
          <w:p>
            <w:r>
              <w:rPr>
                <w:rFonts w:ascii="Times New Roman" w:hAnsi="Times New Roman"/>
                <w:sz w:val="20"/>
              </w:rPr>
              <w:t>55</w:t>
            </w:r>
          </w:p>
        </w:tc>
      </w:tr>
      <w:tr>
        <w:tc>
          <w:tcPr>
            <w:tcW w:type="dxa" w:w="1871"/>
          </w:tcPr>
          <w:p>
            <w:r>
              <w:rPr>
                <w:rFonts w:ascii="Times New Roman" w:hAnsi="Times New Roman"/>
                <w:sz w:val="20"/>
              </w:rPr>
              <w:t>H₂ Evolution</w:t>
            </w:r>
          </w:p>
        </w:tc>
        <w:tc>
          <w:tcPr>
            <w:tcW w:type="dxa" w:w="1871"/>
          </w:tcPr>
          <w:p>
            <w:r>
              <w:rPr>
                <w:rFonts w:ascii="Times New Roman" w:hAnsi="Times New Roman"/>
                <w:sz w:val="20"/>
              </w:rPr>
              <w:t>XGBoost</w:t>
            </w:r>
          </w:p>
        </w:tc>
        <w:tc>
          <w:tcPr>
            <w:tcW w:type="dxa" w:w="1871"/>
          </w:tcPr>
          <w:p>
            <w:r>
              <w:rPr>
                <w:rFonts w:ascii="Times New Roman" w:hAnsi="Times New Roman"/>
                <w:sz w:val="20"/>
              </w:rPr>
              <w:t>−0.074</w:t>
            </w:r>
          </w:p>
        </w:tc>
        <w:tc>
          <w:tcPr>
            <w:tcW w:type="dxa" w:w="1871"/>
          </w:tcPr>
          <w:p>
            <w:r>
              <w:rPr>
                <w:rFonts w:ascii="Times New Roman" w:hAnsi="Times New Roman"/>
                <w:sz w:val="20"/>
              </w:rPr>
              <w:t>1.39 (log1p)</w:t>
            </w:r>
          </w:p>
        </w:tc>
        <w:tc>
          <w:tcPr>
            <w:tcW w:type="dxa" w:w="1871"/>
          </w:tcPr>
          <w:p>
            <w:r>
              <w:rPr>
                <w:rFonts w:ascii="Times New Roman" w:hAnsi="Times New Roman"/>
                <w:sz w:val="20"/>
              </w:rPr>
              <w:t>55</w:t>
            </w:r>
          </w:p>
        </w:tc>
      </w:tr>
    </w:tbl>
    <w:p/>
    <w:p>
      <w:pPr>
        <w:spacing w:before="200" w:after="80"/>
        <w:jc w:val="center"/>
      </w:pPr>
      <w:r>
        <w:rPr>
          <w:rFonts w:ascii="Times New Roman" w:hAnsi="Times New Roman"/>
          <w:b/>
          <w:i/>
          <w:sz w:val="22"/>
        </w:rPr>
        <w:t>Table 8. Selected Models for Deployment (Random Forest wins all three)</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D9E1F2"/>
          </w:tcPr>
          <w:p>
            <w:pPr>
              <w:jc w:val="center"/>
            </w:pPr>
            <w:r>
              <w:rPr>
                <w:rFonts w:ascii="Times New Roman" w:hAnsi="Times New Roman"/>
                <w:b/>
                <w:sz w:val="20"/>
              </w:rPr>
              <w:t>Target</w:t>
            </w:r>
          </w:p>
        </w:tc>
        <w:tc>
          <w:tcPr>
            <w:tcW w:type="dxa" w:w="1871"/>
            <w:shd w:val="clear" w:color="auto" w:fill="D9E1F2"/>
          </w:tcPr>
          <w:p>
            <w:pPr>
              <w:jc w:val="center"/>
            </w:pPr>
            <w:r>
              <w:rPr>
                <w:rFonts w:ascii="Times New Roman" w:hAnsi="Times New Roman"/>
                <w:b/>
                <w:sz w:val="20"/>
              </w:rPr>
              <w:t>Selected Model</w:t>
            </w:r>
          </w:p>
        </w:tc>
        <w:tc>
          <w:tcPr>
            <w:tcW w:type="dxa" w:w="1871"/>
            <w:shd w:val="clear" w:color="auto" w:fill="D9E1F2"/>
          </w:tcPr>
          <w:p>
            <w:pPr>
              <w:jc w:val="center"/>
            </w:pPr>
            <w:r>
              <w:rPr>
                <w:rFonts w:ascii="Times New Roman" w:hAnsi="Times New Roman"/>
                <w:b/>
                <w:sz w:val="20"/>
              </w:rPr>
              <w:t>Final CV R²</w:t>
            </w:r>
          </w:p>
        </w:tc>
        <w:tc>
          <w:tcPr>
            <w:tcW w:type="dxa" w:w="1871"/>
            <w:shd w:val="clear" w:color="auto" w:fill="D9E1F2"/>
          </w:tcPr>
          <w:p>
            <w:pPr>
              <w:jc w:val="center"/>
            </w:pPr>
            <w:r>
              <w:rPr>
                <w:rFonts w:ascii="Times New Roman" w:hAnsi="Times New Roman"/>
                <w:b/>
                <w:sz w:val="20"/>
              </w:rPr>
              <w:t>Final CV MAE</w:t>
            </w:r>
          </w:p>
        </w:tc>
        <w:tc>
          <w:tcPr>
            <w:tcW w:type="dxa" w:w="1871"/>
            <w:shd w:val="clear" w:color="auto" w:fill="D9E1F2"/>
          </w:tcPr>
          <w:p>
            <w:pPr>
              <w:jc w:val="center"/>
            </w:pPr>
            <w:r>
              <w:rPr>
                <w:rFonts w:ascii="Times New Roman" w:hAnsi="Times New Roman"/>
                <w:b/>
                <w:sz w:val="20"/>
              </w:rPr>
              <w:t>Artifact</w:t>
            </w:r>
          </w:p>
        </w:tc>
      </w:tr>
      <w:tr>
        <w:tc>
          <w:tcPr>
            <w:tcW w:type="dxa" w:w="1871"/>
          </w:tcPr>
          <w:p>
            <w:r>
              <w:rPr>
                <w:rFonts w:ascii="Times New Roman" w:hAnsi="Times New Roman"/>
                <w:sz w:val="20"/>
              </w:rPr>
              <w:t>Photocurrent Density</w:t>
            </w:r>
          </w:p>
        </w:tc>
        <w:tc>
          <w:tcPr>
            <w:tcW w:type="dxa" w:w="1871"/>
          </w:tcPr>
          <w:p>
            <w:r>
              <w:rPr>
                <w:rFonts w:ascii="Times New Roman" w:hAnsi="Times New Roman"/>
                <w:sz w:val="20"/>
              </w:rPr>
              <w:t>Random Forest</w:t>
            </w:r>
          </w:p>
        </w:tc>
        <w:tc>
          <w:tcPr>
            <w:tcW w:type="dxa" w:w="1871"/>
          </w:tcPr>
          <w:p>
            <w:r>
              <w:rPr>
                <w:rFonts w:ascii="Times New Roman" w:hAnsi="Times New Roman"/>
                <w:sz w:val="20"/>
              </w:rPr>
              <w:t>+0.055</w:t>
            </w:r>
          </w:p>
        </w:tc>
        <w:tc>
          <w:tcPr>
            <w:tcW w:type="dxa" w:w="1871"/>
          </w:tcPr>
          <w:p>
            <w:r>
              <w:rPr>
                <w:rFonts w:ascii="Times New Roman" w:hAnsi="Times New Roman"/>
                <w:sz w:val="20"/>
              </w:rPr>
              <w:t>4.81 mA/cm²</w:t>
            </w:r>
          </w:p>
        </w:tc>
        <w:tc>
          <w:tcPr>
            <w:tcW w:type="dxa" w:w="1871"/>
          </w:tcPr>
          <w:p>
            <w:r>
              <w:rPr>
                <w:rFonts w:ascii="Times New Roman" w:hAnsi="Times New Roman"/>
                <w:sz w:val="20"/>
              </w:rPr>
              <w:t>model_pc.pkl</w:t>
            </w:r>
          </w:p>
        </w:tc>
      </w:tr>
      <w:tr>
        <w:tc>
          <w:tcPr>
            <w:tcW w:type="dxa" w:w="1871"/>
          </w:tcPr>
          <w:p>
            <w:r>
              <w:rPr>
                <w:rFonts w:ascii="Times New Roman" w:hAnsi="Times New Roman"/>
                <w:sz w:val="20"/>
              </w:rPr>
              <w:t>STH Efficiency</w:t>
            </w:r>
          </w:p>
        </w:tc>
        <w:tc>
          <w:tcPr>
            <w:tcW w:type="dxa" w:w="1871"/>
          </w:tcPr>
          <w:p>
            <w:r>
              <w:rPr>
                <w:rFonts w:ascii="Times New Roman" w:hAnsi="Times New Roman"/>
                <w:sz w:val="20"/>
              </w:rPr>
              <w:t>Random Forest</w:t>
            </w:r>
          </w:p>
        </w:tc>
        <w:tc>
          <w:tcPr>
            <w:tcW w:type="dxa" w:w="1871"/>
          </w:tcPr>
          <w:p>
            <w:r>
              <w:rPr>
                <w:rFonts w:ascii="Times New Roman" w:hAnsi="Times New Roman"/>
                <w:sz w:val="20"/>
              </w:rPr>
              <w:t>+0.287</w:t>
            </w:r>
          </w:p>
        </w:tc>
        <w:tc>
          <w:tcPr>
            <w:tcW w:type="dxa" w:w="1871"/>
          </w:tcPr>
          <w:p>
            <w:r>
              <w:rPr>
                <w:rFonts w:ascii="Times New Roman" w:hAnsi="Times New Roman"/>
                <w:sz w:val="20"/>
              </w:rPr>
              <w:t>5.45 %</w:t>
            </w:r>
          </w:p>
        </w:tc>
        <w:tc>
          <w:tcPr>
            <w:tcW w:type="dxa" w:w="1871"/>
          </w:tcPr>
          <w:p>
            <w:r>
              <w:rPr>
                <w:rFonts w:ascii="Times New Roman" w:hAnsi="Times New Roman"/>
                <w:sz w:val="20"/>
              </w:rPr>
              <w:t>model_sth.pkl</w:t>
            </w:r>
          </w:p>
        </w:tc>
      </w:tr>
      <w:tr>
        <w:tc>
          <w:tcPr>
            <w:tcW w:type="dxa" w:w="1871"/>
          </w:tcPr>
          <w:p>
            <w:r>
              <w:rPr>
                <w:rFonts w:ascii="Times New Roman" w:hAnsi="Times New Roman"/>
                <w:sz w:val="20"/>
              </w:rPr>
              <w:t>H₂ Evolution Rate</w:t>
            </w:r>
          </w:p>
        </w:tc>
        <w:tc>
          <w:tcPr>
            <w:tcW w:type="dxa" w:w="1871"/>
          </w:tcPr>
          <w:p>
            <w:r>
              <w:rPr>
                <w:rFonts w:ascii="Times New Roman" w:hAnsi="Times New Roman"/>
                <w:sz w:val="20"/>
              </w:rPr>
              <w:t>Random Forest</w:t>
            </w:r>
          </w:p>
        </w:tc>
        <w:tc>
          <w:tcPr>
            <w:tcW w:type="dxa" w:w="1871"/>
          </w:tcPr>
          <w:p>
            <w:r>
              <w:rPr>
                <w:rFonts w:ascii="Times New Roman" w:hAnsi="Times New Roman"/>
                <w:sz w:val="20"/>
              </w:rPr>
              <w:t>+0.085</w:t>
            </w:r>
          </w:p>
        </w:tc>
        <w:tc>
          <w:tcPr>
            <w:tcW w:type="dxa" w:w="1871"/>
          </w:tcPr>
          <w:p>
            <w:r>
              <w:rPr>
                <w:rFonts w:ascii="Times New Roman" w:hAnsi="Times New Roman"/>
                <w:sz w:val="20"/>
              </w:rPr>
              <w:t>1.30 (log)</w:t>
            </w:r>
          </w:p>
        </w:tc>
        <w:tc>
          <w:tcPr>
            <w:tcW w:type="dxa" w:w="1871"/>
          </w:tcPr>
          <w:p>
            <w:r>
              <w:rPr>
                <w:rFonts w:ascii="Times New Roman" w:hAnsi="Times New Roman"/>
                <w:sz w:val="20"/>
              </w:rPr>
              <w:t>model_h2.pkl</w:t>
            </w:r>
          </w:p>
        </w:tc>
      </w:tr>
    </w:tbl>
    <w:p/>
    <w:p>
      <w:pPr>
        <w:spacing w:lineRule="exact" w:line="360" w:before="0" w:after="120"/>
        <w:ind w:firstLine="709"/>
        <w:jc w:val="both"/>
      </w:pPr>
      <w:r>
        <w:rPr>
          <w:rFonts w:ascii="Times New Roman" w:hAnsi="Times New Roman"/>
          <w:b w:val="0"/>
          <w:i w:val="0"/>
          <w:sz w:val="24"/>
        </w:rPr>
        <w:t>Random Forest outperforms XGBoost on all three targets. This is consistent with the known behavior of gradient boosting on small datasets: XGBoost's sequential correction of residuals amplifies noise in small training sets unless carefully regularized, while Random Forest's averaging of independent trees is more robust in the low-sample regime. The selected STH model (R² = +0.287) represents the strongest genuine predictive signal, explaining approximately 29% of the variance in STH efficiency.</w:t>
      </w:r>
    </w:p>
    <w:p>
      <w:pPr>
        <w:spacing w:lineRule="exact" w:line="360" w:before="0" w:after="120"/>
        <w:ind w:firstLine="709"/>
        <w:jc w:val="both"/>
      </w:pPr>
      <w:r>
        <w:rPr>
          <w:rFonts w:ascii="Times New Roman" w:hAnsi="Times New Roman"/>
          <w:b w:val="0"/>
          <w:i w:val="0"/>
          <w:sz w:val="24"/>
        </w:rPr>
        <w:t>As a baseline comparison, a dummy regressor that always predicts the training mean would achieve R² = 0 by definition. The photocurrent model (R² = +0.055) therefore captures a small but non-zero signal above baseline; the STH model (R² = +0.287) captures substantially more. The H₂ model (R² = +0.085) captures some signal in log-transformed space — corresponding to moderate performance relative to the baseline in that space.</w:t>
      </w:r>
    </w:p>
    <w:p>
      <w:pPr>
        <w:spacing w:before="240" w:after="120" w:lineRule="exact" w:line="360"/>
        <w:jc w:val="left"/>
      </w:pPr>
      <w:r>
        <w:rPr>
          <w:rFonts w:ascii="Times New Roman" w:hAnsi="Times New Roman"/>
          <w:b/>
          <w:sz w:val="26"/>
        </w:rPr>
        <w:t>4.3 Feature Importance Analysis</w:t>
      </w:r>
    </w:p>
    <w:p>
      <w:pPr>
        <w:spacing w:lineRule="exact" w:line="360" w:before="0" w:after="120"/>
        <w:ind w:firstLine="709"/>
        <w:jc w:val="both"/>
      </w:pPr>
      <w:r>
        <w:rPr>
          <w:rFonts w:ascii="Times New Roman" w:hAnsi="Times New Roman"/>
          <w:b w:val="0"/>
          <w:i w:val="0"/>
          <w:sz w:val="24"/>
        </w:rPr>
        <w:t>Random Forest provides Gini-impurity-based feature importance scores that reflect the relative contribution of each feature to reducing prediction error across all trees. Table 9 shows the top-ranked features for the photocurrent model.</w:t>
      </w:r>
    </w:p>
    <w:p>
      <w:pPr>
        <w:spacing w:before="200" w:after="80"/>
        <w:jc w:val="center"/>
      </w:pPr>
      <w:r>
        <w:rPr>
          <w:rFonts w:ascii="Times New Roman" w:hAnsi="Times New Roman"/>
          <w:b/>
          <w:i/>
          <w:sz w:val="22"/>
        </w:rPr>
        <w:t>Table 9. Random Forest Feature Importance (Photocurrent Model)</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D9E1F2"/>
          </w:tcPr>
          <w:p>
            <w:pPr>
              <w:jc w:val="center"/>
            </w:pPr>
            <w:r>
              <w:rPr>
                <w:rFonts w:ascii="Times New Roman" w:hAnsi="Times New Roman"/>
                <w:b/>
                <w:sz w:val="20"/>
              </w:rPr>
              <w:t>Rank</w:t>
            </w:r>
          </w:p>
        </w:tc>
        <w:tc>
          <w:tcPr>
            <w:tcW w:type="dxa" w:w="2339"/>
            <w:shd w:val="clear" w:color="auto" w:fill="D9E1F2"/>
          </w:tcPr>
          <w:p>
            <w:pPr>
              <w:jc w:val="center"/>
            </w:pPr>
            <w:r>
              <w:rPr>
                <w:rFonts w:ascii="Times New Roman" w:hAnsi="Times New Roman"/>
                <w:b/>
                <w:sz w:val="20"/>
              </w:rPr>
              <w:t>Feature</w:t>
            </w:r>
          </w:p>
        </w:tc>
        <w:tc>
          <w:tcPr>
            <w:tcW w:type="dxa" w:w="2339"/>
            <w:shd w:val="clear" w:color="auto" w:fill="D9E1F2"/>
          </w:tcPr>
          <w:p>
            <w:pPr>
              <w:jc w:val="center"/>
            </w:pPr>
            <w:r>
              <w:rPr>
                <w:rFonts w:ascii="Times New Roman" w:hAnsi="Times New Roman"/>
                <w:b/>
                <w:sz w:val="20"/>
              </w:rPr>
              <w:t>Importance Score</w:t>
            </w:r>
          </w:p>
        </w:tc>
        <w:tc>
          <w:tcPr>
            <w:tcW w:type="dxa" w:w="2339"/>
            <w:shd w:val="clear" w:color="auto" w:fill="D9E1F2"/>
          </w:tcPr>
          <w:p>
            <w:pPr>
              <w:jc w:val="center"/>
            </w:pPr>
            <w:r>
              <w:rPr>
                <w:rFonts w:ascii="Times New Roman" w:hAnsi="Times New Roman"/>
                <w:b/>
                <w:sz w:val="20"/>
              </w:rPr>
              <w:t>Physical Interpretation</w:t>
            </w:r>
          </w:p>
        </w:tc>
      </w:tr>
      <w:tr>
        <w:tc>
          <w:tcPr>
            <w:tcW w:type="dxa" w:w="2339"/>
          </w:tcPr>
          <w:p>
            <w:r>
              <w:rPr>
                <w:rFonts w:ascii="Times New Roman" w:hAnsi="Times New Roman"/>
                <w:sz w:val="20"/>
              </w:rPr>
              <w:t>1</w:t>
            </w:r>
          </w:p>
        </w:tc>
        <w:tc>
          <w:tcPr>
            <w:tcW w:type="dxa" w:w="2339"/>
          </w:tcPr>
          <w:p>
            <w:r>
              <w:rPr>
                <w:rFonts w:ascii="Times New Roman" w:hAnsi="Times New Roman"/>
                <w:sz w:val="20"/>
              </w:rPr>
              <w:t>material (OHE columns collectively)</w:t>
            </w:r>
          </w:p>
        </w:tc>
        <w:tc>
          <w:tcPr>
            <w:tcW w:type="dxa" w:w="2339"/>
          </w:tcPr>
          <w:p>
            <w:r>
              <w:rPr>
                <w:rFonts w:ascii="Times New Roman" w:hAnsi="Times New Roman"/>
                <w:sz w:val="20"/>
              </w:rPr>
              <w:t>~0.32</w:t>
            </w:r>
          </w:p>
        </w:tc>
        <w:tc>
          <w:tcPr>
            <w:tcW w:type="dxa" w:w="2339"/>
          </w:tcPr>
          <w:p>
            <w:r>
              <w:rPr>
                <w:rFonts w:ascii="Times New Roman" w:hAnsi="Times New Roman"/>
                <w:sz w:val="20"/>
              </w:rPr>
              <w:t>Material identity is the dominant descriptor</w:t>
            </w:r>
          </w:p>
        </w:tc>
      </w:tr>
      <w:tr>
        <w:tc>
          <w:tcPr>
            <w:tcW w:type="dxa" w:w="2339"/>
          </w:tcPr>
          <w:p>
            <w:r>
              <w:rPr>
                <w:rFonts w:ascii="Times New Roman" w:hAnsi="Times New Roman"/>
                <w:sz w:val="20"/>
              </w:rPr>
              <w:t>2</w:t>
            </w:r>
          </w:p>
        </w:tc>
        <w:tc>
          <w:tcPr>
            <w:tcW w:type="dxa" w:w="2339"/>
          </w:tcPr>
          <w:p>
            <w:r>
              <w:rPr>
                <w:rFonts w:ascii="Times New Roman" w:hAnsi="Times New Roman"/>
                <w:sz w:val="20"/>
              </w:rPr>
              <w:t>bias</w:t>
            </w:r>
          </w:p>
        </w:tc>
        <w:tc>
          <w:tcPr>
            <w:tcW w:type="dxa" w:w="2339"/>
          </w:tcPr>
          <w:p>
            <w:r>
              <w:rPr>
                <w:rFonts w:ascii="Times New Roman" w:hAnsi="Times New Roman"/>
                <w:sz w:val="20"/>
              </w:rPr>
              <w:t>0.118</w:t>
            </w:r>
          </w:p>
        </w:tc>
        <w:tc>
          <w:tcPr>
            <w:tcW w:type="dxa" w:w="2339"/>
          </w:tcPr>
          <w:p>
            <w:r>
              <w:rPr>
                <w:rFonts w:ascii="Times New Roman" w:hAnsi="Times New Roman"/>
                <w:sz w:val="20"/>
              </w:rPr>
              <w:t>Applied electrochemical potential drives photocurrent</w:t>
            </w:r>
          </w:p>
        </w:tc>
      </w:tr>
      <w:tr>
        <w:tc>
          <w:tcPr>
            <w:tcW w:type="dxa" w:w="2339"/>
          </w:tcPr>
          <w:p>
            <w:r>
              <w:rPr>
                <w:rFonts w:ascii="Times New Roman" w:hAnsi="Times New Roman"/>
                <w:sz w:val="20"/>
              </w:rPr>
              <w:t>3</w:t>
            </w:r>
          </w:p>
        </w:tc>
        <w:tc>
          <w:tcPr>
            <w:tcW w:type="dxa" w:w="2339"/>
          </w:tcPr>
          <w:p>
            <w:r>
              <w:rPr>
                <w:rFonts w:ascii="Times New Roman" w:hAnsi="Times New Roman"/>
                <w:sz w:val="20"/>
              </w:rPr>
              <w:t>light_intensity</w:t>
            </w:r>
          </w:p>
        </w:tc>
        <w:tc>
          <w:tcPr>
            <w:tcW w:type="dxa" w:w="2339"/>
          </w:tcPr>
          <w:p>
            <w:r>
              <w:rPr>
                <w:rFonts w:ascii="Times New Roman" w:hAnsi="Times New Roman"/>
                <w:sz w:val="20"/>
              </w:rPr>
              <w:t>0.094</w:t>
            </w:r>
          </w:p>
        </w:tc>
        <w:tc>
          <w:tcPr>
            <w:tcW w:type="dxa" w:w="2339"/>
          </w:tcPr>
          <w:p>
            <w:r>
              <w:rPr>
                <w:rFonts w:ascii="Times New Roman" w:hAnsi="Times New Roman"/>
                <w:sz w:val="20"/>
              </w:rPr>
              <w:t>Incident flux scales photogenerated carrier density</w:t>
            </w:r>
          </w:p>
        </w:tc>
      </w:tr>
      <w:tr>
        <w:tc>
          <w:tcPr>
            <w:tcW w:type="dxa" w:w="2339"/>
          </w:tcPr>
          <w:p>
            <w:r>
              <w:rPr>
                <w:rFonts w:ascii="Times New Roman" w:hAnsi="Times New Roman"/>
                <w:sz w:val="20"/>
              </w:rPr>
              <w:t>4</w:t>
            </w:r>
          </w:p>
        </w:tc>
        <w:tc>
          <w:tcPr>
            <w:tcW w:type="dxa" w:w="2339"/>
          </w:tcPr>
          <w:p>
            <w:r>
              <w:rPr>
                <w:rFonts w:ascii="Times New Roman" w:hAnsi="Times New Roman"/>
                <w:sz w:val="20"/>
              </w:rPr>
              <w:t>bandgap</w:t>
            </w:r>
          </w:p>
        </w:tc>
        <w:tc>
          <w:tcPr>
            <w:tcW w:type="dxa" w:w="2339"/>
          </w:tcPr>
          <w:p>
            <w:r>
              <w:rPr>
                <w:rFonts w:ascii="Times New Roman" w:hAnsi="Times New Roman"/>
                <w:sz w:val="20"/>
              </w:rPr>
              <w:t>0.087</w:t>
            </w:r>
          </w:p>
        </w:tc>
        <w:tc>
          <w:tcPr>
            <w:tcW w:type="dxa" w:w="2339"/>
          </w:tcPr>
          <w:p>
            <w:r>
              <w:rPr>
                <w:rFonts w:ascii="Times New Roman" w:hAnsi="Times New Roman"/>
                <w:sz w:val="20"/>
              </w:rPr>
              <w:t>Controls spectral absorption range</w:t>
            </w:r>
          </w:p>
        </w:tc>
      </w:tr>
      <w:tr>
        <w:tc>
          <w:tcPr>
            <w:tcW w:type="dxa" w:w="2339"/>
          </w:tcPr>
          <w:p>
            <w:r>
              <w:rPr>
                <w:rFonts w:ascii="Times New Roman" w:hAnsi="Times New Roman"/>
                <w:sz w:val="20"/>
              </w:rPr>
              <w:t>5</w:t>
            </w:r>
          </w:p>
        </w:tc>
        <w:tc>
          <w:tcPr>
            <w:tcW w:type="dxa" w:w="2339"/>
          </w:tcPr>
          <w:p>
            <w:r>
              <w:rPr>
                <w:rFonts w:ascii="Times New Roman" w:hAnsi="Times New Roman"/>
                <w:sz w:val="20"/>
              </w:rPr>
              <w:t>has_cocatalyst</w:t>
            </w:r>
          </w:p>
        </w:tc>
        <w:tc>
          <w:tcPr>
            <w:tcW w:type="dxa" w:w="2339"/>
          </w:tcPr>
          <w:p>
            <w:r>
              <w:rPr>
                <w:rFonts w:ascii="Times New Roman" w:hAnsi="Times New Roman"/>
                <w:sz w:val="20"/>
              </w:rPr>
              <w:t>0.063</w:t>
            </w:r>
          </w:p>
        </w:tc>
        <w:tc>
          <w:tcPr>
            <w:tcW w:type="dxa" w:w="2339"/>
          </w:tcPr>
          <w:p>
            <w:r>
              <w:rPr>
                <w:rFonts w:ascii="Times New Roman" w:hAnsi="Times New Roman"/>
                <w:sz w:val="20"/>
              </w:rPr>
              <w:t>Co-catalyst reduces surface recombination losses</w:t>
            </w:r>
          </w:p>
        </w:tc>
      </w:tr>
      <w:tr>
        <w:tc>
          <w:tcPr>
            <w:tcW w:type="dxa" w:w="2339"/>
          </w:tcPr>
          <w:p>
            <w:r>
              <w:rPr>
                <w:rFonts w:ascii="Times New Roman" w:hAnsi="Times New Roman"/>
                <w:sz w:val="20"/>
              </w:rPr>
              <w:t>6</w:t>
            </w:r>
          </w:p>
        </w:tc>
        <w:tc>
          <w:tcPr>
            <w:tcW w:type="dxa" w:w="2339"/>
          </w:tcPr>
          <w:p>
            <w:r>
              <w:rPr>
                <w:rFonts w:ascii="Times New Roman" w:hAnsi="Times New Roman"/>
                <w:sz w:val="20"/>
              </w:rPr>
              <w:t>ph_deviation</w:t>
            </w:r>
          </w:p>
        </w:tc>
        <w:tc>
          <w:tcPr>
            <w:tcW w:type="dxa" w:w="2339"/>
          </w:tcPr>
          <w:p>
            <w:r>
              <w:rPr>
                <w:rFonts w:ascii="Times New Roman" w:hAnsi="Times New Roman"/>
                <w:sz w:val="20"/>
              </w:rPr>
              <w:t>0.047</w:t>
            </w:r>
          </w:p>
        </w:tc>
        <w:tc>
          <w:tcPr>
            <w:tcW w:type="dxa" w:w="2339"/>
          </w:tcPr>
          <w:p>
            <w:r>
              <w:rPr>
                <w:rFonts w:ascii="Times New Roman" w:hAnsi="Times New Roman"/>
                <w:sz w:val="20"/>
              </w:rPr>
              <w:t>Electrolyte acidity affects hole oxidation kinetics</w:t>
            </w:r>
          </w:p>
        </w:tc>
      </w:tr>
      <w:tr>
        <w:tc>
          <w:tcPr>
            <w:tcW w:type="dxa" w:w="2339"/>
          </w:tcPr>
          <w:p>
            <w:r>
              <w:rPr>
                <w:rFonts w:ascii="Times New Roman" w:hAnsi="Times New Roman"/>
                <w:sz w:val="20"/>
              </w:rPr>
              <w:t>7</w:t>
            </w:r>
          </w:p>
        </w:tc>
        <w:tc>
          <w:tcPr>
            <w:tcW w:type="dxa" w:w="2339"/>
          </w:tcPr>
          <w:p>
            <w:r>
              <w:rPr>
                <w:rFonts w:ascii="Times New Roman" w:hAnsi="Times New Roman"/>
                <w:sz w:val="20"/>
              </w:rPr>
              <w:t>overpotential_proxy</w:t>
            </w:r>
          </w:p>
        </w:tc>
        <w:tc>
          <w:tcPr>
            <w:tcW w:type="dxa" w:w="2339"/>
          </w:tcPr>
          <w:p>
            <w:r>
              <w:rPr>
                <w:rFonts w:ascii="Times New Roman" w:hAnsi="Times New Roman"/>
                <w:sz w:val="20"/>
              </w:rPr>
              <w:t>0.041</w:t>
            </w:r>
          </w:p>
        </w:tc>
        <w:tc>
          <w:tcPr>
            <w:tcW w:type="dxa" w:w="2339"/>
          </w:tcPr>
          <w:p>
            <w:r>
              <w:rPr>
                <w:rFonts w:ascii="Times New Roman" w:hAnsi="Times New Roman"/>
                <w:sz w:val="20"/>
              </w:rPr>
              <w:t>Engineered feature; combined bias-bandgap signal</w:t>
            </w:r>
          </w:p>
        </w:tc>
      </w:tr>
      <w:tr>
        <w:tc>
          <w:tcPr>
            <w:tcW w:type="dxa" w:w="2339"/>
          </w:tcPr>
          <w:p>
            <w:r>
              <w:rPr>
                <w:rFonts w:ascii="Times New Roman" w:hAnsi="Times New Roman"/>
                <w:sz w:val="20"/>
              </w:rPr>
              <w:t>8</w:t>
            </w:r>
          </w:p>
        </w:tc>
        <w:tc>
          <w:tcPr>
            <w:tcW w:type="dxa" w:w="2339"/>
          </w:tcPr>
          <w:p>
            <w:r>
              <w:rPr>
                <w:rFonts w:ascii="Times New Roman" w:hAnsi="Times New Roman"/>
                <w:sz w:val="20"/>
              </w:rPr>
              <w:t>illumination_type (OHE)</w:t>
            </w:r>
          </w:p>
        </w:tc>
        <w:tc>
          <w:tcPr>
            <w:tcW w:type="dxa" w:w="2339"/>
          </w:tcPr>
          <w:p>
            <w:r>
              <w:rPr>
                <w:rFonts w:ascii="Times New Roman" w:hAnsi="Times New Roman"/>
                <w:sz w:val="20"/>
              </w:rPr>
              <w:t>0.038</w:t>
            </w:r>
          </w:p>
        </w:tc>
        <w:tc>
          <w:tcPr>
            <w:tcW w:type="dxa" w:w="2339"/>
          </w:tcPr>
          <w:p>
            <w:r>
              <w:rPr>
                <w:rFonts w:ascii="Times New Roman" w:hAnsi="Times New Roman"/>
                <w:sz w:val="20"/>
              </w:rPr>
              <w:t>Light source spectrum affects photon utilization</w:t>
            </w:r>
          </w:p>
        </w:tc>
      </w:tr>
    </w:tbl>
    <w:p/>
    <w:p>
      <w:pPr>
        <w:spacing w:lineRule="exact" w:line="360" w:before="0" w:after="120"/>
        <w:ind w:firstLine="709"/>
        <w:jc w:val="both"/>
      </w:pPr>
      <w:r>
        <w:rPr>
          <w:rFonts w:ascii="Times New Roman" w:hAnsi="Times New Roman"/>
          <w:b w:val="0"/>
          <w:i w:val="0"/>
          <w:sz w:val="24"/>
        </w:rPr>
        <w:t>The ranking is physically interpretable and consistent with domain knowledge: material identity is the most important descriptor because different semiconductors have fundamentally different photocatalytic activity; applied bias and light intensity directly drive the photocurrent through the photoelectric response; and the presence of co-catalysts is well-established as a critical performance-enhancing factor. The overpotential proxy feature (an engineered interaction term) contributing at rank 7 validates the value of physics-informed feature engineering over purely data-driven representations.</w:t>
      </w:r>
    </w:p>
    <w:p>
      <w:pPr>
        <w:spacing w:before="240" w:after="120" w:lineRule="exact" w:line="360"/>
        <w:jc w:val="left"/>
      </w:pPr>
      <w:r>
        <w:rPr>
          <w:rFonts w:ascii="Times New Roman" w:hAnsi="Times New Roman"/>
          <w:b/>
          <w:sz w:val="26"/>
        </w:rPr>
        <w:t>4.4 System Functional Testing</w:t>
      </w:r>
    </w:p>
    <w:p>
      <w:pPr>
        <w:spacing w:lineRule="exact" w:line="360" w:before="0" w:after="120"/>
        <w:ind w:firstLine="709"/>
        <w:jc w:val="both"/>
      </w:pPr>
      <w:r>
        <w:rPr>
          <w:rFonts w:ascii="Times New Roman" w:hAnsi="Times New Roman"/>
          <w:b w:val="0"/>
          <w:i w:val="0"/>
          <w:sz w:val="24"/>
        </w:rPr>
        <w:t>The backend API was subjected to systematic functional testing covering normal operation, edge cases, and error handling. Tests were executed using curl HTTP requests against the running Flask server on localhost:5001.</w:t>
      </w:r>
    </w:p>
    <w:p>
      <w:pPr>
        <w:spacing w:before="200" w:after="80"/>
        <w:jc w:val="center"/>
      </w:pPr>
      <w:r>
        <w:rPr>
          <w:rFonts w:ascii="Times New Roman" w:hAnsi="Times New Roman"/>
          <w:b/>
          <w:i/>
          <w:sz w:val="22"/>
        </w:rPr>
        <w:t>Table 10. API Functional Test Results</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D9E1F2"/>
          </w:tcPr>
          <w:p>
            <w:pPr>
              <w:jc w:val="center"/>
            </w:pPr>
            <w:r>
              <w:rPr>
                <w:rFonts w:ascii="Times New Roman" w:hAnsi="Times New Roman"/>
                <w:b/>
                <w:sz w:val="20"/>
              </w:rPr>
              <w:t>Test ID</w:t>
            </w:r>
          </w:p>
        </w:tc>
        <w:tc>
          <w:tcPr>
            <w:tcW w:type="dxa" w:w="1871"/>
            <w:shd w:val="clear" w:color="auto" w:fill="D9E1F2"/>
          </w:tcPr>
          <w:p>
            <w:pPr>
              <w:jc w:val="center"/>
            </w:pPr>
            <w:r>
              <w:rPr>
                <w:rFonts w:ascii="Times New Roman" w:hAnsi="Times New Roman"/>
                <w:b/>
                <w:sz w:val="20"/>
              </w:rPr>
              <w:t>Test Description</w:t>
            </w:r>
          </w:p>
        </w:tc>
        <w:tc>
          <w:tcPr>
            <w:tcW w:type="dxa" w:w="1871"/>
            <w:shd w:val="clear" w:color="auto" w:fill="D9E1F2"/>
          </w:tcPr>
          <w:p>
            <w:pPr>
              <w:jc w:val="center"/>
            </w:pPr>
            <w:r>
              <w:rPr>
                <w:rFonts w:ascii="Times New Roman" w:hAnsi="Times New Roman"/>
                <w:b/>
                <w:sz w:val="20"/>
              </w:rPr>
              <w:t>Input</w:t>
            </w:r>
          </w:p>
        </w:tc>
        <w:tc>
          <w:tcPr>
            <w:tcW w:type="dxa" w:w="1871"/>
            <w:shd w:val="clear" w:color="auto" w:fill="D9E1F2"/>
          </w:tcPr>
          <w:p>
            <w:pPr>
              <w:jc w:val="center"/>
            </w:pPr>
            <w:r>
              <w:rPr>
                <w:rFonts w:ascii="Times New Roman" w:hAnsi="Times New Roman"/>
                <w:b/>
                <w:sz w:val="20"/>
              </w:rPr>
              <w:t>Expected</w:t>
            </w:r>
          </w:p>
        </w:tc>
        <w:tc>
          <w:tcPr>
            <w:tcW w:type="dxa" w:w="1871"/>
            <w:shd w:val="clear" w:color="auto" w:fill="D9E1F2"/>
          </w:tcPr>
          <w:p>
            <w:pPr>
              <w:jc w:val="center"/>
            </w:pPr>
            <w:r>
              <w:rPr>
                <w:rFonts w:ascii="Times New Roman" w:hAnsi="Times New Roman"/>
                <w:b/>
                <w:sz w:val="20"/>
              </w:rPr>
              <w:t>Result</w:t>
            </w:r>
          </w:p>
        </w:tc>
      </w:tr>
      <w:tr>
        <w:tc>
          <w:tcPr>
            <w:tcW w:type="dxa" w:w="1871"/>
          </w:tcPr>
          <w:p>
            <w:r>
              <w:rPr>
                <w:rFonts w:ascii="Times New Roman" w:hAnsi="Times New Roman"/>
                <w:sz w:val="20"/>
              </w:rPr>
              <w:t>T1</w:t>
            </w:r>
          </w:p>
        </w:tc>
        <w:tc>
          <w:tcPr>
            <w:tcW w:type="dxa" w:w="1871"/>
          </w:tcPr>
          <w:p>
            <w:r>
              <w:rPr>
                <w:rFonts w:ascii="Times New Roman" w:hAnsi="Times New Roman"/>
                <w:sz w:val="20"/>
              </w:rPr>
              <w:t>Minimum valid input</w:t>
            </w:r>
          </w:p>
        </w:tc>
        <w:tc>
          <w:tcPr>
            <w:tcW w:type="dxa" w:w="1871"/>
          </w:tcPr>
          <w:p>
            <w:r>
              <w:rPr>
                <w:rFonts w:ascii="Times New Roman" w:hAnsi="Times New Roman"/>
                <w:sz w:val="20"/>
              </w:rPr>
              <w:t>5 required fields (BiVO4, KOH, pH=7, bias=1.23, AM 1.5G)</w:t>
            </w:r>
          </w:p>
        </w:tc>
        <w:tc>
          <w:tcPr>
            <w:tcW w:type="dxa" w:w="1871"/>
          </w:tcPr>
          <w:p>
            <w:r>
              <w:rPr>
                <w:rFonts w:ascii="Times New Roman" w:hAnsi="Times New Roman"/>
                <w:sz w:val="20"/>
              </w:rPr>
              <w:t>HTTP 200; all 3 targets returned with defaults for missing fields</w:t>
            </w:r>
          </w:p>
        </w:tc>
        <w:tc>
          <w:tcPr>
            <w:tcW w:type="dxa" w:w="1871"/>
          </w:tcPr>
          <w:p>
            <w:r>
              <w:rPr>
                <w:rFonts w:ascii="Times New Roman" w:hAnsi="Times New Roman"/>
                <w:sz w:val="20"/>
              </w:rPr>
              <w:t>PASS</w:t>
            </w:r>
          </w:p>
        </w:tc>
      </w:tr>
      <w:tr>
        <w:tc>
          <w:tcPr>
            <w:tcW w:type="dxa" w:w="1871"/>
          </w:tcPr>
          <w:p>
            <w:r>
              <w:rPr>
                <w:rFonts w:ascii="Times New Roman" w:hAnsi="Times New Roman"/>
                <w:sz w:val="20"/>
              </w:rPr>
              <w:t>T2</w:t>
            </w:r>
          </w:p>
        </w:tc>
        <w:tc>
          <w:tcPr>
            <w:tcW w:type="dxa" w:w="1871"/>
          </w:tcPr>
          <w:p>
            <w:r>
              <w:rPr>
                <w:rFonts w:ascii="Times New Roman" w:hAnsi="Times New Roman"/>
                <w:sz w:val="20"/>
              </w:rPr>
              <w:t>Full 12-field input</w:t>
            </w:r>
          </w:p>
        </w:tc>
        <w:tc>
          <w:tcPr>
            <w:tcW w:type="dxa" w:w="1871"/>
          </w:tcPr>
          <w:p>
            <w:r>
              <w:rPr>
                <w:rFonts w:ascii="Times New Roman" w:hAnsi="Times New Roman"/>
                <w:sz w:val="20"/>
              </w:rPr>
              <w:t>All optional fields included: bandgap=2.4, temperature=298K, cocatalyst=FeOOH</w:t>
            </w:r>
          </w:p>
        </w:tc>
        <w:tc>
          <w:tcPr>
            <w:tcW w:type="dxa" w:w="1871"/>
          </w:tcPr>
          <w:p>
            <w:r>
              <w:rPr>
                <w:rFonts w:ascii="Times New Roman" w:hAnsi="Times New Roman"/>
                <w:sz w:val="20"/>
              </w:rPr>
              <w:t>HTTP 200; predictions differentiated from T1</w:t>
            </w:r>
          </w:p>
        </w:tc>
        <w:tc>
          <w:tcPr>
            <w:tcW w:type="dxa" w:w="1871"/>
          </w:tcPr>
          <w:p>
            <w:r>
              <w:rPr>
                <w:rFonts w:ascii="Times New Roman" w:hAnsi="Times New Roman"/>
                <w:sz w:val="20"/>
              </w:rPr>
              <w:t>PASS</w:t>
            </w:r>
          </w:p>
        </w:tc>
      </w:tr>
      <w:tr>
        <w:tc>
          <w:tcPr>
            <w:tcW w:type="dxa" w:w="1871"/>
          </w:tcPr>
          <w:p>
            <w:r>
              <w:rPr>
                <w:rFonts w:ascii="Times New Roman" w:hAnsi="Times New Roman"/>
                <w:sz w:val="20"/>
              </w:rPr>
              <w:t>T3</w:t>
            </w:r>
          </w:p>
        </w:tc>
        <w:tc>
          <w:tcPr>
            <w:tcW w:type="dxa" w:w="1871"/>
          </w:tcPr>
          <w:p>
            <w:r>
              <w:rPr>
                <w:rFonts w:ascii="Times New Roman" w:hAnsi="Times New Roman"/>
                <w:sz w:val="20"/>
              </w:rPr>
              <w:t>Out-of-range numeric</w:t>
            </w:r>
          </w:p>
        </w:tc>
        <w:tc>
          <w:tcPr>
            <w:tcW w:type="dxa" w:w="1871"/>
          </w:tcPr>
          <w:p>
            <w:r>
              <w:rPr>
                <w:rFonts w:ascii="Times New Roman" w:hAnsi="Times New Roman"/>
                <w:sz w:val="20"/>
              </w:rPr>
              <w:t>pH = 20 (beyond bound [0, 14])</w:t>
            </w:r>
          </w:p>
        </w:tc>
        <w:tc>
          <w:tcPr>
            <w:tcW w:type="dxa" w:w="1871"/>
          </w:tcPr>
          <w:p>
            <w:r>
              <w:rPr>
                <w:rFonts w:ascii="Times New Roman" w:hAnsi="Times New Roman"/>
                <w:sz w:val="20"/>
              </w:rPr>
              <w:t>HTTP 400; error message: 'pH must be 0–14'</w:t>
            </w:r>
          </w:p>
        </w:tc>
        <w:tc>
          <w:tcPr>
            <w:tcW w:type="dxa" w:w="1871"/>
          </w:tcPr>
          <w:p>
            <w:r>
              <w:rPr>
                <w:rFonts w:ascii="Times New Roman" w:hAnsi="Times New Roman"/>
                <w:sz w:val="20"/>
              </w:rPr>
              <w:t>PASS</w:t>
            </w:r>
          </w:p>
        </w:tc>
      </w:tr>
      <w:tr>
        <w:tc>
          <w:tcPr>
            <w:tcW w:type="dxa" w:w="1871"/>
          </w:tcPr>
          <w:p>
            <w:r>
              <w:rPr>
                <w:rFonts w:ascii="Times New Roman" w:hAnsi="Times New Roman"/>
                <w:sz w:val="20"/>
              </w:rPr>
              <w:t>T4</w:t>
            </w:r>
          </w:p>
        </w:tc>
        <w:tc>
          <w:tcPr>
            <w:tcW w:type="dxa" w:w="1871"/>
          </w:tcPr>
          <w:p>
            <w:r>
              <w:rPr>
                <w:rFonts w:ascii="Times New Roman" w:hAnsi="Times New Roman"/>
                <w:sz w:val="20"/>
              </w:rPr>
              <w:t>Empty request body</w:t>
            </w:r>
          </w:p>
        </w:tc>
        <w:tc>
          <w:tcPr>
            <w:tcW w:type="dxa" w:w="1871"/>
          </w:tcPr>
          <w:p>
            <w:r>
              <w:rPr>
                <w:rFonts w:ascii="Times New Roman" w:hAnsi="Times New Roman"/>
                <w:sz w:val="20"/>
              </w:rPr>
              <w:t>POST {} (no fields)</w:t>
            </w:r>
          </w:p>
        </w:tc>
        <w:tc>
          <w:tcPr>
            <w:tcW w:type="dxa" w:w="1871"/>
          </w:tcPr>
          <w:p>
            <w:r>
              <w:rPr>
                <w:rFonts w:ascii="Times New Roman" w:hAnsi="Times New Roman"/>
                <w:sz w:val="20"/>
              </w:rPr>
              <w:t>HTTP 400; 5 error messages for missing required fields</w:t>
            </w:r>
          </w:p>
        </w:tc>
        <w:tc>
          <w:tcPr>
            <w:tcW w:type="dxa" w:w="1871"/>
          </w:tcPr>
          <w:p>
            <w:r>
              <w:rPr>
                <w:rFonts w:ascii="Times New Roman" w:hAnsi="Times New Roman"/>
                <w:sz w:val="20"/>
              </w:rPr>
              <w:t>PASS</w:t>
            </w:r>
          </w:p>
        </w:tc>
      </w:tr>
      <w:tr>
        <w:tc>
          <w:tcPr>
            <w:tcW w:type="dxa" w:w="1871"/>
          </w:tcPr>
          <w:p>
            <w:r>
              <w:rPr>
                <w:rFonts w:ascii="Times New Roman" w:hAnsi="Times New Roman"/>
                <w:sz w:val="20"/>
              </w:rPr>
              <w:t>T5</w:t>
            </w:r>
          </w:p>
        </w:tc>
        <w:tc>
          <w:tcPr>
            <w:tcW w:type="dxa" w:w="1871"/>
          </w:tcPr>
          <w:p>
            <w:r>
              <w:rPr>
                <w:rFonts w:ascii="Times New Roman" w:hAnsi="Times New Roman"/>
                <w:sz w:val="20"/>
              </w:rPr>
              <w:t>Unicode material name</w:t>
            </w:r>
          </w:p>
        </w:tc>
        <w:tc>
          <w:tcPr>
            <w:tcW w:type="dxa" w:w="1871"/>
          </w:tcPr>
          <w:p>
            <w:r>
              <w:rPr>
                <w:rFonts w:ascii="Times New Roman" w:hAnsi="Times New Roman"/>
                <w:sz w:val="20"/>
              </w:rPr>
              <w:t>material = 'BiVO₄ (Bismuth Vanadate)'</w:t>
            </w:r>
          </w:p>
        </w:tc>
        <w:tc>
          <w:tcPr>
            <w:tcW w:type="dxa" w:w="1871"/>
          </w:tcPr>
          <w:p>
            <w:r>
              <w:rPr>
                <w:rFonts w:ascii="Times New Roman" w:hAnsi="Times New Roman"/>
                <w:sz w:val="20"/>
              </w:rPr>
              <w:t>HTTP 200; normalized to 'BiVO4' before model call</w:t>
            </w:r>
          </w:p>
        </w:tc>
        <w:tc>
          <w:tcPr>
            <w:tcW w:type="dxa" w:w="1871"/>
          </w:tcPr>
          <w:p>
            <w:r>
              <w:rPr>
                <w:rFonts w:ascii="Times New Roman" w:hAnsi="Times New Roman"/>
                <w:sz w:val="20"/>
              </w:rPr>
              <w:t>PASS</w:t>
            </w:r>
          </w:p>
        </w:tc>
      </w:tr>
      <w:tr>
        <w:tc>
          <w:tcPr>
            <w:tcW w:type="dxa" w:w="1871"/>
          </w:tcPr>
          <w:p>
            <w:r>
              <w:rPr>
                <w:rFonts w:ascii="Times New Roman" w:hAnsi="Times New Roman"/>
                <w:sz w:val="20"/>
              </w:rPr>
              <w:t>T6</w:t>
            </w:r>
          </w:p>
        </w:tc>
        <w:tc>
          <w:tcPr>
            <w:tcW w:type="dxa" w:w="1871"/>
          </w:tcPr>
          <w:p>
            <w:r>
              <w:rPr>
                <w:rFonts w:ascii="Times New Roman" w:hAnsi="Times New Roman"/>
                <w:sz w:val="20"/>
              </w:rPr>
              <w:t>Health check</w:t>
            </w:r>
          </w:p>
        </w:tc>
        <w:tc>
          <w:tcPr>
            <w:tcW w:type="dxa" w:w="1871"/>
          </w:tcPr>
          <w:p>
            <w:r>
              <w:rPr>
                <w:rFonts w:ascii="Times New Roman" w:hAnsi="Times New Roman"/>
                <w:sz w:val="20"/>
              </w:rPr>
              <w:t>GET /</w:t>
            </w:r>
          </w:p>
        </w:tc>
        <w:tc>
          <w:tcPr>
            <w:tcW w:type="dxa" w:w="1871"/>
          </w:tcPr>
          <w:p>
            <w:r>
              <w:rPr>
                <w:rFonts w:ascii="Times New Roman" w:hAnsi="Times New Roman"/>
                <w:sz w:val="20"/>
              </w:rPr>
              <w:t>HTTP 200; models_loaded: ['pc','sth','h2']</w:t>
            </w:r>
          </w:p>
        </w:tc>
        <w:tc>
          <w:tcPr>
            <w:tcW w:type="dxa" w:w="1871"/>
          </w:tcPr>
          <w:p>
            <w:r>
              <w:rPr>
                <w:rFonts w:ascii="Times New Roman" w:hAnsi="Times New Roman"/>
                <w:sz w:val="20"/>
              </w:rPr>
              <w:t>PASS</w:t>
            </w:r>
          </w:p>
        </w:tc>
      </w:tr>
      <w:tr>
        <w:tc>
          <w:tcPr>
            <w:tcW w:type="dxa" w:w="1871"/>
          </w:tcPr>
          <w:p>
            <w:r>
              <w:rPr>
                <w:rFonts w:ascii="Times New Roman" w:hAnsi="Times New Roman"/>
                <w:sz w:val="20"/>
              </w:rPr>
              <w:t>T7</w:t>
            </w:r>
          </w:p>
        </w:tc>
        <w:tc>
          <w:tcPr>
            <w:tcW w:type="dxa" w:w="1871"/>
          </w:tcPr>
          <w:p>
            <w:r>
              <w:rPr>
                <w:rFonts w:ascii="Times New Roman" w:hAnsi="Times New Roman"/>
                <w:sz w:val="20"/>
              </w:rPr>
              <w:t>Dataset endpoint</w:t>
            </w:r>
          </w:p>
        </w:tc>
        <w:tc>
          <w:tcPr>
            <w:tcW w:type="dxa" w:w="1871"/>
          </w:tcPr>
          <w:p>
            <w:r>
              <w:rPr>
                <w:rFonts w:ascii="Times New Roman" w:hAnsi="Times New Roman"/>
                <w:sz w:val="20"/>
              </w:rPr>
              <w:t>GET /dataset</w:t>
            </w:r>
          </w:p>
        </w:tc>
        <w:tc>
          <w:tcPr>
            <w:tcW w:type="dxa" w:w="1871"/>
          </w:tcPr>
          <w:p>
            <w:r>
              <w:rPr>
                <w:rFonts w:ascii="Times New Roman" w:hAnsi="Times New Roman"/>
                <w:sz w:val="20"/>
              </w:rPr>
              <w:t>HTTP 200; JSON array with all columns</w:t>
            </w:r>
          </w:p>
        </w:tc>
        <w:tc>
          <w:tcPr>
            <w:tcW w:type="dxa" w:w="1871"/>
          </w:tcPr>
          <w:p>
            <w:r>
              <w:rPr>
                <w:rFonts w:ascii="Times New Roman" w:hAnsi="Times New Roman"/>
                <w:sz w:val="20"/>
              </w:rPr>
              <w:t>PASS</w:t>
            </w:r>
          </w:p>
        </w:tc>
      </w:tr>
      <w:tr>
        <w:tc>
          <w:tcPr>
            <w:tcW w:type="dxa" w:w="1871"/>
          </w:tcPr>
          <w:p>
            <w:r>
              <w:rPr>
                <w:rFonts w:ascii="Times New Roman" w:hAnsi="Times New Roman"/>
                <w:sz w:val="20"/>
              </w:rPr>
              <w:t>T8</w:t>
            </w:r>
          </w:p>
        </w:tc>
        <w:tc>
          <w:tcPr>
            <w:tcW w:type="dxa" w:w="1871"/>
          </w:tcPr>
          <w:p>
            <w:r>
              <w:rPr>
                <w:rFonts w:ascii="Times New Roman" w:hAnsi="Times New Roman"/>
                <w:sz w:val="20"/>
              </w:rPr>
              <w:t>Unknown material</w:t>
            </w:r>
          </w:p>
        </w:tc>
        <w:tc>
          <w:tcPr>
            <w:tcW w:type="dxa" w:w="1871"/>
          </w:tcPr>
          <w:p>
            <w:r>
              <w:rPr>
                <w:rFonts w:ascii="Times New Roman" w:hAnsi="Times New Roman"/>
                <w:sz w:val="20"/>
              </w:rPr>
              <w:t>material = 'NewMaterial2025' (not in training set)</w:t>
            </w:r>
          </w:p>
        </w:tc>
        <w:tc>
          <w:tcPr>
            <w:tcW w:type="dxa" w:w="1871"/>
          </w:tcPr>
          <w:p>
            <w:r>
              <w:rPr>
                <w:rFonts w:ascii="Times New Roman" w:hAnsi="Times New Roman"/>
                <w:sz w:val="20"/>
              </w:rPr>
              <w:t>HTTP 200; OHE ignores unknown category; uses median defaults</w:t>
            </w:r>
          </w:p>
        </w:tc>
        <w:tc>
          <w:tcPr>
            <w:tcW w:type="dxa" w:w="1871"/>
          </w:tcPr>
          <w:p>
            <w:r>
              <w:rPr>
                <w:rFonts w:ascii="Times New Roman" w:hAnsi="Times New Roman"/>
                <w:sz w:val="20"/>
              </w:rPr>
              <w:t>PASS</w:t>
            </w:r>
          </w:p>
        </w:tc>
      </w:tr>
    </w:tbl>
    <w:p/>
    <w:p>
      <w:pPr>
        <w:spacing w:lineRule="exact" w:line="360" w:before="0" w:after="120"/>
        <w:ind w:firstLine="709"/>
        <w:jc w:val="both"/>
      </w:pPr>
      <w:r>
        <w:rPr>
          <w:rFonts w:ascii="Times New Roman" w:hAnsi="Times New Roman"/>
          <w:b w:val="0"/>
          <w:i w:val="0"/>
          <w:sz w:val="24"/>
        </w:rPr>
        <w:t>React SPA functional verification: the production build was generated with 'npx vite build', completing with 16 transformed modules, zero TypeScript errors, and a bundle of 209.76 kB (64.23 kB gzipped). Form submission triggers a loading spinner and button disable state during the async request. Successful predictions navigate to the Results page and populate all three metric cards with values, units, and the performance class badge. Error responses from the API are displayed in a styled error banner without a page reload.</w:t>
      </w:r>
    </w:p>
    <w:p>
      <w:pPr>
        <w:spacing w:before="240" w:after="120" w:lineRule="exact" w:line="360"/>
        <w:jc w:val="left"/>
      </w:pPr>
      <w:r>
        <w:rPr>
          <w:rFonts w:ascii="Times New Roman" w:hAnsi="Times New Roman"/>
          <w:b/>
          <w:sz w:val="26"/>
        </w:rPr>
        <w:t>4.5 User Feedback</w:t>
      </w:r>
    </w:p>
    <w:p>
      <w:pPr>
        <w:spacing w:lineRule="exact" w:line="360" w:before="0" w:after="120"/>
        <w:ind w:firstLine="709"/>
        <w:jc w:val="both"/>
      </w:pPr>
      <w:r>
        <w:rPr>
          <w:rFonts w:ascii="Times New Roman" w:hAnsi="Times New Roman"/>
          <w:b w:val="0"/>
          <w:i w:val="0"/>
          <w:sz w:val="24"/>
        </w:rPr>
        <w:t>Following the functional completion of the system, the prototype was demonstrated to five participants: two undergraduate students in chemistry, one graduate student in materials engineering, one assistant professor in physical chemistry, and one software engineering student. Each participant was asked to complete a prediction task using the standalone HTML frontend and provide written feedback on usability, correctness of output presentation, and clarity of result interpretation. A summary of feedback is presented below.</w:t>
      </w:r>
    </w:p>
    <w:p>
      <w:pPr>
        <w:spacing w:before="200" w:after="80"/>
        <w:jc w:val="center"/>
      </w:pPr>
      <w:r>
        <w:rPr>
          <w:rFonts w:ascii="Times New Roman" w:hAnsi="Times New Roman"/>
          <w:b/>
          <w:i/>
          <w:sz w:val="22"/>
        </w:rPr>
        <w:t>Table 11. User Feedback Summary (n=5)</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D9E1F2"/>
          </w:tcPr>
          <w:p>
            <w:pPr>
              <w:jc w:val="center"/>
            </w:pPr>
            <w:r>
              <w:rPr>
                <w:rFonts w:ascii="Times New Roman" w:hAnsi="Times New Roman"/>
                <w:b/>
                <w:sz w:val="20"/>
              </w:rPr>
              <w:t>#</w:t>
            </w:r>
          </w:p>
        </w:tc>
        <w:tc>
          <w:tcPr>
            <w:tcW w:type="dxa" w:w="2339"/>
            <w:shd w:val="clear" w:color="auto" w:fill="D9E1F2"/>
          </w:tcPr>
          <w:p>
            <w:pPr>
              <w:jc w:val="center"/>
            </w:pPr>
            <w:r>
              <w:rPr>
                <w:rFonts w:ascii="Times New Roman" w:hAnsi="Times New Roman"/>
                <w:b/>
                <w:sz w:val="20"/>
              </w:rPr>
              <w:t>Participant Profile</w:t>
            </w:r>
          </w:p>
        </w:tc>
        <w:tc>
          <w:tcPr>
            <w:tcW w:type="dxa" w:w="2339"/>
            <w:shd w:val="clear" w:color="auto" w:fill="D9E1F2"/>
          </w:tcPr>
          <w:p>
            <w:pPr>
              <w:jc w:val="center"/>
            </w:pPr>
            <w:r>
              <w:rPr>
                <w:rFonts w:ascii="Times New Roman" w:hAnsi="Times New Roman"/>
                <w:b/>
                <w:sz w:val="20"/>
              </w:rPr>
              <w:t>Positive Feedback</w:t>
            </w:r>
          </w:p>
        </w:tc>
        <w:tc>
          <w:tcPr>
            <w:tcW w:type="dxa" w:w="2339"/>
            <w:shd w:val="clear" w:color="auto" w:fill="D9E1F2"/>
          </w:tcPr>
          <w:p>
            <w:pPr>
              <w:jc w:val="center"/>
            </w:pPr>
            <w:r>
              <w:rPr>
                <w:rFonts w:ascii="Times New Roman" w:hAnsi="Times New Roman"/>
                <w:b/>
                <w:sz w:val="20"/>
              </w:rPr>
              <w:t>Improvement Suggestion</w:t>
            </w:r>
          </w:p>
        </w:tc>
      </w:tr>
      <w:tr>
        <w:tc>
          <w:tcPr>
            <w:tcW w:type="dxa" w:w="2339"/>
          </w:tcPr>
          <w:p>
            <w:r>
              <w:rPr>
                <w:rFonts w:ascii="Times New Roman" w:hAnsi="Times New Roman"/>
                <w:sz w:val="20"/>
              </w:rPr>
              <w:t>1</w:t>
            </w:r>
          </w:p>
        </w:tc>
        <w:tc>
          <w:tcPr>
            <w:tcW w:type="dxa" w:w="2339"/>
          </w:tcPr>
          <w:p>
            <w:r>
              <w:rPr>
                <w:rFonts w:ascii="Times New Roman" w:hAnsi="Times New Roman"/>
                <w:sz w:val="20"/>
              </w:rPr>
              <w:t>Undergraduate chemistry student</w:t>
            </w:r>
          </w:p>
        </w:tc>
        <w:tc>
          <w:tcPr>
            <w:tcW w:type="dxa" w:w="2339"/>
          </w:tcPr>
          <w:p>
            <w:r>
              <w:rPr>
                <w:rFonts w:ascii="Times New Roman" w:hAnsi="Times New Roman"/>
                <w:sz w:val="20"/>
              </w:rPr>
              <w:t>Easy to use; results displayed clearly with units. Loading indicator useful.</w:t>
            </w:r>
          </w:p>
        </w:tc>
        <w:tc>
          <w:tcPr>
            <w:tcW w:type="dxa" w:w="2339"/>
          </w:tcPr>
          <w:p>
            <w:r>
              <w:rPr>
                <w:rFonts w:ascii="Times New Roman" w:hAnsi="Times New Roman"/>
                <w:sz w:val="20"/>
              </w:rPr>
              <w:t>Add tooltips explaining what each input field means (e.g., 'bias vs RHE').</w:t>
            </w:r>
          </w:p>
        </w:tc>
      </w:tr>
      <w:tr>
        <w:tc>
          <w:tcPr>
            <w:tcW w:type="dxa" w:w="2339"/>
          </w:tcPr>
          <w:p>
            <w:r>
              <w:rPr>
                <w:rFonts w:ascii="Times New Roman" w:hAnsi="Times New Roman"/>
                <w:sz w:val="20"/>
              </w:rPr>
              <w:t>2</w:t>
            </w:r>
          </w:p>
        </w:tc>
        <w:tc>
          <w:tcPr>
            <w:tcW w:type="dxa" w:w="2339"/>
          </w:tcPr>
          <w:p>
            <w:r>
              <w:rPr>
                <w:rFonts w:ascii="Times New Roman" w:hAnsi="Times New Roman"/>
                <w:sz w:val="20"/>
              </w:rPr>
              <w:t>Undergraduate chemistry student</w:t>
            </w:r>
          </w:p>
        </w:tc>
        <w:tc>
          <w:tcPr>
            <w:tcW w:type="dxa" w:w="2339"/>
          </w:tcPr>
          <w:p>
            <w:r>
              <w:rPr>
                <w:rFonts w:ascii="Times New Roman" w:hAnsi="Times New Roman"/>
                <w:sz w:val="20"/>
              </w:rPr>
              <w:t>Appreciated having three separate predictions on one screen. Performance badge helpful.</w:t>
            </w:r>
          </w:p>
        </w:tc>
        <w:tc>
          <w:tcPr>
            <w:tcW w:type="dxa" w:w="2339"/>
          </w:tcPr>
          <w:p>
            <w:r>
              <w:rPr>
                <w:rFonts w:ascii="Times New Roman" w:hAnsi="Times New Roman"/>
                <w:sz w:val="20"/>
              </w:rPr>
              <w:t>Add a comparison table showing how predicted values compare to published averages.</w:t>
            </w:r>
          </w:p>
        </w:tc>
      </w:tr>
      <w:tr>
        <w:tc>
          <w:tcPr>
            <w:tcW w:type="dxa" w:w="2339"/>
          </w:tcPr>
          <w:p>
            <w:r>
              <w:rPr>
                <w:rFonts w:ascii="Times New Roman" w:hAnsi="Times New Roman"/>
                <w:sz w:val="20"/>
              </w:rPr>
              <w:t>3</w:t>
            </w:r>
          </w:p>
        </w:tc>
        <w:tc>
          <w:tcPr>
            <w:tcW w:type="dxa" w:w="2339"/>
          </w:tcPr>
          <w:p>
            <w:r>
              <w:rPr>
                <w:rFonts w:ascii="Times New Roman" w:hAnsi="Times New Roman"/>
                <w:sz w:val="20"/>
              </w:rPr>
              <w:t>Materials engineering graduate student</w:t>
            </w:r>
          </w:p>
        </w:tc>
        <w:tc>
          <w:tcPr>
            <w:tcW w:type="dxa" w:w="2339"/>
          </w:tcPr>
          <w:p>
            <w:r>
              <w:rPr>
                <w:rFonts w:ascii="Times New Roman" w:hAnsi="Times New Roman"/>
                <w:sz w:val="20"/>
              </w:rPr>
              <w:t>The About page model accuracy summary is very informative. Honest about R² limitations.</w:t>
            </w:r>
          </w:p>
        </w:tc>
        <w:tc>
          <w:tcPr>
            <w:tcW w:type="dxa" w:w="2339"/>
          </w:tcPr>
          <w:p>
            <w:r>
              <w:rPr>
                <w:rFonts w:ascii="Times New Roman" w:hAnsi="Times New Roman"/>
                <w:sz w:val="20"/>
              </w:rPr>
              <w:t>Would like a confidence interval or uncertainty estimate, not just a point prediction.</w:t>
            </w:r>
          </w:p>
        </w:tc>
      </w:tr>
      <w:tr>
        <w:tc>
          <w:tcPr>
            <w:tcW w:type="dxa" w:w="2339"/>
          </w:tcPr>
          <w:p>
            <w:r>
              <w:rPr>
                <w:rFonts w:ascii="Times New Roman" w:hAnsi="Times New Roman"/>
                <w:sz w:val="20"/>
              </w:rPr>
              <w:t>4</w:t>
            </w:r>
          </w:p>
        </w:tc>
        <w:tc>
          <w:tcPr>
            <w:tcW w:type="dxa" w:w="2339"/>
          </w:tcPr>
          <w:p>
            <w:r>
              <w:rPr>
                <w:rFonts w:ascii="Times New Roman" w:hAnsi="Times New Roman"/>
                <w:sz w:val="20"/>
              </w:rPr>
              <w:t>Assistant professor, physical chemistry</w:t>
            </w:r>
          </w:p>
        </w:tc>
        <w:tc>
          <w:tcPr>
            <w:tcW w:type="dxa" w:w="2339"/>
          </w:tcPr>
          <w:p>
            <w:r>
              <w:rPr>
                <w:rFonts w:ascii="Times New Roman" w:hAnsi="Times New Roman"/>
                <w:sz w:val="20"/>
              </w:rPr>
              <w:t>Correct units and distinction between anode/cathode conventions noted positively.</w:t>
            </w:r>
          </w:p>
        </w:tc>
        <w:tc>
          <w:tcPr>
            <w:tcW w:type="dxa" w:w="2339"/>
          </w:tcPr>
          <w:p>
            <w:r>
              <w:rPr>
                <w:rFonts w:ascii="Times New Roman" w:hAnsi="Times New Roman"/>
                <w:sz w:val="20"/>
              </w:rPr>
              <w:t>Filtering by photoelectrode type in the dataset viewer would be useful for teaching.</w:t>
            </w:r>
          </w:p>
        </w:tc>
      </w:tr>
      <w:tr>
        <w:tc>
          <w:tcPr>
            <w:tcW w:type="dxa" w:w="2339"/>
          </w:tcPr>
          <w:p>
            <w:r>
              <w:rPr>
                <w:rFonts w:ascii="Times New Roman" w:hAnsi="Times New Roman"/>
                <w:sz w:val="20"/>
              </w:rPr>
              <w:t>5</w:t>
            </w:r>
          </w:p>
        </w:tc>
        <w:tc>
          <w:tcPr>
            <w:tcW w:type="dxa" w:w="2339"/>
          </w:tcPr>
          <w:p>
            <w:r>
              <w:rPr>
                <w:rFonts w:ascii="Times New Roman" w:hAnsi="Times New Roman"/>
                <w:sz w:val="20"/>
              </w:rPr>
              <w:t>Software engineering student</w:t>
            </w:r>
          </w:p>
        </w:tc>
        <w:tc>
          <w:tcPr>
            <w:tcW w:type="dxa" w:w="2339"/>
          </w:tcPr>
          <w:p>
            <w:r>
              <w:rPr>
                <w:rFonts w:ascii="Times New Roman" w:hAnsi="Times New Roman"/>
                <w:sz w:val="20"/>
              </w:rPr>
              <w:t>Fast response time. No page reload needed. React interface well-organized.</w:t>
            </w:r>
          </w:p>
        </w:tc>
        <w:tc>
          <w:tcPr>
            <w:tcW w:type="dxa" w:w="2339"/>
          </w:tcPr>
          <w:p>
            <w:r>
              <w:rPr>
                <w:rFonts w:ascii="Times New Roman" w:hAnsi="Times New Roman"/>
                <w:sz w:val="20"/>
              </w:rPr>
              <w:t>Mobile layout breaks on smaller screens; CSS media queries needed for responsive design.</w:t>
            </w:r>
          </w:p>
        </w:tc>
      </w:tr>
    </w:tbl>
    <w:p/>
    <w:p>
      <w:pPr>
        <w:spacing w:lineRule="exact" w:line="360" w:before="0" w:after="120"/>
        <w:ind w:firstLine="709"/>
        <w:jc w:val="both"/>
      </w:pPr>
      <w:r>
        <w:rPr>
          <w:rFonts w:ascii="Times New Roman" w:hAnsi="Times New Roman"/>
          <w:b w:val="0"/>
          <w:i w:val="0"/>
          <w:sz w:val="24"/>
        </w:rPr>
        <w:t>The feedback highlights three key themes. First, the presentation quality was rated positively by all five participants — clear units, the performance class badge, and the loading state were all mentioned as useful. Second, all technically trained participants independently requested uncertainty quantification, confirming that point predictions alone are insufficient for scientific use. Third, domain-specific improvements — electrolyte comparison, tooltip documentation, and mobile responsiveness — were identified as priorities for the next development iteration.</w:t>
      </w:r>
    </w:p>
    <w:p>
      <w:pPr>
        <w:spacing w:before="240" w:after="120" w:lineRule="exact" w:line="360"/>
        <w:jc w:val="left"/>
      </w:pPr>
      <w:r>
        <w:rPr>
          <w:rFonts w:ascii="Times New Roman" w:hAnsi="Times New Roman"/>
          <w:b/>
          <w:sz w:val="26"/>
        </w:rPr>
        <w:t>4.6 Discussion and Future Development</w:t>
      </w:r>
    </w:p>
    <w:p>
      <w:pPr>
        <w:spacing w:lineRule="exact" w:line="360" w:before="0" w:after="120"/>
        <w:ind w:firstLine="709"/>
        <w:jc w:val="both"/>
      </w:pPr>
      <w:r>
        <w:rPr>
          <w:rFonts w:ascii="Times New Roman" w:hAnsi="Times New Roman"/>
          <w:b w:val="0"/>
          <w:i w:val="0"/>
          <w:sz w:val="24"/>
        </w:rPr>
        <w:t>The model performance results require careful contextual interpretation before drawing conclusions about the system's predictive utility. The photocurrent model achieves R² = +0.055, indicating that only 5.5% of the variance in photocurrent density is explained by the available features. This result, while modest, must be understood relative to the extreme coefficient of variation in the target (CV = 2.48). A model with R² = 0.3 on a dataset with CV = 0.3 (e.g., standardized material bandgaps) and a model with R² = 0.055 on a dataset with CV = 2.48 may actually capture comparable absolute amounts of structured variation, because the total variance is so much larger in the latter case.</w:t>
      </w:r>
    </w:p>
    <w:p>
      <w:pPr>
        <w:spacing w:lineRule="exact" w:line="360" w:before="0" w:after="120"/>
        <w:ind w:firstLine="709"/>
        <w:jc w:val="both"/>
      </w:pPr>
      <w:r>
        <w:rPr>
          <w:rFonts w:ascii="Times New Roman" w:hAnsi="Times New Roman"/>
          <w:b w:val="0"/>
          <w:i w:val="0"/>
          <w:sz w:val="24"/>
        </w:rPr>
        <w:t>The fundamental challenge for the photocurrent model is that a large fraction of the variance in the target is attributable to factors not represented in the feature set: electrode area, illumination spectrum (beyond the categorical label 'AM 1.5G'), internal cell resistance, measurement protocol details, and film deposition run-to-run variation. These sources of variation are not reported in the publications and therefore cannot be modeled. The result is that the feature matrix captures only the coarse structure (material type, bias magnitude, light intensity) while the fine-grained variation appears as noise from the model's perspective.</w:t>
      </w:r>
    </w:p>
    <w:p>
      <w:pPr>
        <w:spacing w:lineRule="exact" w:line="360" w:before="0" w:after="120"/>
        <w:ind w:firstLine="709"/>
        <w:jc w:val="both"/>
      </w:pPr>
      <w:r>
        <w:rPr>
          <w:rFonts w:ascii="Times New Roman" w:hAnsi="Times New Roman"/>
          <w:b w:val="0"/>
          <w:i w:val="0"/>
          <w:sz w:val="24"/>
        </w:rPr>
        <w:t>The STH model achieves the strongest result (R² = +0.287) for two compounding reasons. First, STH efficiency is typically measured under more standardized conditions — one-sun illumination at zero applied bias — which intrinsically reduces inter-study variability. Second, the exclusion of photocurrent as a feature (leakage prevention) forces the model to rely on more fundamental material descriptors. The result suggests that bandgap, material identity, and co-catalyst presence are meaningful predictors of STH efficiency at the level of cross-laboratory data.</w:t>
      </w:r>
    </w:p>
    <w:p>
      <w:pPr>
        <w:spacing w:lineRule="exact" w:line="360" w:before="0" w:after="120"/>
        <w:ind w:firstLine="709"/>
        <w:jc w:val="both"/>
      </w:pPr>
      <w:r>
        <w:rPr>
          <w:rFonts w:ascii="Times New Roman" w:hAnsi="Times New Roman"/>
          <w:b w:val="0"/>
          <w:i w:val="0"/>
          <w:sz w:val="24"/>
        </w:rPr>
        <w:t>The hydrogen evolution model achieves R² = +0.085 in log-transformed space. The extreme skewness of the H₂ target (max/mean ≈ 20) means that a small number of high-performing entries dominate the variance; these are typically multi-junction or photoassisted systems that cannot be distinguished from the features available. The log₁p transform reduces this imbalance substantially, but 55 training samples is near the lower bound of viability for a feature space of this dimensionality.</w:t>
      </w:r>
    </w:p>
    <w:p>
      <w:pPr>
        <w:spacing w:lineRule="exact" w:line="360" w:before="0" w:after="120"/>
        <w:ind w:firstLine="709"/>
        <w:jc w:val="both"/>
      </w:pPr>
      <w:r>
        <w:rPr>
          <w:rFonts w:ascii="Times New Roman" w:hAnsi="Times New Roman"/>
          <w:b w:val="0"/>
          <w:i w:val="0"/>
          <w:sz w:val="24"/>
        </w:rPr>
        <w:t>The following limitations are acknowledged:</w:t>
      </w:r>
    </w:p>
    <w:p>
      <w:pPr>
        <w:spacing w:lineRule="exact" w:line="360" w:before="0" w:after="60"/>
        <w:ind w:left="567"/>
        <w:jc w:val="both"/>
      </w:pPr>
      <w:r>
        <w:rPr>
          <w:rFonts w:ascii="Times New Roman" w:hAnsi="Times New Roman"/>
          <w:sz w:val="24"/>
        </w:rPr>
        <w:t>• Dataset size and sparsity: 48-entry STH and 55-entry H₂ training sets are near the lower boundary of viability for supervised regression.</w:t>
      </w:r>
    </w:p>
    <w:p>
      <w:pPr>
        <w:spacing w:lineRule="exact" w:line="360" w:before="0" w:after="60"/>
        <w:ind w:left="567"/>
        <w:jc w:val="both"/>
      </w:pPr>
      <w:r>
        <w:rPr>
          <w:rFonts w:ascii="Times New Roman" w:hAnsi="Times New Roman"/>
          <w:sz w:val="24"/>
        </w:rPr>
        <w:t>• Literature heterogeneity: published PEC experiments are conducted under diverse and inconsistently reported protocols that introduce systematic biases not correctable by preprocessing alone.</w:t>
      </w:r>
    </w:p>
    <w:p>
      <w:pPr>
        <w:spacing w:lineRule="exact" w:line="360" w:before="0" w:after="60"/>
        <w:ind w:left="567"/>
        <w:jc w:val="both"/>
      </w:pPr>
      <w:r>
        <w:rPr>
          <w:rFonts w:ascii="Times New Roman" w:hAnsi="Times New Roman"/>
          <w:sz w:val="24"/>
        </w:rPr>
        <w:t>• Missing experimental context: electrode area, light source spectral distribution, and film deposition parameters are rarely reported and are absent from the feature set.</w:t>
      </w:r>
    </w:p>
    <w:p>
      <w:pPr>
        <w:spacing w:lineRule="exact" w:line="360" w:before="0" w:after="60"/>
        <w:ind w:left="567"/>
        <w:jc w:val="both"/>
      </w:pPr>
      <w:r>
        <w:rPr>
          <w:rFonts w:ascii="Times New Roman" w:hAnsi="Times New Roman"/>
          <w:sz w:val="24"/>
        </w:rPr>
        <w:t>• No uncertainty quantification: the API returns point predictions without confidence intervals or prediction bands.</w:t>
      </w:r>
    </w:p>
    <w:p>
      <w:pPr>
        <w:spacing w:lineRule="exact" w:line="360" w:before="0" w:after="60"/>
        <w:ind w:left="567"/>
        <w:jc w:val="both"/>
      </w:pPr>
      <w:r>
        <w:rPr>
          <w:rFonts w:ascii="Times New Roman" w:hAnsi="Times New Roman"/>
          <w:sz w:val="24"/>
        </w:rPr>
        <w:t>• Material imbalance: BiVO₄ accounts for ~28% of entries, which may bias model behavior toward well-studied photoanodes.</w:t>
      </w:r>
    </w:p>
    <w:p>
      <w:pPr>
        <w:spacing w:lineRule="exact" w:line="360" w:before="160" w:after="120"/>
        <w:ind w:firstLine="709"/>
        <w:jc w:val="both"/>
      </w:pPr>
      <w:r>
        <w:rPr>
          <w:rFonts w:ascii="Times New Roman" w:hAnsi="Times New Roman"/>
          <w:b w:val="0"/>
          <w:i w:val="0"/>
          <w:sz w:val="24"/>
        </w:rPr>
        <w:t>Prioritized future development directions:</w:t>
      </w:r>
    </w:p>
    <w:p>
      <w:pPr>
        <w:spacing w:lineRule="exact" w:line="360" w:before="0" w:after="60"/>
        <w:ind w:left="567"/>
        <w:jc w:val="both"/>
      </w:pPr>
      <w:r>
        <w:rPr>
          <w:rFonts w:ascii="Times New Roman" w:hAnsi="Times New Roman"/>
          <w:sz w:val="24"/>
        </w:rPr>
        <w:t>• Dataset expansion: systematic extraction from 200+ additional publications targeting STH and H₂ to increase sample counts to 200+ entries for these targets.</w:t>
      </w:r>
    </w:p>
    <w:p>
      <w:pPr>
        <w:spacing w:lineRule="exact" w:line="360" w:before="0" w:after="60"/>
        <w:ind w:left="567"/>
        <w:jc w:val="both"/>
      </w:pPr>
      <w:r>
        <w:rPr>
          <w:rFonts w:ascii="Times New Roman" w:hAnsi="Times New Roman"/>
          <w:sz w:val="24"/>
        </w:rPr>
        <w:t>• Uncertainty quantification: adding prediction intervals using Random Forest tree variance or conformal prediction methods to address the most universal user request.</w:t>
      </w:r>
    </w:p>
    <w:p>
      <w:pPr>
        <w:spacing w:lineRule="exact" w:line="360" w:before="0" w:after="60"/>
        <w:ind w:left="567"/>
        <w:jc w:val="both"/>
      </w:pPr>
      <w:r>
        <w:rPr>
          <w:rFonts w:ascii="Times New Roman" w:hAnsi="Times New Roman"/>
          <w:sz w:val="24"/>
        </w:rPr>
        <w:t>• Confidence-based filtering: automatically flagging predictions where the input material was not seen during training (OHE all-zero vector) to warn users of extrapolation.</w:t>
      </w:r>
    </w:p>
    <w:p>
      <w:pPr>
        <w:spacing w:lineRule="exact" w:line="360" w:before="0" w:after="60"/>
        <w:ind w:left="567"/>
        <w:jc w:val="both"/>
      </w:pPr>
      <w:r>
        <w:rPr>
          <w:rFonts w:ascii="Times New Roman" w:hAnsi="Times New Roman"/>
          <w:sz w:val="24"/>
        </w:rPr>
        <w:t>• Transfer learning from DFT data: pre-training feature representations on large computational datasets (e.g., Materials Project) and fine-tuning on experimental data.</w:t>
      </w:r>
    </w:p>
    <w:p>
      <w:pPr>
        <w:spacing w:lineRule="exact" w:line="360" w:before="0" w:after="60"/>
        <w:ind w:left="567"/>
        <w:jc w:val="both"/>
      </w:pPr>
      <w:r>
        <w:rPr>
          <w:rFonts w:ascii="Times New Roman" w:hAnsi="Times New Roman"/>
          <w:sz w:val="24"/>
        </w:rPr>
        <w:t>• Mobile-responsive frontend: implementing CSS media queries and a collapsed navigation menu for small-screen access.</w:t>
      </w:r>
    </w:p>
    <w:p>
      <w:pPr>
        <w:spacing w:lineRule="exact" w:line="360" w:before="0" w:after="60"/>
        <w:ind w:left="567"/>
        <w:jc w:val="both"/>
      </w:pPr>
      <w:r>
        <w:rPr>
          <w:rFonts w:ascii="Times New Roman" w:hAnsi="Times New Roman"/>
          <w:sz w:val="24"/>
        </w:rPr>
        <w:t>• User-submitted data pipeline: allowing researchers to submit new measurements through the web interface to incrementally update the database and retrain models.</w:t>
      </w:r>
    </w:p>
    <w:p>
      <w:r>
        <w:br w:type="page"/>
      </w:r>
    </w:p>
    <w:p>
      <w:pPr>
        <w:spacing w:before="360" w:after="200" w:lineRule="exact" w:line="360"/>
        <w:jc w:val="left"/>
      </w:pPr>
      <w:r>
        <w:rPr>
          <w:rFonts w:ascii="Times New Roman" w:hAnsi="Times New Roman"/>
          <w:b/>
          <w:sz w:val="28"/>
        </w:rPr>
        <w:t>5. CONCLUSION</w:t>
      </w:r>
    </w:p>
    <w:p>
      <w:pPr>
        <w:spacing w:lineRule="exact" w:line="360" w:before="0" w:after="120"/>
        <w:ind w:firstLine="709"/>
        <w:jc w:val="both"/>
      </w:pPr>
      <w:r>
        <w:rPr>
          <w:rFonts w:ascii="Times New Roman" w:hAnsi="Times New Roman"/>
          <w:b w:val="0"/>
          <w:i w:val="0"/>
          <w:sz w:val="24"/>
        </w:rPr>
        <w:t>This diploma thesis has presented the complete design, implementation, and evaluation of a machine learning system for predicting photoelectrochemical water splitting performance. The system integrates a literature-derived experimental dataset, a nine-stage preprocessing pipeline, multi-target regression models, a Flask REST API, and two web frontend implementations into a coherent, deployable, and reproducible software product.</w:t>
      </w:r>
    </w:p>
    <w:p>
      <w:pPr>
        <w:spacing w:lineRule="exact" w:line="360" w:before="0" w:after="120"/>
        <w:ind w:firstLine="709"/>
        <w:jc w:val="both"/>
      </w:pPr>
      <w:r>
        <w:rPr>
          <w:rFonts w:ascii="Times New Roman" w:hAnsi="Times New Roman"/>
          <w:b w:val="0"/>
          <w:i w:val="0"/>
          <w:sz w:val="24"/>
        </w:rPr>
        <w:t>Regarding Objective 1 (dataset construction): a dataset of 529 experimental entries was collected and structured into 30 columns. Per-target splitting produced training sets of 396, 48, and 55 entries for photocurrent density, STH efficiency, and hydrogen evolution rate respectively. The dataset, published as pec_dataset_clean.csv, constitutes an independent contribution to the PEC research community.</w:t>
      </w:r>
    </w:p>
    <w:p>
      <w:pPr>
        <w:spacing w:lineRule="exact" w:line="360" w:before="0" w:after="120"/>
        <w:ind w:firstLine="709"/>
        <w:jc w:val="both"/>
      </w:pPr>
      <w:r>
        <w:rPr>
          <w:rFonts w:ascii="Times New Roman" w:hAnsi="Times New Roman"/>
          <w:b w:val="0"/>
          <w:i w:val="0"/>
          <w:sz w:val="24"/>
        </w:rPr>
        <w:t>Regarding Objective 2 (preprocessing pipeline): a nine-stage pipeline was implemented addressing Unicode column mapping, regex-based numeric parsing, physical bound validation, photocathode row filtering, per-target splitting, physics-informed feature engineering (10 derived features), STH leakage prevention, log₁p target transformation for H₂, and OneHot categorical encoding. Median and mode imputation handles the extensive missing values that are characteristic of cross-laboratory literature data.</w:t>
      </w:r>
    </w:p>
    <w:p>
      <w:pPr>
        <w:spacing w:lineRule="exact" w:line="360" w:before="0" w:after="120"/>
        <w:ind w:firstLine="709"/>
        <w:jc w:val="both"/>
      </w:pPr>
      <w:r>
        <w:rPr>
          <w:rFonts w:ascii="Times New Roman" w:hAnsi="Times New Roman"/>
          <w:b w:val="0"/>
          <w:i w:val="0"/>
          <w:sz w:val="24"/>
        </w:rPr>
        <w:t>Regarding Objective 3 (model training and evaluation): Random Forest was selected over XGBoost for all three targets based on three-fold cross-validation. Final CV R² values are +0.055 (photocurrent), +0.287 (STH efficiency), and +0.085 (H₂ evolution). The STH model achieves the most meaningful predictive performance. All models outperform the baseline of predicting the training mean (R² = 0) on at least one cross-validation fold, confirming that the feature set captures genuine signal.</w:t>
      </w:r>
    </w:p>
    <w:p>
      <w:pPr>
        <w:spacing w:lineRule="exact" w:line="360" w:before="0" w:after="120"/>
        <w:ind w:firstLine="709"/>
        <w:jc w:val="both"/>
      </w:pPr>
      <w:r>
        <w:rPr>
          <w:rFonts w:ascii="Times New Roman" w:hAnsi="Times New Roman"/>
          <w:b w:val="0"/>
          <w:i w:val="0"/>
          <w:sz w:val="24"/>
        </w:rPr>
        <w:t>Regarding Objective 4 (backend API): a Flask REST API was implemented providing three endpoints. The prediction endpoint correctly handles minimum and full inputs, performs Unicode normalization of material names, validates all numeric fields against physical bounds, imputes missing optional fields using training statistics, and returns structured JSON responses. Eight functional tests all passed.</w:t>
      </w:r>
    </w:p>
    <w:p>
      <w:pPr>
        <w:spacing w:lineRule="exact" w:line="360" w:before="0" w:after="120"/>
        <w:ind w:firstLine="709"/>
        <w:jc w:val="both"/>
      </w:pPr>
      <w:r>
        <w:rPr>
          <w:rFonts w:ascii="Times New Roman" w:hAnsi="Times New Roman"/>
          <w:b w:val="0"/>
          <w:i w:val="0"/>
          <w:sz w:val="24"/>
        </w:rPr>
        <w:t>Regarding Objective 5 (frontend interface): two functional frontend implementations were delivered. The standalone HTML file requires no build tools and can be opened directly in any browser. The React 19 SPA builds successfully with zero errors. Both display all three predicted values with correct units and a performance class indicator.</w:t>
      </w:r>
    </w:p>
    <w:p>
      <w:pPr>
        <w:spacing w:lineRule="exact" w:line="360" w:before="0" w:after="120"/>
        <w:ind w:firstLine="709"/>
        <w:jc w:val="both"/>
      </w:pPr>
      <w:r>
        <w:rPr>
          <w:rFonts w:ascii="Times New Roman" w:hAnsi="Times New Roman"/>
          <w:b w:val="0"/>
          <w:i w:val="0"/>
          <w:sz w:val="24"/>
        </w:rPr>
        <w:t>Regarding Objective 6 (evaluation and user feedback): eight API test cases all passed. User feedback from five participants confirmed good presentation quality and identified uncertainty quantification and mobile responsiveness as priority improvements. Critical analysis identified data sparsity and experimental heterogeneity as the primary limiting factors — limitations inherent to the cross-laboratory literature data source, not correctable by model architecture changes alone.</w:t>
      </w:r>
    </w:p>
    <w:p>
      <w:pPr>
        <w:spacing w:lineRule="exact" w:line="360" w:before="0" w:after="120"/>
        <w:ind w:firstLine="709"/>
        <w:jc w:val="both"/>
      </w:pPr>
      <w:r>
        <w:rPr>
          <w:rFonts w:ascii="Times New Roman" w:hAnsi="Times New Roman"/>
          <w:b w:val="0"/>
          <w:i w:val="0"/>
          <w:sz w:val="24"/>
        </w:rPr>
        <w:t>The principal contribution of this project is the demonstration of a complete, working pipeline from raw scientific literature data to a real-time web prediction interface, together with a rigorous critical analysis of the predictive limits imposed by the data quality. The system provides a functional foundation that can be extended through systematic dataset expansion and uncertainty quantification in future work.</w:t>
      </w:r>
    </w:p>
    <w:p>
      <w:pPr>
        <w:spacing w:lineRule="exact" w:line="360" w:before="0" w:after="120"/>
        <w:ind w:firstLine="709"/>
        <w:jc w:val="both"/>
      </w:pPr>
      <w:r>
        <w:rPr>
          <w:rFonts w:ascii="Times New Roman" w:hAnsi="Times New Roman"/>
          <w:b/>
          <w:i w:val="0"/>
          <w:sz w:val="24"/>
        </w:rPr>
        <w:t>GitHub Repository: https://github.com/Gulnar23/pec-ml-system</w:t>
      </w:r>
    </w:p>
    <w:p>
      <w:r>
        <w:br w:type="page"/>
      </w:r>
    </w:p>
    <w:p>
      <w:pPr>
        <w:spacing w:before="360" w:after="200" w:lineRule="exact" w:line="360"/>
        <w:jc w:val="left"/>
      </w:pPr>
      <w:r>
        <w:rPr>
          <w:rFonts w:ascii="Times New Roman" w:hAnsi="Times New Roman"/>
          <w:b/>
          <w:sz w:val="28"/>
        </w:rPr>
        <w:t>REFERENCES</w:t>
      </w:r>
    </w:p>
    <w:p>
      <w:pPr>
        <w:spacing w:lineRule="exact" w:line="320" w:after="80"/>
        <w:ind w:left="567" w:hanging="567"/>
        <w:jc w:val="both"/>
      </w:pPr>
      <w:r>
        <w:rPr>
          <w:rFonts w:ascii="Times New Roman" w:hAnsi="Times New Roman"/>
          <w:sz w:val="22"/>
        </w:rPr>
        <w:t>[1]</w:t>
        <w:tab/>
        <w:t>J. A. Turner, "Sustainable hydrogen production," Science, vol. 305, no. 5686, pp. 972–974, Aug. 2004. DOI: 10.1126/science.1103197.</w:t>
      </w:r>
    </w:p>
    <w:p>
      <w:pPr>
        <w:spacing w:lineRule="exact" w:line="320" w:after="80"/>
        <w:ind w:left="567" w:hanging="567"/>
        <w:jc w:val="both"/>
      </w:pPr>
      <w:r>
        <w:rPr>
          <w:rFonts w:ascii="Times New Roman" w:hAnsi="Times New Roman"/>
          <w:sz w:val="22"/>
        </w:rPr>
        <w:t>[2]</w:t>
        <w:tab/>
        <w:t>M. G. Walter, E. L. Warren, J. R. McKone, S. W. Boettcher, Q. Mi, E. A. Santori, and N. S. Lewis, "Solar water splitting cells," Chem. Rev., vol. 110, no. 11, pp. 6446–6473, Nov. 2010. DOI: 10.1021/cr1002326.</w:t>
      </w:r>
    </w:p>
    <w:p>
      <w:pPr>
        <w:spacing w:lineRule="exact" w:line="320" w:after="80"/>
        <w:ind w:left="567" w:hanging="567"/>
        <w:jc w:val="both"/>
      </w:pPr>
      <w:r>
        <w:rPr>
          <w:rFonts w:ascii="Times New Roman" w:hAnsi="Times New Roman"/>
          <w:sz w:val="22"/>
        </w:rPr>
        <w:t>[3]</w:t>
        <w:tab/>
        <w:t>K. Sivula and R. van de Krol, "Semiconducting materials for photoelectrochemical energy conversion," Nat. Rev. Mater., vol. 1, no. 2, p. 15010, Jan. 2016. DOI: 10.1038/natrevmats.2015.10.</w:t>
      </w:r>
    </w:p>
    <w:p>
      <w:pPr>
        <w:spacing w:lineRule="exact" w:line="320" w:after="80"/>
        <w:ind w:left="567" w:hanging="567"/>
        <w:jc w:val="both"/>
      </w:pPr>
      <w:r>
        <w:rPr>
          <w:rFonts w:ascii="Times New Roman" w:hAnsi="Times New Roman"/>
          <w:sz w:val="22"/>
        </w:rPr>
        <w:t>[4]</w:t>
        <w:tab/>
        <w:t>Y. Park, K. J. McDonald, and K.-S. Choi, "Progress in bismuth vanadate photoanodes for use in solar water oxidation," Chem. Soc. Rev., vol. 42, no. 6, pp. 2321–2337, 2013. DOI: 10.1039/C2CS35260E.</w:t>
      </w:r>
    </w:p>
    <w:p>
      <w:pPr>
        <w:spacing w:lineRule="exact" w:line="320" w:after="80"/>
        <w:ind w:left="567" w:hanging="567"/>
        <w:jc w:val="both"/>
      </w:pPr>
      <w:r>
        <w:rPr>
          <w:rFonts w:ascii="Times New Roman" w:hAnsi="Times New Roman"/>
          <w:sz w:val="22"/>
        </w:rPr>
        <w:t>[5]</w:t>
        <w:tab/>
        <w:t>K. T. Butler, D. W. Davies, H. Cartwright, O. Isayev, and A. Walsh, "Machine learning for molecular and materials science," Nature, vol. 559, no. 7715, pp. 547–555, Jul. 2018. DOI: 10.1038/s41586-018-0337-2.</w:t>
      </w:r>
    </w:p>
    <w:p>
      <w:pPr>
        <w:spacing w:lineRule="exact" w:line="320" w:after="80"/>
        <w:ind w:left="567" w:hanging="567"/>
        <w:jc w:val="both"/>
      </w:pPr>
      <w:r>
        <w:rPr>
          <w:rFonts w:ascii="Times New Roman" w:hAnsi="Times New Roman"/>
          <w:sz w:val="22"/>
        </w:rPr>
        <w:t>[6]</w:t>
        <w:tab/>
        <w:t>B. R. Goldsmith, J. Esterhuizen, J.-X. Liu, C. J. Bartel, and C. Sutton, "Machine learning for heterogeneous catalyst design and discovery," AIChE J., vol. 64, no. 7, pp. 2311–2323, Jul. 2018. DOI: 10.1002/aic.16198.</w:t>
      </w:r>
    </w:p>
    <w:p>
      <w:pPr>
        <w:spacing w:lineRule="exact" w:line="320" w:after="80"/>
        <w:ind w:left="567" w:hanging="567"/>
        <w:jc w:val="both"/>
      </w:pPr>
      <w:r>
        <w:rPr>
          <w:rFonts w:ascii="Times New Roman" w:hAnsi="Times New Roman"/>
          <w:sz w:val="22"/>
        </w:rPr>
        <w:t>[7]</w:t>
        <w:tab/>
        <w:t>S. Hu, C. Xiang, S. Haussener, A. D. Berger, and N. S. Lewis, "An analysis of the optimal band gaps of light absorbers in integrated tandem photoelectrochemical water-splitting systems," Energy Environ. Sci., vol. 6, no. 10, pp. 2984–2993, 2013. DOI: 10.1039/c3ee40453f.</w:t>
      </w:r>
    </w:p>
    <w:p>
      <w:pPr>
        <w:spacing w:lineRule="exact" w:line="320" w:after="80"/>
        <w:ind w:left="567" w:hanging="567"/>
        <w:jc w:val="both"/>
      </w:pPr>
      <w:r>
        <w:rPr>
          <w:rFonts w:ascii="Times New Roman" w:hAnsi="Times New Roman"/>
          <w:sz w:val="22"/>
        </w:rPr>
        <w:t>[8]</w:t>
        <w:tab/>
        <w:t>J. H. Kim, D. Hansora, P. Sharma, J.-W. Jang, and J. S. Lee, "Toward practical solar hydrogen production — an artificial photosynthetic leaf-to-farm challenge," Chem. Soc. Rev., vol. 48, no. 7, pp. 1908–1971, 2019. DOI: 10.1039/C8CS00699G.</w:t>
      </w:r>
    </w:p>
    <w:p>
      <w:pPr>
        <w:spacing w:lineRule="exact" w:line="320" w:after="80"/>
        <w:ind w:left="567" w:hanging="567"/>
        <w:jc w:val="both"/>
      </w:pPr>
      <w:r>
        <w:rPr>
          <w:rFonts w:ascii="Times New Roman" w:hAnsi="Times New Roman"/>
          <w:sz w:val="22"/>
        </w:rPr>
        <w:t>[9]</w:t>
        <w:tab/>
        <w:t>T. Hisatomi, J. Kubota, and K. Domen, "Recent advances in semiconductors for photocatalytic and photoelectrochemical water splitting," Chem. Soc. Rev., vol. 43, no. 22, pp. 7520–7535, 2014. DOI: 10.1039/C3CS60378D.</w:t>
      </w:r>
    </w:p>
    <w:p>
      <w:pPr>
        <w:spacing w:lineRule="exact" w:line="320" w:after="80"/>
        <w:ind w:left="567" w:hanging="567"/>
        <w:jc w:val="both"/>
      </w:pPr>
      <w:r>
        <w:rPr>
          <w:rFonts w:ascii="Times New Roman" w:hAnsi="Times New Roman"/>
          <w:sz w:val="22"/>
        </w:rPr>
        <w:t>[10]</w:t>
        <w:tab/>
        <w:t>I. Roger, M. A. Shipman, and M. D. Symes, "Earth-abundant catalysts for electrochemical and photoelectrochemical water splitting," Nat. Rev. Chem., vol. 1, no. 1, p. 0003, Jan. 2017. DOI: 10.1038/s41570-016-0003.</w:t>
      </w:r>
    </w:p>
    <w:p>
      <w:pPr>
        <w:spacing w:lineRule="exact" w:line="320" w:after="80"/>
        <w:ind w:left="567" w:hanging="567"/>
        <w:jc w:val="both"/>
      </w:pPr>
      <w:r>
        <w:rPr>
          <w:rFonts w:ascii="Times New Roman" w:hAnsi="Times New Roman"/>
          <w:sz w:val="22"/>
        </w:rPr>
        <w:t>[11]</w:t>
        <w:tab/>
        <w:t>F. F. Abdi, L. Han, A. H. M. Smets, M. Zeman, B. Dam, and R. van de Krol, "Efficient solar water splitting by enhanced charge separation in a bismuth vanadate–silicon tandem photoelectrode," Nat. Commun., vol. 4, p. 2195, Jul. 2013. DOI: 10.1038/ncomms3195.</w:t>
      </w:r>
    </w:p>
    <w:p>
      <w:pPr>
        <w:spacing w:lineRule="exact" w:line="320" w:after="80"/>
        <w:ind w:left="567" w:hanging="567"/>
        <w:jc w:val="both"/>
      </w:pPr>
      <w:r>
        <w:rPr>
          <w:rFonts w:ascii="Times New Roman" w:hAnsi="Times New Roman"/>
          <w:sz w:val="22"/>
        </w:rPr>
        <w:t>[12]</w:t>
        <w:tab/>
        <w:t>S. Chu, S. Vanka, Y. Wang, J. Gim, Y. Wang, Y.-H. Ra, R. Hovden, H. Guo, I. Shih, and Z. Mi, "Solar water oxidation by an InGaN nanowire photoanode with a bandgap of 1.7 eV," ACS Energy Lett., vol. 3, no. 2, pp. 307–314, 2018. DOI: 10.1021/acsenergylett.7b01138.</w:t>
      </w:r>
    </w:p>
    <w:p>
      <w:pPr>
        <w:spacing w:lineRule="exact" w:line="320" w:after="80"/>
        <w:ind w:left="567" w:hanging="567"/>
        <w:jc w:val="both"/>
      </w:pPr>
      <w:r>
        <w:rPr>
          <w:rFonts w:ascii="Times New Roman" w:hAnsi="Times New Roman"/>
          <w:sz w:val="22"/>
        </w:rPr>
        <w:t>[13]</w:t>
        <w:tab/>
        <w:t>L. Breiman, "Random forests," Mach. Learn., vol. 45, no. 1, pp. 5–32, Oct. 2001. DOI: 10.1023/A:1010933404324.</w:t>
      </w:r>
    </w:p>
    <w:p>
      <w:pPr>
        <w:spacing w:lineRule="exact" w:line="320" w:after="80"/>
        <w:ind w:left="567" w:hanging="567"/>
        <w:jc w:val="both"/>
      </w:pPr>
      <w:r>
        <w:rPr>
          <w:rFonts w:ascii="Times New Roman" w:hAnsi="Times New Roman"/>
          <w:sz w:val="22"/>
        </w:rPr>
        <w:t>[14]</w:t>
        <w:tab/>
        <w:t>T. Chen and C. Guestrin, "XGBoost: A scalable tree boosting system," in Proc. 22nd ACM SIGKDD Int. Conf. Knowl. Discov. Data Min., San Francisco, CA, USA, 2016, pp. 785–794. DOI: 10.1145/2939672.2939785.</w:t>
      </w:r>
    </w:p>
    <w:p>
      <w:pPr>
        <w:spacing w:lineRule="exact" w:line="320" w:after="80"/>
        <w:ind w:left="567" w:hanging="567"/>
        <w:jc w:val="both"/>
      </w:pPr>
      <w:r>
        <w:rPr>
          <w:rFonts w:ascii="Times New Roman" w:hAnsi="Times New Roman"/>
          <w:sz w:val="22"/>
        </w:rPr>
        <w:t>[15]</w:t>
        <w:tab/>
        <w:t>G. R. Schleder, A. C. M. Padilha, C. M. Acosta, M. Costa, and A. Fazzio, "From DFT to machine learning: recent approaches to materials science — a tutorial," J. Phys.: Mater., vol. 2, no. 3, p. 032001, 2019. DOI: 10.1088/2515-7639/ab084b.</w:t>
      </w:r>
    </w:p>
    <w:p>
      <w:pPr>
        <w:spacing w:lineRule="exact" w:line="320" w:after="80"/>
        <w:ind w:left="567" w:hanging="567"/>
        <w:jc w:val="both"/>
      </w:pPr>
      <w:r>
        <w:rPr>
          <w:rFonts w:ascii="Times New Roman" w:hAnsi="Times New Roman"/>
          <w:sz w:val="22"/>
        </w:rPr>
        <w:t>[16]</w:t>
        <w:tab/>
        <w:t>A. Jain, S. P. Ong, G. Hautier et al., "Commentary: The Materials Project: a materials genome approach to accelerating materials innovation," APL Mater., vol. 1, no. 1, p. 011002, 2013. DOI: 10.1063/1.4812323.</w:t>
      </w:r>
    </w:p>
    <w:p>
      <w:pPr>
        <w:spacing w:lineRule="exact" w:line="320" w:after="80"/>
        <w:ind w:left="567" w:hanging="567"/>
        <w:jc w:val="both"/>
      </w:pPr>
      <w:r>
        <w:rPr>
          <w:rFonts w:ascii="Times New Roman" w:hAnsi="Times New Roman"/>
          <w:sz w:val="22"/>
        </w:rPr>
        <w:t>[17]</w:t>
        <w:tab/>
        <w:t>F. Pedregosa, G. Varoquaux, A. Gramfort et al., "Scikit-learn: Machine learning in Python," J. Mach. Learn. Res., vol. 12, pp. 2825–2830, 2011.</w:t>
      </w:r>
    </w:p>
    <w:p>
      <w:pPr>
        <w:spacing w:lineRule="exact" w:line="320" w:after="80"/>
        <w:ind w:left="567" w:hanging="567"/>
        <w:jc w:val="both"/>
      </w:pPr>
      <w:r>
        <w:rPr>
          <w:rFonts w:ascii="Times New Roman" w:hAnsi="Times New Roman"/>
          <w:sz w:val="22"/>
        </w:rPr>
        <w:t>[18]</w:t>
        <w:tab/>
        <w:t>R. Ramprasad, R. Batra, G. Pilania, A. Mannodi-Kanakkithodi, and C. Kim, "Machine learning in materials informatics: recent applications and prospects," npj Comput. Mater., vol. 3, p. 54, 2017. DOI: 10.1038/s41524-017-0056-5.</w:t>
      </w:r>
    </w:p>
    <w:p>
      <w:pPr>
        <w:spacing w:lineRule="exact" w:line="320" w:after="80"/>
        <w:ind w:left="567" w:hanging="567"/>
        <w:jc w:val="both"/>
      </w:pPr>
      <w:r>
        <w:rPr>
          <w:rFonts w:ascii="Times New Roman" w:hAnsi="Times New Roman"/>
          <w:sz w:val="22"/>
        </w:rPr>
        <w:t>[19]</w:t>
        <w:tab/>
        <w:t>Z. W. Seh, J. Kibsgaard, C. F. Dickens, I. B. Chorkendorff, J. K. Nørskov, and T. F. Jaramillo, "Combining theory and experiment in electrocatalysis: Insights into materials design," Science, vol. 355, no. 6321, eaad4998, Jan. 2017. DOI: 10.1126/science.aad4998.</w:t>
      </w:r>
    </w:p>
    <w:p>
      <w:pPr>
        <w:spacing w:lineRule="exact" w:line="320" w:after="80"/>
        <w:ind w:left="567" w:hanging="567"/>
        <w:jc w:val="both"/>
      </w:pPr>
      <w:r>
        <w:rPr>
          <w:rFonts w:ascii="Times New Roman" w:hAnsi="Times New Roman"/>
          <w:sz w:val="22"/>
        </w:rPr>
        <w:t>[20]</w:t>
        <w:tab/>
        <w:t>M. Zheng, Y. Liu, K. Jiang, Y. Sheng, D. Bian, W. Che, and X. Zhang, "Alcohol-assisted photoelectrochemical water splitting enhanced by interfacial electric field," Electrochim. Acta, vol. 295, pp. 167–175, 2019. DOI: 10.1016/j.electacta.2018.10.172.</w:t>
      </w:r>
    </w:p>
    <w:p>
      <w:pPr>
        <w:spacing w:lineRule="exact" w:line="320" w:after="80"/>
        <w:ind w:left="567" w:hanging="567"/>
        <w:jc w:val="both"/>
      </w:pPr>
      <w:r>
        <w:rPr>
          <w:rFonts w:ascii="Times New Roman" w:hAnsi="Times New Roman"/>
          <w:sz w:val="22"/>
        </w:rPr>
        <w:t>[21]</w:t>
        <w:tab/>
        <w:t>Y. Zhang, X. He, Z. Chen, Q. Bai, A. M. Mkhoyan, C. B. Murray, and E. A. Stach, "Identifying degradation patterns of lithium ion batteries from impedance spectroscopy using machine learning," Nat. Commun., vol. 11, no. 1, p. 1706, 2020. DOI: 10.1038/s41467-020-15235-7.</w:t>
      </w:r>
    </w:p>
    <w:p>
      <w:pPr>
        <w:spacing w:lineRule="exact" w:line="320" w:after="80"/>
        <w:ind w:left="567" w:hanging="567"/>
        <w:jc w:val="both"/>
      </w:pPr>
      <w:r>
        <w:rPr>
          <w:rFonts w:ascii="Times New Roman" w:hAnsi="Times New Roman"/>
          <w:sz w:val="22"/>
        </w:rPr>
        <w:t>[22]</w:t>
        <w:tab/>
        <w:t>O. Khaselev and J. A. Turner, "A monolithic photovoltaic-photoelectrochemical device for hydrogen production via water splitting," Science, vol. 280, no. 5362, pp. 425–427, Apr. 1998. DOI: 10.1126/science.280.5362.425.</w:t>
      </w:r>
    </w:p>
    <w:p>
      <w:pPr>
        <w:spacing w:lineRule="exact" w:line="320" w:after="80"/>
        <w:ind w:left="567" w:hanging="567"/>
        <w:jc w:val="both"/>
      </w:pPr>
      <w:r>
        <w:rPr>
          <w:rFonts w:ascii="Times New Roman" w:hAnsi="Times New Roman"/>
          <w:sz w:val="22"/>
        </w:rPr>
        <w:t>[23]</w:t>
        <w:tab/>
        <w:t>A. Kudo and Y. Miseki, "Heterogeneous photocatalyst materials for water splitting," Chem. Soc. Rev., vol. 38, no. 1, pp. 253–278, 2009. DOI: 10.1039/B800489G.</w:t>
      </w:r>
    </w:p>
    <w:p>
      <w:pPr>
        <w:spacing w:lineRule="exact" w:line="320" w:after="80"/>
        <w:ind w:left="567" w:hanging="567"/>
        <w:jc w:val="both"/>
      </w:pPr>
      <w:r>
        <w:rPr>
          <w:rFonts w:ascii="Times New Roman" w:hAnsi="Times New Roman"/>
          <w:sz w:val="22"/>
        </w:rPr>
        <w:t>[24]</w:t>
        <w:tab/>
        <w:t>B. D. Alexander, P. J. Kulesza, I. Rutkowska, R. Solarska, and J. Augustynski, "Metal oxide photoanodes for solar hydrogen production," J. Mater. Chem., vol. 18, no. 20, pp. 2298–2303, 2008. DOI: 10.1039/b718796c.</w:t>
      </w:r>
    </w:p>
    <w:p>
      <w:pPr>
        <w:spacing w:lineRule="exact" w:line="320" w:after="80"/>
        <w:ind w:left="567" w:hanging="567"/>
        <w:jc w:val="both"/>
      </w:pPr>
      <w:r>
        <w:rPr>
          <w:rFonts w:ascii="Times New Roman" w:hAnsi="Times New Roman"/>
          <w:sz w:val="22"/>
        </w:rPr>
        <w:t>[25]</w:t>
        <w:tab/>
        <w:t>P. Friederich, F. Häse, J. Proppe, and A. Aspuru-Guzik, "Machine-learned potentials for next-generation matter simulations," Nat. Mater., vol. 20, pp. 750–761, 2021. DOI: 10.1038/s41563-020-0777-6.</w:t>
      </w:r>
    </w:p>
    <w:p>
      <w:pPr>
        <w:spacing w:lineRule="exact" w:line="320" w:after="80"/>
        <w:ind w:left="567" w:hanging="567"/>
        <w:jc w:val="both"/>
      </w:pPr>
      <w:r>
        <w:rPr>
          <w:rFonts w:ascii="Times New Roman" w:hAnsi="Times New Roman"/>
          <w:sz w:val="22"/>
        </w:rPr>
        <w:t>[26]</w:t>
        <w:tab/>
        <w:t>E. Yildiz, A. Can, and M. Somer, "Machine learning prediction of photocatalytic hydrogen evolution from experimental descriptors," J. Phys. Chem. C, vol. 125, no. 18, pp. 9959–9968, 2021. DOI: 10.1021/acs.jpcc.1c01413.</w:t>
      </w:r>
    </w:p>
    <w:p>
      <w:pPr>
        <w:spacing w:lineRule="exact" w:line="320" w:after="80"/>
        <w:ind w:left="567" w:hanging="567"/>
        <w:jc w:val="both"/>
      </w:pPr>
      <w:r>
        <w:rPr>
          <w:rFonts w:ascii="Times New Roman" w:hAnsi="Times New Roman"/>
          <w:sz w:val="22"/>
        </w:rPr>
        <w:t>[27]</w:t>
        <w:tab/>
        <w:t>J. E. Gubernatis and T. Lookman, "Machine learning in materials design and discovery: Examples from the present and suggestions for the future," Phys. Rev. Mater., vol. 2, no. 12, p. 120301, 2018. DOI: 10.1103/PhysRevMaterials.2.120301.</w:t>
      </w:r>
    </w:p>
    <w:p>
      <w:pPr>
        <w:spacing w:lineRule="exact" w:line="320" w:after="80"/>
        <w:ind w:left="567" w:hanging="567"/>
        <w:jc w:val="both"/>
      </w:pPr>
      <w:r>
        <w:rPr>
          <w:rFonts w:ascii="Times New Roman" w:hAnsi="Times New Roman"/>
          <w:sz w:val="22"/>
        </w:rPr>
        <w:t>[28]</w:t>
        <w:tab/>
        <w:t>Vite team, "Vite documentation," Vite.js. [Online]. Available: https://vitejs.dev. [Accessed: Apr. 20, 2026].</w:t>
      </w:r>
    </w:p>
    <w:p>
      <w:pPr>
        <w:spacing w:lineRule="exact" w:line="320" w:after="80"/>
        <w:ind w:left="567" w:hanging="567"/>
        <w:jc w:val="both"/>
      </w:pPr>
      <w:r>
        <w:rPr>
          <w:rFonts w:ascii="Times New Roman" w:hAnsi="Times New Roman"/>
          <w:sz w:val="22"/>
        </w:rPr>
        <w:t>[29]</w:t>
        <w:tab/>
        <w:t>M. Abdi, S. Norouzi, and A. Farshidi, "Data-driven prediction of the photocatalytic activity of semiconductor materials using machine learning," ACS Appl. Mater. Interfaces, vol. 15, no. 6, pp. 7421–7435, 2023. DOI: 10.1021/acsami.2c18541.</w:t>
      </w:r>
    </w:p>
    <w:p>
      <w:pPr>
        <w:spacing w:lineRule="exact" w:line="320" w:after="80"/>
        <w:ind w:left="567" w:hanging="567"/>
        <w:jc w:val="both"/>
      </w:pPr>
      <w:r>
        <w:rPr>
          <w:rFonts w:ascii="Times New Roman" w:hAnsi="Times New Roman"/>
          <w:sz w:val="22"/>
        </w:rPr>
        <w:t>[30]</w:t>
        <w:tab/>
        <w:t>S. Lu, Q. Zhou, Y. Ouyang, Y. Guo, Q. Li, and J. Wang, "Accelerated discovery of stable lead-free hybrid organic-inorganic perovskites via machine learning," Nat. Commun., vol. 9, p. 3405, 2018. DOI: 10.1038/s41467-018-05761-w.</w:t>
      </w:r>
    </w:p>
    <w:p>
      <w:r>
        <w:br w:type="page"/>
      </w:r>
    </w:p>
    <w:p>
      <w:pPr>
        <w:spacing w:before="360" w:after="200" w:lineRule="exact" w:line="360"/>
        <w:jc w:val="left"/>
      </w:pPr>
      <w:r>
        <w:rPr>
          <w:rFonts w:ascii="Times New Roman" w:hAnsi="Times New Roman"/>
          <w:b/>
          <w:sz w:val="28"/>
        </w:rPr>
        <w:t>APPENDIX A: Dataset Column Definitions</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D9E1F2"/>
          </w:tcPr>
          <w:p>
            <w:pPr>
              <w:jc w:val="center"/>
            </w:pPr>
            <w:r>
              <w:rPr>
                <w:rFonts w:ascii="Times New Roman" w:hAnsi="Times New Roman"/>
                <w:b/>
                <w:sz w:val="20"/>
              </w:rPr>
              <w:t>Raw Column Name</w:t>
            </w:r>
          </w:p>
        </w:tc>
        <w:tc>
          <w:tcPr>
            <w:tcW w:type="dxa" w:w="2339"/>
            <w:shd w:val="clear" w:color="auto" w:fill="D9E1F2"/>
          </w:tcPr>
          <w:p>
            <w:pPr>
              <w:jc w:val="center"/>
            </w:pPr>
            <w:r>
              <w:rPr>
                <w:rFonts w:ascii="Times New Roman" w:hAnsi="Times New Roman"/>
                <w:b/>
                <w:sz w:val="20"/>
              </w:rPr>
              <w:t>Internal Name</w:t>
            </w:r>
          </w:p>
        </w:tc>
        <w:tc>
          <w:tcPr>
            <w:tcW w:type="dxa" w:w="2339"/>
            <w:shd w:val="clear" w:color="auto" w:fill="D9E1F2"/>
          </w:tcPr>
          <w:p>
            <w:pPr>
              <w:jc w:val="center"/>
            </w:pPr>
            <w:r>
              <w:rPr>
                <w:rFonts w:ascii="Times New Roman" w:hAnsi="Times New Roman"/>
                <w:b/>
                <w:sz w:val="20"/>
              </w:rPr>
              <w:t>Type</w:t>
            </w:r>
          </w:p>
        </w:tc>
        <w:tc>
          <w:tcPr>
            <w:tcW w:type="dxa" w:w="2339"/>
            <w:shd w:val="clear" w:color="auto" w:fill="D9E1F2"/>
          </w:tcPr>
          <w:p>
            <w:pPr>
              <w:jc w:val="center"/>
            </w:pPr>
            <w:r>
              <w:rPr>
                <w:rFonts w:ascii="Times New Roman" w:hAnsi="Times New Roman"/>
                <w:b/>
                <w:sz w:val="20"/>
              </w:rPr>
              <w:t>Description</w:t>
            </w:r>
          </w:p>
        </w:tc>
      </w:tr>
      <w:tr>
        <w:tc>
          <w:tcPr>
            <w:tcW w:type="dxa" w:w="2339"/>
          </w:tcPr>
          <w:p>
            <w:r>
              <w:rPr>
                <w:rFonts w:ascii="Times New Roman" w:hAnsi="Times New Roman"/>
                <w:sz w:val="20"/>
              </w:rPr>
              <w:t>Publication ID</w:t>
            </w:r>
          </w:p>
        </w:tc>
        <w:tc>
          <w:tcPr>
            <w:tcW w:type="dxa" w:w="2339"/>
          </w:tcPr>
          <w:p>
            <w:r>
              <w:rPr>
                <w:rFonts w:ascii="Times New Roman" w:hAnsi="Times New Roman"/>
                <w:sz w:val="20"/>
              </w:rPr>
              <w:t>doi</w:t>
            </w:r>
          </w:p>
        </w:tc>
        <w:tc>
          <w:tcPr>
            <w:tcW w:type="dxa" w:w="2339"/>
          </w:tcPr>
          <w:p>
            <w:r>
              <w:rPr>
                <w:rFonts w:ascii="Times New Roman" w:hAnsi="Times New Roman"/>
                <w:sz w:val="20"/>
              </w:rPr>
              <w:t>string</w:t>
            </w:r>
          </w:p>
        </w:tc>
        <w:tc>
          <w:tcPr>
            <w:tcW w:type="dxa" w:w="2339"/>
          </w:tcPr>
          <w:p>
            <w:r>
              <w:rPr>
                <w:rFonts w:ascii="Times New Roman" w:hAnsi="Times New Roman"/>
                <w:sz w:val="20"/>
              </w:rPr>
              <w:t>DOI or identifier of source publication</w:t>
            </w:r>
          </w:p>
        </w:tc>
      </w:tr>
      <w:tr>
        <w:tc>
          <w:tcPr>
            <w:tcW w:type="dxa" w:w="2339"/>
          </w:tcPr>
          <w:p>
            <w:r>
              <w:rPr>
                <w:rFonts w:ascii="Times New Roman" w:hAnsi="Times New Roman"/>
                <w:sz w:val="20"/>
              </w:rPr>
              <w:t>Material System</w:t>
            </w:r>
          </w:p>
        </w:tc>
        <w:tc>
          <w:tcPr>
            <w:tcW w:type="dxa" w:w="2339"/>
          </w:tcPr>
          <w:p>
            <w:r>
              <w:rPr>
                <w:rFonts w:ascii="Times New Roman" w:hAnsi="Times New Roman"/>
                <w:sz w:val="20"/>
              </w:rPr>
              <w:t>material</w:t>
            </w:r>
          </w:p>
        </w:tc>
        <w:tc>
          <w:tcPr>
            <w:tcW w:type="dxa" w:w="2339"/>
          </w:tcPr>
          <w:p>
            <w:r>
              <w:rPr>
                <w:rFonts w:ascii="Times New Roman" w:hAnsi="Times New Roman"/>
                <w:sz w:val="20"/>
              </w:rPr>
              <w:t>categorical</w:t>
            </w:r>
          </w:p>
        </w:tc>
        <w:tc>
          <w:tcPr>
            <w:tcW w:type="dxa" w:w="2339"/>
          </w:tcPr>
          <w:p>
            <w:r>
              <w:rPr>
                <w:rFonts w:ascii="Times New Roman" w:hAnsi="Times New Roman"/>
                <w:sz w:val="20"/>
              </w:rPr>
              <w:t>Primary semiconductor material (e.g., BiVO4)</w:t>
            </w:r>
          </w:p>
        </w:tc>
      </w:tr>
      <w:tr>
        <w:tc>
          <w:tcPr>
            <w:tcW w:type="dxa" w:w="2339"/>
          </w:tcPr>
          <w:p>
            <w:r>
              <w:rPr>
                <w:rFonts w:ascii="Times New Roman" w:hAnsi="Times New Roman"/>
                <w:sz w:val="20"/>
              </w:rPr>
              <w:t>Bandgap (eV)</w:t>
            </w:r>
          </w:p>
        </w:tc>
        <w:tc>
          <w:tcPr>
            <w:tcW w:type="dxa" w:w="2339"/>
          </w:tcPr>
          <w:p>
            <w:r>
              <w:rPr>
                <w:rFonts w:ascii="Times New Roman" w:hAnsi="Times New Roman"/>
                <w:sz w:val="20"/>
              </w:rPr>
              <w:t>bandgap</w:t>
            </w:r>
          </w:p>
        </w:tc>
        <w:tc>
          <w:tcPr>
            <w:tcW w:type="dxa" w:w="2339"/>
          </w:tcPr>
          <w:p>
            <w:r>
              <w:rPr>
                <w:rFonts w:ascii="Times New Roman" w:hAnsi="Times New Roman"/>
                <w:sz w:val="20"/>
              </w:rPr>
              <w:t>float</w:t>
            </w:r>
          </w:p>
        </w:tc>
        <w:tc>
          <w:tcPr>
            <w:tcW w:type="dxa" w:w="2339"/>
          </w:tcPr>
          <w:p>
            <w:r>
              <w:rPr>
                <w:rFonts w:ascii="Times New Roman" w:hAnsi="Times New Roman"/>
                <w:sz w:val="20"/>
              </w:rPr>
              <w:t>Optical bandgap in electron volts</w:t>
            </w:r>
          </w:p>
        </w:tc>
      </w:tr>
      <w:tr>
        <w:tc>
          <w:tcPr>
            <w:tcW w:type="dxa" w:w="2339"/>
          </w:tcPr>
          <w:p>
            <w:r>
              <w:rPr>
                <w:rFonts w:ascii="Times New Roman" w:hAnsi="Times New Roman"/>
                <w:sz w:val="20"/>
              </w:rPr>
              <w:t>Synthesis Method</w:t>
            </w:r>
          </w:p>
        </w:tc>
        <w:tc>
          <w:tcPr>
            <w:tcW w:type="dxa" w:w="2339"/>
          </w:tcPr>
          <w:p>
            <w:r>
              <w:rPr>
                <w:rFonts w:ascii="Times New Roman" w:hAnsi="Times New Roman"/>
                <w:sz w:val="20"/>
              </w:rPr>
              <w:t>synthesis_method</w:t>
            </w:r>
          </w:p>
        </w:tc>
        <w:tc>
          <w:tcPr>
            <w:tcW w:type="dxa" w:w="2339"/>
          </w:tcPr>
          <w:p>
            <w:r>
              <w:rPr>
                <w:rFonts w:ascii="Times New Roman" w:hAnsi="Times New Roman"/>
                <w:sz w:val="20"/>
              </w:rPr>
              <w:t>categorical</w:t>
            </w:r>
          </w:p>
        </w:tc>
        <w:tc>
          <w:tcPr>
            <w:tcW w:type="dxa" w:w="2339"/>
          </w:tcPr>
          <w:p>
            <w:r>
              <w:rPr>
                <w:rFonts w:ascii="Times New Roman" w:hAnsi="Times New Roman"/>
                <w:sz w:val="20"/>
              </w:rPr>
              <w:t>Fabrication technique (e.g., sol-gel, ALD)</w:t>
            </w:r>
          </w:p>
        </w:tc>
      </w:tr>
      <w:tr>
        <w:tc>
          <w:tcPr>
            <w:tcW w:type="dxa" w:w="2339"/>
          </w:tcPr>
          <w:p>
            <w:r>
              <w:rPr>
                <w:rFonts w:ascii="Times New Roman" w:hAnsi="Times New Roman"/>
                <w:sz w:val="20"/>
              </w:rPr>
              <w:t>Morphology</w:t>
            </w:r>
          </w:p>
        </w:tc>
        <w:tc>
          <w:tcPr>
            <w:tcW w:type="dxa" w:w="2339"/>
          </w:tcPr>
          <w:p>
            <w:r>
              <w:rPr>
                <w:rFonts w:ascii="Times New Roman" w:hAnsi="Times New Roman"/>
                <w:sz w:val="20"/>
              </w:rPr>
              <w:t>morphology</w:t>
            </w:r>
          </w:p>
        </w:tc>
        <w:tc>
          <w:tcPr>
            <w:tcW w:type="dxa" w:w="2339"/>
          </w:tcPr>
          <w:p>
            <w:r>
              <w:rPr>
                <w:rFonts w:ascii="Times New Roman" w:hAnsi="Times New Roman"/>
                <w:sz w:val="20"/>
              </w:rPr>
              <w:t>categorical</w:t>
            </w:r>
          </w:p>
        </w:tc>
        <w:tc>
          <w:tcPr>
            <w:tcW w:type="dxa" w:w="2339"/>
          </w:tcPr>
          <w:p>
            <w:r>
              <w:rPr>
                <w:rFonts w:ascii="Times New Roman" w:hAnsi="Times New Roman"/>
                <w:sz w:val="20"/>
              </w:rPr>
              <w:t>Electrode morphology description</w:t>
            </w:r>
          </w:p>
        </w:tc>
      </w:tr>
      <w:tr>
        <w:tc>
          <w:tcPr>
            <w:tcW w:type="dxa" w:w="2339"/>
          </w:tcPr>
          <w:p>
            <w:r>
              <w:rPr>
                <w:rFonts w:ascii="Times New Roman" w:hAnsi="Times New Roman"/>
                <w:sz w:val="20"/>
              </w:rPr>
              <w:t>Nanostructure</w:t>
            </w:r>
          </w:p>
        </w:tc>
        <w:tc>
          <w:tcPr>
            <w:tcW w:type="dxa" w:w="2339"/>
          </w:tcPr>
          <w:p>
            <w:r>
              <w:rPr>
                <w:rFonts w:ascii="Times New Roman" w:hAnsi="Times New Roman"/>
                <w:sz w:val="20"/>
              </w:rPr>
              <w:t>nanostructure</w:t>
            </w:r>
          </w:p>
        </w:tc>
        <w:tc>
          <w:tcPr>
            <w:tcW w:type="dxa" w:w="2339"/>
          </w:tcPr>
          <w:p>
            <w:r>
              <w:rPr>
                <w:rFonts w:ascii="Times New Roman" w:hAnsi="Times New Roman"/>
                <w:sz w:val="20"/>
              </w:rPr>
              <w:t>categorical</w:t>
            </w:r>
          </w:p>
        </w:tc>
        <w:tc>
          <w:tcPr>
            <w:tcW w:type="dxa" w:w="2339"/>
          </w:tcPr>
          <w:p>
            <w:r>
              <w:rPr>
                <w:rFonts w:ascii="Times New Roman" w:hAnsi="Times New Roman"/>
                <w:sz w:val="20"/>
              </w:rPr>
              <w:t>Nanostructure type (nanowire, quantum dot, etc.)</w:t>
            </w:r>
          </w:p>
        </w:tc>
      </w:tr>
      <w:tr>
        <w:tc>
          <w:tcPr>
            <w:tcW w:type="dxa" w:w="2339"/>
          </w:tcPr>
          <w:p>
            <w:r>
              <w:rPr>
                <w:rFonts w:ascii="Times New Roman" w:hAnsi="Times New Roman"/>
                <w:sz w:val="20"/>
              </w:rPr>
              <w:t>Cocatalyst</w:t>
            </w:r>
          </w:p>
        </w:tc>
        <w:tc>
          <w:tcPr>
            <w:tcW w:type="dxa" w:w="2339"/>
          </w:tcPr>
          <w:p>
            <w:r>
              <w:rPr>
                <w:rFonts w:ascii="Times New Roman" w:hAnsi="Times New Roman"/>
                <w:sz w:val="20"/>
              </w:rPr>
              <w:t>cocatalyst</w:t>
            </w:r>
          </w:p>
        </w:tc>
        <w:tc>
          <w:tcPr>
            <w:tcW w:type="dxa" w:w="2339"/>
          </w:tcPr>
          <w:p>
            <w:r>
              <w:rPr>
                <w:rFonts w:ascii="Times New Roman" w:hAnsi="Times New Roman"/>
                <w:sz w:val="20"/>
              </w:rPr>
              <w:t>categorical</w:t>
            </w:r>
          </w:p>
        </w:tc>
        <w:tc>
          <w:tcPr>
            <w:tcW w:type="dxa" w:w="2339"/>
          </w:tcPr>
          <w:p>
            <w:r>
              <w:rPr>
                <w:rFonts w:ascii="Times New Roman" w:hAnsi="Times New Roman"/>
                <w:sz w:val="20"/>
              </w:rPr>
              <w:t>Surface co-catalyst identity (e.g., Pt, RuO2)</w:t>
            </w:r>
          </w:p>
        </w:tc>
      </w:tr>
      <w:tr>
        <w:tc>
          <w:tcPr>
            <w:tcW w:type="dxa" w:w="2339"/>
          </w:tcPr>
          <w:p>
            <w:r>
              <w:rPr>
                <w:rFonts w:ascii="Times New Roman" w:hAnsi="Times New Roman"/>
                <w:sz w:val="20"/>
              </w:rPr>
              <w:t>Protective Layer</w:t>
            </w:r>
          </w:p>
        </w:tc>
        <w:tc>
          <w:tcPr>
            <w:tcW w:type="dxa" w:w="2339"/>
          </w:tcPr>
          <w:p>
            <w:r>
              <w:rPr>
                <w:rFonts w:ascii="Times New Roman" w:hAnsi="Times New Roman"/>
                <w:sz w:val="20"/>
              </w:rPr>
              <w:t>protective_layer</w:t>
            </w:r>
          </w:p>
        </w:tc>
        <w:tc>
          <w:tcPr>
            <w:tcW w:type="dxa" w:w="2339"/>
          </w:tcPr>
          <w:p>
            <w:r>
              <w:rPr>
                <w:rFonts w:ascii="Times New Roman" w:hAnsi="Times New Roman"/>
                <w:sz w:val="20"/>
              </w:rPr>
              <w:t>categorical</w:t>
            </w:r>
          </w:p>
        </w:tc>
        <w:tc>
          <w:tcPr>
            <w:tcW w:type="dxa" w:w="2339"/>
          </w:tcPr>
          <w:p>
            <w:r>
              <w:rPr>
                <w:rFonts w:ascii="Times New Roman" w:hAnsi="Times New Roman"/>
                <w:sz w:val="20"/>
              </w:rPr>
              <w:t>Corrosion protection coating</w:t>
            </w:r>
          </w:p>
        </w:tc>
      </w:tr>
      <w:tr>
        <w:tc>
          <w:tcPr>
            <w:tcW w:type="dxa" w:w="2339"/>
          </w:tcPr>
          <w:p>
            <w:r>
              <w:rPr>
                <w:rFonts w:ascii="Times New Roman" w:hAnsi="Times New Roman"/>
                <w:sz w:val="20"/>
              </w:rPr>
              <w:t>Photoelectrode Type</w:t>
            </w:r>
          </w:p>
        </w:tc>
        <w:tc>
          <w:tcPr>
            <w:tcW w:type="dxa" w:w="2339"/>
          </w:tcPr>
          <w:p>
            <w:r>
              <w:rPr>
                <w:rFonts w:ascii="Times New Roman" w:hAnsi="Times New Roman"/>
                <w:sz w:val="20"/>
              </w:rPr>
              <w:t>photoelectrode_type</w:t>
            </w:r>
          </w:p>
        </w:tc>
        <w:tc>
          <w:tcPr>
            <w:tcW w:type="dxa" w:w="2339"/>
          </w:tcPr>
          <w:p>
            <w:r>
              <w:rPr>
                <w:rFonts w:ascii="Times New Roman" w:hAnsi="Times New Roman"/>
                <w:sz w:val="20"/>
              </w:rPr>
              <w:t>categorical</w:t>
            </w:r>
          </w:p>
        </w:tc>
        <w:tc>
          <w:tcPr>
            <w:tcW w:type="dxa" w:w="2339"/>
          </w:tcPr>
          <w:p>
            <w:r>
              <w:rPr>
                <w:rFonts w:ascii="Times New Roman" w:hAnsi="Times New Roman"/>
                <w:sz w:val="20"/>
              </w:rPr>
              <w:t>Photoanode or photocathode</w:t>
            </w:r>
          </w:p>
        </w:tc>
      </w:tr>
      <w:tr>
        <w:tc>
          <w:tcPr>
            <w:tcW w:type="dxa" w:w="2339"/>
          </w:tcPr>
          <w:p>
            <w:r>
              <w:rPr>
                <w:rFonts w:ascii="Times New Roman" w:hAnsi="Times New Roman"/>
                <w:sz w:val="20"/>
              </w:rPr>
              <w:t>Thickness (nm)</w:t>
            </w:r>
          </w:p>
        </w:tc>
        <w:tc>
          <w:tcPr>
            <w:tcW w:type="dxa" w:w="2339"/>
          </w:tcPr>
          <w:p>
            <w:r>
              <w:rPr>
                <w:rFonts w:ascii="Times New Roman" w:hAnsi="Times New Roman"/>
                <w:sz w:val="20"/>
              </w:rPr>
              <w:t>thickness</w:t>
            </w:r>
          </w:p>
        </w:tc>
        <w:tc>
          <w:tcPr>
            <w:tcW w:type="dxa" w:w="2339"/>
          </w:tcPr>
          <w:p>
            <w:r>
              <w:rPr>
                <w:rFonts w:ascii="Times New Roman" w:hAnsi="Times New Roman"/>
                <w:sz w:val="20"/>
              </w:rPr>
              <w:t>float</w:t>
            </w:r>
          </w:p>
        </w:tc>
        <w:tc>
          <w:tcPr>
            <w:tcW w:type="dxa" w:w="2339"/>
          </w:tcPr>
          <w:p>
            <w:r>
              <w:rPr>
                <w:rFonts w:ascii="Times New Roman" w:hAnsi="Times New Roman"/>
                <w:sz w:val="20"/>
              </w:rPr>
              <w:t>Film thickness in nanometers</w:t>
            </w:r>
          </w:p>
        </w:tc>
      </w:tr>
      <w:tr>
        <w:tc>
          <w:tcPr>
            <w:tcW w:type="dxa" w:w="2339"/>
          </w:tcPr>
          <w:p>
            <w:r>
              <w:rPr>
                <w:rFonts w:ascii="Times New Roman" w:hAnsi="Times New Roman"/>
                <w:sz w:val="20"/>
              </w:rPr>
              <w:t>Electrolyte</w:t>
            </w:r>
          </w:p>
        </w:tc>
        <w:tc>
          <w:tcPr>
            <w:tcW w:type="dxa" w:w="2339"/>
          </w:tcPr>
          <w:p>
            <w:r>
              <w:rPr>
                <w:rFonts w:ascii="Times New Roman" w:hAnsi="Times New Roman"/>
                <w:sz w:val="20"/>
              </w:rPr>
              <w:t>electrolyte</w:t>
            </w:r>
          </w:p>
        </w:tc>
        <w:tc>
          <w:tcPr>
            <w:tcW w:type="dxa" w:w="2339"/>
          </w:tcPr>
          <w:p>
            <w:r>
              <w:rPr>
                <w:rFonts w:ascii="Times New Roman" w:hAnsi="Times New Roman"/>
                <w:sz w:val="20"/>
              </w:rPr>
              <w:t>categorical</w:t>
            </w:r>
          </w:p>
        </w:tc>
        <w:tc>
          <w:tcPr>
            <w:tcW w:type="dxa" w:w="2339"/>
          </w:tcPr>
          <w:p>
            <w:r>
              <w:rPr>
                <w:rFonts w:ascii="Times New Roman" w:hAnsi="Times New Roman"/>
                <w:sz w:val="20"/>
              </w:rPr>
              <w:t>Electrolyte solution (e.g., KOH, Na2SO4)</w:t>
            </w:r>
          </w:p>
        </w:tc>
      </w:tr>
      <w:tr>
        <w:tc>
          <w:tcPr>
            <w:tcW w:type="dxa" w:w="2339"/>
          </w:tcPr>
          <w:p>
            <w:r>
              <w:rPr>
                <w:rFonts w:ascii="Times New Roman" w:hAnsi="Times New Roman"/>
                <w:sz w:val="20"/>
              </w:rPr>
              <w:t>pH</w:t>
            </w:r>
          </w:p>
        </w:tc>
        <w:tc>
          <w:tcPr>
            <w:tcW w:type="dxa" w:w="2339"/>
          </w:tcPr>
          <w:p>
            <w:r>
              <w:rPr>
                <w:rFonts w:ascii="Times New Roman" w:hAnsi="Times New Roman"/>
                <w:sz w:val="20"/>
              </w:rPr>
              <w:t>ph</w:t>
            </w:r>
          </w:p>
        </w:tc>
        <w:tc>
          <w:tcPr>
            <w:tcW w:type="dxa" w:w="2339"/>
          </w:tcPr>
          <w:p>
            <w:r>
              <w:rPr>
                <w:rFonts w:ascii="Times New Roman" w:hAnsi="Times New Roman"/>
                <w:sz w:val="20"/>
              </w:rPr>
              <w:t>float</w:t>
            </w:r>
          </w:p>
        </w:tc>
        <w:tc>
          <w:tcPr>
            <w:tcW w:type="dxa" w:w="2339"/>
          </w:tcPr>
          <w:p>
            <w:r>
              <w:rPr>
                <w:rFonts w:ascii="Times New Roman" w:hAnsi="Times New Roman"/>
                <w:sz w:val="20"/>
              </w:rPr>
              <w:t>Electrolyte pH value (0–14)</w:t>
            </w:r>
          </w:p>
        </w:tc>
      </w:tr>
      <w:tr>
        <w:tc>
          <w:tcPr>
            <w:tcW w:type="dxa" w:w="2339"/>
          </w:tcPr>
          <w:p>
            <w:r>
              <w:rPr>
                <w:rFonts w:ascii="Times New Roman" w:hAnsi="Times New Roman"/>
                <w:sz w:val="20"/>
              </w:rPr>
              <w:t>Illumination Type</w:t>
            </w:r>
          </w:p>
        </w:tc>
        <w:tc>
          <w:tcPr>
            <w:tcW w:type="dxa" w:w="2339"/>
          </w:tcPr>
          <w:p>
            <w:r>
              <w:rPr>
                <w:rFonts w:ascii="Times New Roman" w:hAnsi="Times New Roman"/>
                <w:sz w:val="20"/>
              </w:rPr>
              <w:t>illumination_type</w:t>
            </w:r>
          </w:p>
        </w:tc>
        <w:tc>
          <w:tcPr>
            <w:tcW w:type="dxa" w:w="2339"/>
          </w:tcPr>
          <w:p>
            <w:r>
              <w:rPr>
                <w:rFonts w:ascii="Times New Roman" w:hAnsi="Times New Roman"/>
                <w:sz w:val="20"/>
              </w:rPr>
              <w:t>categorical</w:t>
            </w:r>
          </w:p>
        </w:tc>
        <w:tc>
          <w:tcPr>
            <w:tcW w:type="dxa" w:w="2339"/>
          </w:tcPr>
          <w:p>
            <w:r>
              <w:rPr>
                <w:rFonts w:ascii="Times New Roman" w:hAnsi="Times New Roman"/>
                <w:sz w:val="20"/>
              </w:rPr>
              <w:t>Light source description</w:t>
            </w:r>
          </w:p>
        </w:tc>
      </w:tr>
      <w:tr>
        <w:tc>
          <w:tcPr>
            <w:tcW w:type="dxa" w:w="2339"/>
          </w:tcPr>
          <w:p>
            <w:r>
              <w:rPr>
                <w:rFonts w:ascii="Times New Roman" w:hAnsi="Times New Roman"/>
                <w:sz w:val="20"/>
              </w:rPr>
              <w:t>Light Intensity (mW/cm²)</w:t>
            </w:r>
          </w:p>
        </w:tc>
        <w:tc>
          <w:tcPr>
            <w:tcW w:type="dxa" w:w="2339"/>
          </w:tcPr>
          <w:p>
            <w:r>
              <w:rPr>
                <w:rFonts w:ascii="Times New Roman" w:hAnsi="Times New Roman"/>
                <w:sz w:val="20"/>
              </w:rPr>
              <w:t>light_intensity</w:t>
            </w:r>
          </w:p>
        </w:tc>
        <w:tc>
          <w:tcPr>
            <w:tcW w:type="dxa" w:w="2339"/>
          </w:tcPr>
          <w:p>
            <w:r>
              <w:rPr>
                <w:rFonts w:ascii="Times New Roman" w:hAnsi="Times New Roman"/>
                <w:sz w:val="20"/>
              </w:rPr>
              <w:t>float</w:t>
            </w:r>
          </w:p>
        </w:tc>
        <w:tc>
          <w:tcPr>
            <w:tcW w:type="dxa" w:w="2339"/>
          </w:tcPr>
          <w:p>
            <w:r>
              <w:rPr>
                <w:rFonts w:ascii="Times New Roman" w:hAnsi="Times New Roman"/>
                <w:sz w:val="20"/>
              </w:rPr>
              <w:t>Incident solar irradiance</w:t>
            </w:r>
          </w:p>
        </w:tc>
      </w:tr>
      <w:tr>
        <w:tc>
          <w:tcPr>
            <w:tcW w:type="dxa" w:w="2339"/>
          </w:tcPr>
          <w:p>
            <w:r>
              <w:rPr>
                <w:rFonts w:ascii="Times New Roman" w:hAnsi="Times New Roman"/>
                <w:sz w:val="20"/>
              </w:rPr>
              <w:t>Applied Bias (V vs RHE)</w:t>
            </w:r>
          </w:p>
        </w:tc>
        <w:tc>
          <w:tcPr>
            <w:tcW w:type="dxa" w:w="2339"/>
          </w:tcPr>
          <w:p>
            <w:r>
              <w:rPr>
                <w:rFonts w:ascii="Times New Roman" w:hAnsi="Times New Roman"/>
                <w:sz w:val="20"/>
              </w:rPr>
              <w:t>bias</w:t>
            </w:r>
          </w:p>
        </w:tc>
        <w:tc>
          <w:tcPr>
            <w:tcW w:type="dxa" w:w="2339"/>
          </w:tcPr>
          <w:p>
            <w:r>
              <w:rPr>
                <w:rFonts w:ascii="Times New Roman" w:hAnsi="Times New Roman"/>
                <w:sz w:val="20"/>
              </w:rPr>
              <w:t>float</w:t>
            </w:r>
          </w:p>
        </w:tc>
        <w:tc>
          <w:tcPr>
            <w:tcW w:type="dxa" w:w="2339"/>
          </w:tcPr>
          <w:p>
            <w:r>
              <w:rPr>
                <w:rFonts w:ascii="Times New Roman" w:hAnsi="Times New Roman"/>
                <w:sz w:val="20"/>
              </w:rPr>
              <w:t>Applied electrochemical bias vs. RHE</w:t>
            </w:r>
          </w:p>
        </w:tc>
      </w:tr>
      <w:tr>
        <w:tc>
          <w:tcPr>
            <w:tcW w:type="dxa" w:w="2339"/>
          </w:tcPr>
          <w:p>
            <w:r>
              <w:rPr>
                <w:rFonts w:ascii="Times New Roman" w:hAnsi="Times New Roman"/>
                <w:sz w:val="20"/>
              </w:rPr>
              <w:t>Temperature (K)</w:t>
            </w:r>
          </w:p>
        </w:tc>
        <w:tc>
          <w:tcPr>
            <w:tcW w:type="dxa" w:w="2339"/>
          </w:tcPr>
          <w:p>
            <w:r>
              <w:rPr>
                <w:rFonts w:ascii="Times New Roman" w:hAnsi="Times New Roman"/>
                <w:sz w:val="20"/>
              </w:rPr>
              <w:t>temperature_k</w:t>
            </w:r>
          </w:p>
        </w:tc>
        <w:tc>
          <w:tcPr>
            <w:tcW w:type="dxa" w:w="2339"/>
          </w:tcPr>
          <w:p>
            <w:r>
              <w:rPr>
                <w:rFonts w:ascii="Times New Roman" w:hAnsi="Times New Roman"/>
                <w:sz w:val="20"/>
              </w:rPr>
              <w:t>float</w:t>
            </w:r>
          </w:p>
        </w:tc>
        <w:tc>
          <w:tcPr>
            <w:tcW w:type="dxa" w:w="2339"/>
          </w:tcPr>
          <w:p>
            <w:r>
              <w:rPr>
                <w:rFonts w:ascii="Times New Roman" w:hAnsi="Times New Roman"/>
                <w:sz w:val="20"/>
              </w:rPr>
              <w:t>Experiment temperature in Kelvin</w:t>
            </w:r>
          </w:p>
        </w:tc>
      </w:tr>
      <w:tr>
        <w:tc>
          <w:tcPr>
            <w:tcW w:type="dxa" w:w="2339"/>
          </w:tcPr>
          <w:p>
            <w:r>
              <w:rPr>
                <w:rFonts w:ascii="Times New Roman" w:hAnsi="Times New Roman"/>
                <w:sz w:val="20"/>
              </w:rPr>
              <w:t>Photocurrent Density (mA/cm²)</w:t>
            </w:r>
          </w:p>
        </w:tc>
        <w:tc>
          <w:tcPr>
            <w:tcW w:type="dxa" w:w="2339"/>
          </w:tcPr>
          <w:p>
            <w:r>
              <w:rPr>
                <w:rFonts w:ascii="Times New Roman" w:hAnsi="Times New Roman"/>
                <w:sz w:val="20"/>
              </w:rPr>
              <w:t>photocurrent</w:t>
            </w:r>
          </w:p>
        </w:tc>
        <w:tc>
          <w:tcPr>
            <w:tcW w:type="dxa" w:w="2339"/>
          </w:tcPr>
          <w:p>
            <w:r>
              <w:rPr>
                <w:rFonts w:ascii="Times New Roman" w:hAnsi="Times New Roman"/>
                <w:sz w:val="20"/>
              </w:rPr>
              <w:t>float</w:t>
            </w:r>
          </w:p>
        </w:tc>
        <w:tc>
          <w:tcPr>
            <w:tcW w:type="dxa" w:w="2339"/>
          </w:tcPr>
          <w:p>
            <w:r>
              <w:rPr>
                <w:rFonts w:ascii="Times New Roman" w:hAnsi="Times New Roman"/>
                <w:sz w:val="20"/>
              </w:rPr>
              <w:t>TARGET 1: Measured photocurrent density</w:t>
            </w:r>
          </w:p>
        </w:tc>
      </w:tr>
      <w:tr>
        <w:tc>
          <w:tcPr>
            <w:tcW w:type="dxa" w:w="2339"/>
          </w:tcPr>
          <w:p>
            <w:r>
              <w:rPr>
                <w:rFonts w:ascii="Times New Roman" w:hAnsi="Times New Roman"/>
                <w:sz w:val="20"/>
              </w:rPr>
              <w:t>STH Efficiency (%)</w:t>
            </w:r>
          </w:p>
        </w:tc>
        <w:tc>
          <w:tcPr>
            <w:tcW w:type="dxa" w:w="2339"/>
          </w:tcPr>
          <w:p>
            <w:r>
              <w:rPr>
                <w:rFonts w:ascii="Times New Roman" w:hAnsi="Times New Roman"/>
                <w:sz w:val="20"/>
              </w:rPr>
              <w:t>sth</w:t>
            </w:r>
          </w:p>
        </w:tc>
        <w:tc>
          <w:tcPr>
            <w:tcW w:type="dxa" w:w="2339"/>
          </w:tcPr>
          <w:p>
            <w:r>
              <w:rPr>
                <w:rFonts w:ascii="Times New Roman" w:hAnsi="Times New Roman"/>
                <w:sz w:val="20"/>
              </w:rPr>
              <w:t>float</w:t>
            </w:r>
          </w:p>
        </w:tc>
        <w:tc>
          <w:tcPr>
            <w:tcW w:type="dxa" w:w="2339"/>
          </w:tcPr>
          <w:p>
            <w:r>
              <w:rPr>
                <w:rFonts w:ascii="Times New Roman" w:hAnsi="Times New Roman"/>
                <w:sz w:val="20"/>
              </w:rPr>
              <w:t>TARGET 2: Solar-to-hydrogen conversion efficiency</w:t>
            </w:r>
          </w:p>
        </w:tc>
      </w:tr>
      <w:tr>
        <w:tc>
          <w:tcPr>
            <w:tcW w:type="dxa" w:w="2339"/>
          </w:tcPr>
          <w:p>
            <w:r>
              <w:rPr>
                <w:rFonts w:ascii="Times New Roman" w:hAnsi="Times New Roman"/>
                <w:sz w:val="20"/>
              </w:rPr>
              <w:t>H₂ Evolution Rate (µmol/h/cm²)</w:t>
            </w:r>
          </w:p>
        </w:tc>
        <w:tc>
          <w:tcPr>
            <w:tcW w:type="dxa" w:w="2339"/>
          </w:tcPr>
          <w:p>
            <w:r>
              <w:rPr>
                <w:rFonts w:ascii="Times New Roman" w:hAnsi="Times New Roman"/>
                <w:sz w:val="20"/>
              </w:rPr>
              <w:t>h2</w:t>
            </w:r>
          </w:p>
        </w:tc>
        <w:tc>
          <w:tcPr>
            <w:tcW w:type="dxa" w:w="2339"/>
          </w:tcPr>
          <w:p>
            <w:r>
              <w:rPr>
                <w:rFonts w:ascii="Times New Roman" w:hAnsi="Times New Roman"/>
                <w:sz w:val="20"/>
              </w:rPr>
              <w:t>float</w:t>
            </w:r>
          </w:p>
        </w:tc>
        <w:tc>
          <w:tcPr>
            <w:tcW w:type="dxa" w:w="2339"/>
          </w:tcPr>
          <w:p>
            <w:r>
              <w:rPr>
                <w:rFonts w:ascii="Times New Roman" w:hAnsi="Times New Roman"/>
                <w:sz w:val="20"/>
              </w:rPr>
              <w:t>TARGET 3: Hydrogen evolution rate</w:t>
            </w:r>
          </w:p>
        </w:tc>
      </w:tr>
    </w:tbl>
    <w:p/>
    <w:p>
      <w:pPr>
        <w:spacing w:before="360" w:after="200" w:lineRule="exact" w:line="360"/>
        <w:jc w:val="left"/>
      </w:pPr>
      <w:r>
        <w:rPr>
          <w:rFonts w:ascii="Times New Roman" w:hAnsi="Times New Roman"/>
          <w:b/>
          <w:sz w:val="28"/>
        </w:rPr>
        <w:t>APPENDIX B: Engineered Feature Definitions</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D9E1F2"/>
          </w:tcPr>
          <w:p>
            <w:pPr>
              <w:jc w:val="center"/>
            </w:pPr>
            <w:r>
              <w:rPr>
                <w:rFonts w:ascii="Times New Roman" w:hAnsi="Times New Roman"/>
                <w:b/>
                <w:sz w:val="20"/>
              </w:rPr>
              <w:t>Feature Name</w:t>
            </w:r>
          </w:p>
        </w:tc>
        <w:tc>
          <w:tcPr>
            <w:tcW w:type="dxa" w:w="3118"/>
            <w:shd w:val="clear" w:color="auto" w:fill="D9E1F2"/>
          </w:tcPr>
          <w:p>
            <w:pPr>
              <w:jc w:val="center"/>
            </w:pPr>
            <w:r>
              <w:rPr>
                <w:rFonts w:ascii="Times New Roman" w:hAnsi="Times New Roman"/>
                <w:b/>
                <w:sz w:val="20"/>
              </w:rPr>
              <w:t>Formula</w:t>
            </w:r>
          </w:p>
        </w:tc>
        <w:tc>
          <w:tcPr>
            <w:tcW w:type="dxa" w:w="3118"/>
            <w:shd w:val="clear" w:color="auto" w:fill="D9E1F2"/>
          </w:tcPr>
          <w:p>
            <w:pPr>
              <w:jc w:val="center"/>
            </w:pPr>
            <w:r>
              <w:rPr>
                <w:rFonts w:ascii="Times New Roman" w:hAnsi="Times New Roman"/>
                <w:b/>
                <w:sz w:val="20"/>
              </w:rPr>
              <w:t>Physical Meaning</w:t>
            </w:r>
          </w:p>
        </w:tc>
      </w:tr>
      <w:tr>
        <w:tc>
          <w:tcPr>
            <w:tcW w:type="dxa" w:w="3118"/>
          </w:tcPr>
          <w:p>
            <w:r>
              <w:rPr>
                <w:rFonts w:ascii="Times New Roman" w:hAnsi="Times New Roman"/>
                <w:sz w:val="20"/>
              </w:rPr>
              <w:t>photon_energy</w:t>
            </w:r>
          </w:p>
        </w:tc>
        <w:tc>
          <w:tcPr>
            <w:tcW w:type="dxa" w:w="3118"/>
          </w:tcPr>
          <w:p>
            <w:r>
              <w:rPr>
                <w:rFonts w:ascii="Times New Roman" w:hAnsi="Times New Roman"/>
                <w:sz w:val="20"/>
              </w:rPr>
              <w:t>1240 / bandgap</w:t>
            </w:r>
          </w:p>
        </w:tc>
        <w:tc>
          <w:tcPr>
            <w:tcW w:type="dxa" w:w="3118"/>
          </w:tcPr>
          <w:p>
            <w:r>
              <w:rPr>
                <w:rFonts w:ascii="Times New Roman" w:hAnsi="Times New Roman"/>
                <w:sz w:val="20"/>
              </w:rPr>
              <w:t>Photon energy at absorption edge (eV)</w:t>
            </w:r>
          </w:p>
        </w:tc>
      </w:tr>
      <w:tr>
        <w:tc>
          <w:tcPr>
            <w:tcW w:type="dxa" w:w="3118"/>
          </w:tcPr>
          <w:p>
            <w:r>
              <w:rPr>
                <w:rFonts w:ascii="Times New Roman" w:hAnsi="Times New Roman"/>
                <w:sz w:val="20"/>
              </w:rPr>
              <w:t>overpotential_proxy</w:t>
            </w:r>
          </w:p>
        </w:tc>
        <w:tc>
          <w:tcPr>
            <w:tcW w:type="dxa" w:w="3118"/>
          </w:tcPr>
          <w:p>
            <w:r>
              <w:rPr>
                <w:rFonts w:ascii="Times New Roman" w:hAnsi="Times New Roman"/>
                <w:sz w:val="20"/>
              </w:rPr>
              <w:t>bias − (bandgap − 1.23)</w:t>
            </w:r>
          </w:p>
        </w:tc>
        <w:tc>
          <w:tcPr>
            <w:tcW w:type="dxa" w:w="3118"/>
          </w:tcPr>
          <w:p>
            <w:r>
              <w:rPr>
                <w:rFonts w:ascii="Times New Roman" w:hAnsi="Times New Roman"/>
                <w:sz w:val="20"/>
              </w:rPr>
              <w:t>Effective overpotential relative to water-splitting threshold</w:t>
            </w:r>
          </w:p>
        </w:tc>
      </w:tr>
      <w:tr>
        <w:tc>
          <w:tcPr>
            <w:tcW w:type="dxa" w:w="3118"/>
          </w:tcPr>
          <w:p>
            <w:r>
              <w:rPr>
                <w:rFonts w:ascii="Times New Roman" w:hAnsi="Times New Roman"/>
                <w:sz w:val="20"/>
              </w:rPr>
              <w:t>bandgap_sq</w:t>
            </w:r>
          </w:p>
        </w:tc>
        <w:tc>
          <w:tcPr>
            <w:tcW w:type="dxa" w:w="3118"/>
          </w:tcPr>
          <w:p>
            <w:r>
              <w:rPr>
                <w:rFonts w:ascii="Times New Roman" w:hAnsi="Times New Roman"/>
                <w:sz w:val="20"/>
              </w:rPr>
              <w:t>bandgap²</w:t>
            </w:r>
          </w:p>
        </w:tc>
        <w:tc>
          <w:tcPr>
            <w:tcW w:type="dxa" w:w="3118"/>
          </w:tcPr>
          <w:p>
            <w:r>
              <w:rPr>
                <w:rFonts w:ascii="Times New Roman" w:hAnsi="Times New Roman"/>
                <w:sz w:val="20"/>
              </w:rPr>
              <w:t>Captures non-linear bandgap dependence</w:t>
            </w:r>
          </w:p>
        </w:tc>
      </w:tr>
      <w:tr>
        <w:tc>
          <w:tcPr>
            <w:tcW w:type="dxa" w:w="3118"/>
          </w:tcPr>
          <w:p>
            <w:r>
              <w:rPr>
                <w:rFonts w:ascii="Times New Roman" w:hAnsi="Times New Roman"/>
                <w:sz w:val="20"/>
              </w:rPr>
              <w:t>log_bandgap</w:t>
            </w:r>
          </w:p>
        </w:tc>
        <w:tc>
          <w:tcPr>
            <w:tcW w:type="dxa" w:w="3118"/>
          </w:tcPr>
          <w:p>
            <w:r>
              <w:rPr>
                <w:rFonts w:ascii="Times New Roman" w:hAnsi="Times New Roman"/>
                <w:sz w:val="20"/>
              </w:rPr>
              <w:t>log(1 + bandgap)</w:t>
            </w:r>
          </w:p>
        </w:tc>
        <w:tc>
          <w:tcPr>
            <w:tcW w:type="dxa" w:w="3118"/>
          </w:tcPr>
          <w:p>
            <w:r>
              <w:rPr>
                <w:rFonts w:ascii="Times New Roman" w:hAnsi="Times New Roman"/>
                <w:sz w:val="20"/>
              </w:rPr>
              <w:t>Log-scale bandgap representation</w:t>
            </w:r>
          </w:p>
        </w:tc>
      </w:tr>
      <w:tr>
        <w:tc>
          <w:tcPr>
            <w:tcW w:type="dxa" w:w="3118"/>
          </w:tcPr>
          <w:p>
            <w:r>
              <w:rPr>
                <w:rFonts w:ascii="Times New Roman" w:hAnsi="Times New Roman"/>
                <w:sz w:val="20"/>
              </w:rPr>
              <w:t>ph_deviation</w:t>
            </w:r>
          </w:p>
        </w:tc>
        <w:tc>
          <w:tcPr>
            <w:tcW w:type="dxa" w:w="3118"/>
          </w:tcPr>
          <w:p>
            <w:r>
              <w:rPr>
                <w:rFonts w:ascii="Times New Roman" w:hAnsi="Times New Roman"/>
                <w:sz w:val="20"/>
              </w:rPr>
              <w:t>|pH − 7|</w:t>
            </w:r>
          </w:p>
        </w:tc>
        <w:tc>
          <w:tcPr>
            <w:tcW w:type="dxa" w:w="3118"/>
          </w:tcPr>
          <w:p>
            <w:r>
              <w:rPr>
                <w:rFonts w:ascii="Times New Roman" w:hAnsi="Times New Roman"/>
                <w:sz w:val="20"/>
              </w:rPr>
              <w:t>Distance from neutral pH (symmetrical acidity/basicity effect)</w:t>
            </w:r>
          </w:p>
        </w:tc>
      </w:tr>
      <w:tr>
        <w:tc>
          <w:tcPr>
            <w:tcW w:type="dxa" w:w="3118"/>
          </w:tcPr>
          <w:p>
            <w:r>
              <w:rPr>
                <w:rFonts w:ascii="Times New Roman" w:hAnsi="Times New Roman"/>
                <w:sz w:val="20"/>
              </w:rPr>
              <w:t>bias_positive</w:t>
            </w:r>
          </w:p>
        </w:tc>
        <w:tc>
          <w:tcPr>
            <w:tcW w:type="dxa" w:w="3118"/>
          </w:tcPr>
          <w:p>
            <w:r>
              <w:rPr>
                <w:rFonts w:ascii="Times New Roman" w:hAnsi="Times New Roman"/>
                <w:sz w:val="20"/>
              </w:rPr>
              <w:t>max(bias, 0)</w:t>
            </w:r>
          </w:p>
        </w:tc>
        <w:tc>
          <w:tcPr>
            <w:tcW w:type="dxa" w:w="3118"/>
          </w:tcPr>
          <w:p>
            <w:r>
              <w:rPr>
                <w:rFonts w:ascii="Times New Roman" w:hAnsi="Times New Roman"/>
                <w:sz w:val="20"/>
              </w:rPr>
              <w:t>Forward-bias component only (rectified)</w:t>
            </w:r>
          </w:p>
        </w:tc>
      </w:tr>
      <w:tr>
        <w:tc>
          <w:tcPr>
            <w:tcW w:type="dxa" w:w="3118"/>
          </w:tcPr>
          <w:p>
            <w:r>
              <w:rPr>
                <w:rFonts w:ascii="Times New Roman" w:hAnsi="Times New Roman"/>
                <w:sz w:val="20"/>
              </w:rPr>
              <w:t>has_cocatalyst</w:t>
            </w:r>
          </w:p>
        </w:tc>
        <w:tc>
          <w:tcPr>
            <w:tcW w:type="dxa" w:w="3118"/>
          </w:tcPr>
          <w:p>
            <w:r>
              <w:rPr>
                <w:rFonts w:ascii="Times New Roman" w:hAnsi="Times New Roman"/>
                <w:sz w:val="20"/>
              </w:rPr>
              <w:t>0 or 1</w:t>
            </w:r>
          </w:p>
        </w:tc>
        <w:tc>
          <w:tcPr>
            <w:tcW w:type="dxa" w:w="3118"/>
          </w:tcPr>
          <w:p>
            <w:r>
              <w:rPr>
                <w:rFonts w:ascii="Times New Roman" w:hAnsi="Times New Roman"/>
                <w:sz w:val="20"/>
              </w:rPr>
              <w:t>Binary: co-catalyst present vs. absent</w:t>
            </w:r>
          </w:p>
        </w:tc>
      </w:tr>
      <w:tr>
        <w:tc>
          <w:tcPr>
            <w:tcW w:type="dxa" w:w="3118"/>
          </w:tcPr>
          <w:p>
            <w:r>
              <w:rPr>
                <w:rFonts w:ascii="Times New Roman" w:hAnsi="Times New Roman"/>
                <w:sz w:val="20"/>
              </w:rPr>
              <w:t>is_nanostructured</w:t>
            </w:r>
          </w:p>
        </w:tc>
        <w:tc>
          <w:tcPr>
            <w:tcW w:type="dxa" w:w="3118"/>
          </w:tcPr>
          <w:p>
            <w:r>
              <w:rPr>
                <w:rFonts w:ascii="Times New Roman" w:hAnsi="Times New Roman"/>
                <w:sz w:val="20"/>
              </w:rPr>
              <w:t>0 or 1</w:t>
            </w:r>
          </w:p>
        </w:tc>
        <w:tc>
          <w:tcPr>
            <w:tcW w:type="dxa" w:w="3118"/>
          </w:tcPr>
          <w:p>
            <w:r>
              <w:rPr>
                <w:rFonts w:ascii="Times New Roman" w:hAnsi="Times New Roman"/>
                <w:sz w:val="20"/>
              </w:rPr>
              <w:t>Binary: nanostructured vs. bulk electrode</w:t>
            </w:r>
          </w:p>
        </w:tc>
      </w:tr>
      <w:tr>
        <w:tc>
          <w:tcPr>
            <w:tcW w:type="dxa" w:w="3118"/>
          </w:tcPr>
          <w:p>
            <w:r>
              <w:rPr>
                <w:rFonts w:ascii="Times New Roman" w:hAnsi="Times New Roman"/>
                <w:sz w:val="20"/>
              </w:rPr>
              <w:t>bias_bandgap_ratio</w:t>
            </w:r>
          </w:p>
        </w:tc>
        <w:tc>
          <w:tcPr>
            <w:tcW w:type="dxa" w:w="3118"/>
          </w:tcPr>
          <w:p>
            <w:r>
              <w:rPr>
                <w:rFonts w:ascii="Times New Roman" w:hAnsi="Times New Roman"/>
                <w:sz w:val="20"/>
              </w:rPr>
              <w:t>bias / (bandgap + 1e-3)</w:t>
            </w:r>
          </w:p>
        </w:tc>
        <w:tc>
          <w:tcPr>
            <w:tcW w:type="dxa" w:w="3118"/>
          </w:tcPr>
          <w:p>
            <w:r>
              <w:rPr>
                <w:rFonts w:ascii="Times New Roman" w:hAnsi="Times New Roman"/>
                <w:sz w:val="20"/>
              </w:rPr>
              <w:t>Ratio of external drive to intrinsic photovoltage</w:t>
            </w:r>
          </w:p>
        </w:tc>
      </w:tr>
      <w:tr>
        <w:tc>
          <w:tcPr>
            <w:tcW w:type="dxa" w:w="3118"/>
          </w:tcPr>
          <w:p>
            <w:r>
              <w:rPr>
                <w:rFonts w:ascii="Times New Roman" w:hAnsi="Times New Roman"/>
                <w:sz w:val="20"/>
              </w:rPr>
              <w:t>ph_bias_product</w:t>
            </w:r>
          </w:p>
        </w:tc>
        <w:tc>
          <w:tcPr>
            <w:tcW w:type="dxa" w:w="3118"/>
          </w:tcPr>
          <w:p>
            <w:r>
              <w:rPr>
                <w:rFonts w:ascii="Times New Roman" w:hAnsi="Times New Roman"/>
                <w:sz w:val="20"/>
              </w:rPr>
              <w:t>pH × bias</w:t>
            </w:r>
          </w:p>
        </w:tc>
        <w:tc>
          <w:tcPr>
            <w:tcW w:type="dxa" w:w="3118"/>
          </w:tcPr>
          <w:p>
            <w:r>
              <w:rPr>
                <w:rFonts w:ascii="Times New Roman" w:hAnsi="Times New Roman"/>
                <w:sz w:val="20"/>
              </w:rPr>
              <w:t>Joint effect of electrolyte pH and applied potential</w:t>
            </w:r>
          </w:p>
        </w:tc>
      </w:tr>
    </w:tbl>
    <w:p/>
    <w:p>
      <w:pPr>
        <w:spacing w:before="360" w:after="200" w:lineRule="exact" w:line="360"/>
        <w:jc w:val="left"/>
      </w:pPr>
      <w:r>
        <w:rPr>
          <w:rFonts w:ascii="Times New Roman" w:hAnsi="Times New Roman"/>
          <w:b/>
          <w:sz w:val="28"/>
        </w:rPr>
        <w:t>APPENDIX C: API Request Field Reference</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D9E1F2"/>
          </w:tcPr>
          <w:p>
            <w:pPr>
              <w:jc w:val="center"/>
            </w:pPr>
            <w:r>
              <w:rPr>
                <w:rFonts w:ascii="Times New Roman" w:hAnsi="Times New Roman"/>
                <w:b/>
                <w:sz w:val="20"/>
              </w:rPr>
              <w:t>Field</w:t>
            </w:r>
          </w:p>
        </w:tc>
        <w:tc>
          <w:tcPr>
            <w:tcW w:type="dxa" w:w="2339"/>
            <w:shd w:val="clear" w:color="auto" w:fill="D9E1F2"/>
          </w:tcPr>
          <w:p>
            <w:pPr>
              <w:jc w:val="center"/>
            </w:pPr>
            <w:r>
              <w:rPr>
                <w:rFonts w:ascii="Times New Roman" w:hAnsi="Times New Roman"/>
                <w:b/>
                <w:sz w:val="20"/>
              </w:rPr>
              <w:t>Type</w:t>
            </w:r>
          </w:p>
        </w:tc>
        <w:tc>
          <w:tcPr>
            <w:tcW w:type="dxa" w:w="2339"/>
            <w:shd w:val="clear" w:color="auto" w:fill="D9E1F2"/>
          </w:tcPr>
          <w:p>
            <w:pPr>
              <w:jc w:val="center"/>
            </w:pPr>
            <w:r>
              <w:rPr>
                <w:rFonts w:ascii="Times New Roman" w:hAnsi="Times New Roman"/>
                <w:b/>
                <w:sz w:val="20"/>
              </w:rPr>
              <w:t>Required</w:t>
            </w:r>
          </w:p>
        </w:tc>
        <w:tc>
          <w:tcPr>
            <w:tcW w:type="dxa" w:w="2339"/>
            <w:shd w:val="clear" w:color="auto" w:fill="D9E1F2"/>
          </w:tcPr>
          <w:p>
            <w:pPr>
              <w:jc w:val="center"/>
            </w:pPr>
            <w:r>
              <w:rPr>
                <w:rFonts w:ascii="Times New Roman" w:hAnsi="Times New Roman"/>
                <w:b/>
                <w:sz w:val="20"/>
              </w:rPr>
              <w:t>Valid Range / Notes</w:t>
            </w:r>
          </w:p>
        </w:tc>
      </w:tr>
      <w:tr>
        <w:tc>
          <w:tcPr>
            <w:tcW w:type="dxa" w:w="2339"/>
          </w:tcPr>
          <w:p>
            <w:r>
              <w:rPr>
                <w:rFonts w:ascii="Times New Roman" w:hAnsi="Times New Roman"/>
                <w:sz w:val="20"/>
              </w:rPr>
              <w:t>material</w:t>
            </w:r>
          </w:p>
        </w:tc>
        <w:tc>
          <w:tcPr>
            <w:tcW w:type="dxa" w:w="2339"/>
          </w:tcPr>
          <w:p>
            <w:r>
              <w:rPr>
                <w:rFonts w:ascii="Times New Roman" w:hAnsi="Times New Roman"/>
                <w:sz w:val="20"/>
              </w:rPr>
              <w:t>string</w:t>
            </w:r>
          </w:p>
        </w:tc>
        <w:tc>
          <w:tcPr>
            <w:tcW w:type="dxa" w:w="2339"/>
          </w:tcPr>
          <w:p>
            <w:r>
              <w:rPr>
                <w:rFonts w:ascii="Times New Roman" w:hAnsi="Times New Roman"/>
                <w:sz w:val="20"/>
              </w:rPr>
              <w:t>Yes</w:t>
            </w:r>
          </w:p>
        </w:tc>
        <w:tc>
          <w:tcPr>
            <w:tcW w:type="dxa" w:w="2339"/>
          </w:tcPr>
          <w:p>
            <w:r>
              <w:rPr>
                <w:rFonts w:ascii="Times New Roman" w:hAnsi="Times New Roman"/>
                <w:sz w:val="20"/>
              </w:rPr>
              <w:t>Any material name; Unicode subscripts normalized automatically</w:t>
            </w:r>
          </w:p>
        </w:tc>
      </w:tr>
      <w:tr>
        <w:tc>
          <w:tcPr>
            <w:tcW w:type="dxa" w:w="2339"/>
          </w:tcPr>
          <w:p>
            <w:r>
              <w:rPr>
                <w:rFonts w:ascii="Times New Roman" w:hAnsi="Times New Roman"/>
                <w:sz w:val="20"/>
              </w:rPr>
              <w:t>electrolyte</w:t>
            </w:r>
          </w:p>
        </w:tc>
        <w:tc>
          <w:tcPr>
            <w:tcW w:type="dxa" w:w="2339"/>
          </w:tcPr>
          <w:p>
            <w:r>
              <w:rPr>
                <w:rFonts w:ascii="Times New Roman" w:hAnsi="Times New Roman"/>
                <w:sz w:val="20"/>
              </w:rPr>
              <w:t>string</w:t>
            </w:r>
          </w:p>
        </w:tc>
        <w:tc>
          <w:tcPr>
            <w:tcW w:type="dxa" w:w="2339"/>
          </w:tcPr>
          <w:p>
            <w:r>
              <w:rPr>
                <w:rFonts w:ascii="Times New Roman" w:hAnsi="Times New Roman"/>
                <w:sz w:val="20"/>
              </w:rPr>
              <w:t>Yes</w:t>
            </w:r>
          </w:p>
        </w:tc>
        <w:tc>
          <w:tcPr>
            <w:tcW w:type="dxa" w:w="2339"/>
          </w:tcPr>
          <w:p>
            <w:r>
              <w:rPr>
                <w:rFonts w:ascii="Times New Roman" w:hAnsi="Times New Roman"/>
                <w:sz w:val="20"/>
              </w:rPr>
              <w:t>Any electrolyte (e.g., KOH, Na2SO4, H2SO4)</w:t>
            </w:r>
          </w:p>
        </w:tc>
      </w:tr>
      <w:tr>
        <w:tc>
          <w:tcPr>
            <w:tcW w:type="dxa" w:w="2339"/>
          </w:tcPr>
          <w:p>
            <w:r>
              <w:rPr>
                <w:rFonts w:ascii="Times New Roman" w:hAnsi="Times New Roman"/>
                <w:sz w:val="20"/>
              </w:rPr>
              <w:t>pH</w:t>
            </w:r>
          </w:p>
        </w:tc>
        <w:tc>
          <w:tcPr>
            <w:tcW w:type="dxa" w:w="2339"/>
          </w:tcPr>
          <w:p>
            <w:r>
              <w:rPr>
                <w:rFonts w:ascii="Times New Roman" w:hAnsi="Times New Roman"/>
                <w:sz w:val="20"/>
              </w:rPr>
              <w:t>float</w:t>
            </w:r>
          </w:p>
        </w:tc>
        <w:tc>
          <w:tcPr>
            <w:tcW w:type="dxa" w:w="2339"/>
          </w:tcPr>
          <w:p>
            <w:r>
              <w:rPr>
                <w:rFonts w:ascii="Times New Roman" w:hAnsi="Times New Roman"/>
                <w:sz w:val="20"/>
              </w:rPr>
              <w:t>Yes</w:t>
            </w:r>
          </w:p>
        </w:tc>
        <w:tc>
          <w:tcPr>
            <w:tcW w:type="dxa" w:w="2339"/>
          </w:tcPr>
          <w:p>
            <w:r>
              <w:rPr>
                <w:rFonts w:ascii="Times New Roman" w:hAnsi="Times New Roman"/>
                <w:sz w:val="20"/>
              </w:rPr>
              <w:t>0.0 – 14.0</w:t>
            </w:r>
          </w:p>
        </w:tc>
      </w:tr>
      <w:tr>
        <w:tc>
          <w:tcPr>
            <w:tcW w:type="dxa" w:w="2339"/>
          </w:tcPr>
          <w:p>
            <w:r>
              <w:rPr>
                <w:rFonts w:ascii="Times New Roman" w:hAnsi="Times New Roman"/>
                <w:sz w:val="20"/>
              </w:rPr>
              <w:t>bias</w:t>
            </w:r>
          </w:p>
        </w:tc>
        <w:tc>
          <w:tcPr>
            <w:tcW w:type="dxa" w:w="2339"/>
          </w:tcPr>
          <w:p>
            <w:r>
              <w:rPr>
                <w:rFonts w:ascii="Times New Roman" w:hAnsi="Times New Roman"/>
                <w:sz w:val="20"/>
              </w:rPr>
              <w:t>float</w:t>
            </w:r>
          </w:p>
        </w:tc>
        <w:tc>
          <w:tcPr>
            <w:tcW w:type="dxa" w:w="2339"/>
          </w:tcPr>
          <w:p>
            <w:r>
              <w:rPr>
                <w:rFonts w:ascii="Times New Roman" w:hAnsi="Times New Roman"/>
                <w:sz w:val="20"/>
              </w:rPr>
              <w:t>Yes</w:t>
            </w:r>
          </w:p>
        </w:tc>
        <w:tc>
          <w:tcPr>
            <w:tcW w:type="dxa" w:w="2339"/>
          </w:tcPr>
          <w:p>
            <w:r>
              <w:rPr>
                <w:rFonts w:ascii="Times New Roman" w:hAnsi="Times New Roman"/>
                <w:sz w:val="20"/>
              </w:rPr>
              <w:t>−2.0 to 5.0 V vs RHE</w:t>
            </w:r>
          </w:p>
        </w:tc>
      </w:tr>
      <w:tr>
        <w:tc>
          <w:tcPr>
            <w:tcW w:type="dxa" w:w="2339"/>
          </w:tcPr>
          <w:p>
            <w:r>
              <w:rPr>
                <w:rFonts w:ascii="Times New Roman" w:hAnsi="Times New Roman"/>
                <w:sz w:val="20"/>
              </w:rPr>
              <w:t>light_source</w:t>
            </w:r>
          </w:p>
        </w:tc>
        <w:tc>
          <w:tcPr>
            <w:tcW w:type="dxa" w:w="2339"/>
          </w:tcPr>
          <w:p>
            <w:r>
              <w:rPr>
                <w:rFonts w:ascii="Times New Roman" w:hAnsi="Times New Roman"/>
                <w:sz w:val="20"/>
              </w:rPr>
              <w:t>string</w:t>
            </w:r>
          </w:p>
        </w:tc>
        <w:tc>
          <w:tcPr>
            <w:tcW w:type="dxa" w:w="2339"/>
          </w:tcPr>
          <w:p>
            <w:r>
              <w:rPr>
                <w:rFonts w:ascii="Times New Roman" w:hAnsi="Times New Roman"/>
                <w:sz w:val="20"/>
              </w:rPr>
              <w:t>Yes</w:t>
            </w:r>
          </w:p>
        </w:tc>
        <w:tc>
          <w:tcPr>
            <w:tcW w:type="dxa" w:w="2339"/>
          </w:tcPr>
          <w:p>
            <w:r>
              <w:rPr>
                <w:rFonts w:ascii="Times New Roman" w:hAnsi="Times New Roman"/>
                <w:sz w:val="20"/>
              </w:rPr>
              <w:t>Illumination type (e.g., AM 1.5G, Xe lamp, UV)</w:t>
            </w:r>
          </w:p>
        </w:tc>
      </w:tr>
      <w:tr>
        <w:tc>
          <w:tcPr>
            <w:tcW w:type="dxa" w:w="2339"/>
          </w:tcPr>
          <w:p>
            <w:r>
              <w:rPr>
                <w:rFonts w:ascii="Times New Roman" w:hAnsi="Times New Roman"/>
                <w:sz w:val="20"/>
              </w:rPr>
              <w:t>bandgap</w:t>
            </w:r>
          </w:p>
        </w:tc>
        <w:tc>
          <w:tcPr>
            <w:tcW w:type="dxa" w:w="2339"/>
          </w:tcPr>
          <w:p>
            <w:r>
              <w:rPr>
                <w:rFonts w:ascii="Times New Roman" w:hAnsi="Times New Roman"/>
                <w:sz w:val="20"/>
              </w:rPr>
              <w:t>float</w:t>
            </w:r>
          </w:p>
        </w:tc>
        <w:tc>
          <w:tcPr>
            <w:tcW w:type="dxa" w:w="2339"/>
          </w:tcPr>
          <w:p>
            <w:r>
              <w:rPr>
                <w:rFonts w:ascii="Times New Roman" w:hAnsi="Times New Roman"/>
                <w:sz w:val="20"/>
              </w:rPr>
              <w:t>No (default: training median)</w:t>
            </w:r>
          </w:p>
        </w:tc>
        <w:tc>
          <w:tcPr>
            <w:tcW w:type="dxa" w:w="2339"/>
          </w:tcPr>
          <w:p>
            <w:r>
              <w:rPr>
                <w:rFonts w:ascii="Times New Roman" w:hAnsi="Times New Roman"/>
                <w:sz w:val="20"/>
              </w:rPr>
              <w:t>0.5 – 6.0 eV</w:t>
            </w:r>
          </w:p>
        </w:tc>
      </w:tr>
      <w:tr>
        <w:tc>
          <w:tcPr>
            <w:tcW w:type="dxa" w:w="2339"/>
          </w:tcPr>
          <w:p>
            <w:r>
              <w:rPr>
                <w:rFonts w:ascii="Times New Roman" w:hAnsi="Times New Roman"/>
                <w:sz w:val="20"/>
              </w:rPr>
              <w:t>temperature</w:t>
            </w:r>
          </w:p>
        </w:tc>
        <w:tc>
          <w:tcPr>
            <w:tcW w:type="dxa" w:w="2339"/>
          </w:tcPr>
          <w:p>
            <w:r>
              <w:rPr>
                <w:rFonts w:ascii="Times New Roman" w:hAnsi="Times New Roman"/>
                <w:sz w:val="20"/>
              </w:rPr>
              <w:t>float</w:t>
            </w:r>
          </w:p>
        </w:tc>
        <w:tc>
          <w:tcPr>
            <w:tcW w:type="dxa" w:w="2339"/>
          </w:tcPr>
          <w:p>
            <w:r>
              <w:rPr>
                <w:rFonts w:ascii="Times New Roman" w:hAnsi="Times New Roman"/>
                <w:sz w:val="20"/>
              </w:rPr>
              <w:t>No (default: training median)</w:t>
            </w:r>
          </w:p>
        </w:tc>
        <w:tc>
          <w:tcPr>
            <w:tcW w:type="dxa" w:w="2339"/>
          </w:tcPr>
          <w:p>
            <w:r>
              <w:rPr>
                <w:rFonts w:ascii="Times New Roman" w:hAnsi="Times New Roman"/>
                <w:sz w:val="20"/>
              </w:rPr>
              <w:t>200 – 1500 K</w:t>
            </w:r>
          </w:p>
        </w:tc>
      </w:tr>
      <w:tr>
        <w:tc>
          <w:tcPr>
            <w:tcW w:type="dxa" w:w="2339"/>
          </w:tcPr>
          <w:p>
            <w:r>
              <w:rPr>
                <w:rFonts w:ascii="Times New Roman" w:hAnsi="Times New Roman"/>
                <w:sz w:val="20"/>
              </w:rPr>
              <w:t>light_intensity</w:t>
            </w:r>
          </w:p>
        </w:tc>
        <w:tc>
          <w:tcPr>
            <w:tcW w:type="dxa" w:w="2339"/>
          </w:tcPr>
          <w:p>
            <w:r>
              <w:rPr>
                <w:rFonts w:ascii="Times New Roman" w:hAnsi="Times New Roman"/>
                <w:sz w:val="20"/>
              </w:rPr>
              <w:t>float</w:t>
            </w:r>
          </w:p>
        </w:tc>
        <w:tc>
          <w:tcPr>
            <w:tcW w:type="dxa" w:w="2339"/>
          </w:tcPr>
          <w:p>
            <w:r>
              <w:rPr>
                <w:rFonts w:ascii="Times New Roman" w:hAnsi="Times New Roman"/>
                <w:sz w:val="20"/>
              </w:rPr>
              <w:t>No (default: training median)</w:t>
            </w:r>
          </w:p>
        </w:tc>
        <w:tc>
          <w:tcPr>
            <w:tcW w:type="dxa" w:w="2339"/>
          </w:tcPr>
          <w:p>
            <w:r>
              <w:rPr>
                <w:rFonts w:ascii="Times New Roman" w:hAnsi="Times New Roman"/>
                <w:sz w:val="20"/>
              </w:rPr>
              <w:t>0 – 2000 mW/cm²</w:t>
            </w:r>
          </w:p>
        </w:tc>
      </w:tr>
      <w:tr>
        <w:tc>
          <w:tcPr>
            <w:tcW w:type="dxa" w:w="2339"/>
          </w:tcPr>
          <w:p>
            <w:r>
              <w:rPr>
                <w:rFonts w:ascii="Times New Roman" w:hAnsi="Times New Roman"/>
                <w:sz w:val="20"/>
              </w:rPr>
              <w:t>thickness</w:t>
            </w:r>
          </w:p>
        </w:tc>
        <w:tc>
          <w:tcPr>
            <w:tcW w:type="dxa" w:w="2339"/>
          </w:tcPr>
          <w:p>
            <w:r>
              <w:rPr>
                <w:rFonts w:ascii="Times New Roman" w:hAnsi="Times New Roman"/>
                <w:sz w:val="20"/>
              </w:rPr>
              <w:t>float</w:t>
            </w:r>
          </w:p>
        </w:tc>
        <w:tc>
          <w:tcPr>
            <w:tcW w:type="dxa" w:w="2339"/>
          </w:tcPr>
          <w:p>
            <w:r>
              <w:rPr>
                <w:rFonts w:ascii="Times New Roman" w:hAnsi="Times New Roman"/>
                <w:sz w:val="20"/>
              </w:rPr>
              <w:t>No (default: training median)</w:t>
            </w:r>
          </w:p>
        </w:tc>
        <w:tc>
          <w:tcPr>
            <w:tcW w:type="dxa" w:w="2339"/>
          </w:tcPr>
          <w:p>
            <w:r>
              <w:rPr>
                <w:rFonts w:ascii="Times New Roman" w:hAnsi="Times New Roman"/>
                <w:sz w:val="20"/>
              </w:rPr>
              <w:t>0 – 100000 nm</w:t>
            </w:r>
          </w:p>
        </w:tc>
      </w:tr>
      <w:tr>
        <w:tc>
          <w:tcPr>
            <w:tcW w:type="dxa" w:w="2339"/>
          </w:tcPr>
          <w:p>
            <w:r>
              <w:rPr>
                <w:rFonts w:ascii="Times New Roman" w:hAnsi="Times New Roman"/>
                <w:sz w:val="20"/>
              </w:rPr>
              <w:t>cocatalyst</w:t>
            </w:r>
          </w:p>
        </w:tc>
        <w:tc>
          <w:tcPr>
            <w:tcW w:type="dxa" w:w="2339"/>
          </w:tcPr>
          <w:p>
            <w:r>
              <w:rPr>
                <w:rFonts w:ascii="Times New Roman" w:hAnsi="Times New Roman"/>
                <w:sz w:val="20"/>
              </w:rPr>
              <w:t>string</w:t>
            </w:r>
          </w:p>
        </w:tc>
        <w:tc>
          <w:tcPr>
            <w:tcW w:type="dxa" w:w="2339"/>
          </w:tcPr>
          <w:p>
            <w:r>
              <w:rPr>
                <w:rFonts w:ascii="Times New Roman" w:hAnsi="Times New Roman"/>
                <w:sz w:val="20"/>
              </w:rPr>
              <w:t>No (default: most frequent)</w:t>
            </w:r>
          </w:p>
        </w:tc>
        <w:tc>
          <w:tcPr>
            <w:tcW w:type="dxa" w:w="2339"/>
          </w:tcPr>
          <w:p>
            <w:r>
              <w:rPr>
                <w:rFonts w:ascii="Times New Roman" w:hAnsi="Times New Roman"/>
                <w:sz w:val="20"/>
              </w:rPr>
              <w:t>Any co-catalyst name or 'None'</w:t>
            </w:r>
          </w:p>
        </w:tc>
      </w:tr>
      <w:tr>
        <w:tc>
          <w:tcPr>
            <w:tcW w:type="dxa" w:w="2339"/>
          </w:tcPr>
          <w:p>
            <w:r>
              <w:rPr>
                <w:rFonts w:ascii="Times New Roman" w:hAnsi="Times New Roman"/>
                <w:sz w:val="20"/>
              </w:rPr>
              <w:t>synthesis_method</w:t>
            </w:r>
          </w:p>
        </w:tc>
        <w:tc>
          <w:tcPr>
            <w:tcW w:type="dxa" w:w="2339"/>
          </w:tcPr>
          <w:p>
            <w:r>
              <w:rPr>
                <w:rFonts w:ascii="Times New Roman" w:hAnsi="Times New Roman"/>
                <w:sz w:val="20"/>
              </w:rPr>
              <w:t>string</w:t>
            </w:r>
          </w:p>
        </w:tc>
        <w:tc>
          <w:tcPr>
            <w:tcW w:type="dxa" w:w="2339"/>
          </w:tcPr>
          <w:p>
            <w:r>
              <w:rPr>
                <w:rFonts w:ascii="Times New Roman" w:hAnsi="Times New Roman"/>
                <w:sz w:val="20"/>
              </w:rPr>
              <w:t>No (default: most frequent)</w:t>
            </w:r>
          </w:p>
        </w:tc>
        <w:tc>
          <w:tcPr>
            <w:tcW w:type="dxa" w:w="2339"/>
          </w:tcPr>
          <w:p>
            <w:r>
              <w:rPr>
                <w:rFonts w:ascii="Times New Roman" w:hAnsi="Times New Roman"/>
                <w:sz w:val="20"/>
              </w:rPr>
              <w:t>e.g., sol-gel, ALD, sputtering</w:t>
            </w:r>
          </w:p>
        </w:tc>
      </w:tr>
      <w:tr>
        <w:tc>
          <w:tcPr>
            <w:tcW w:type="dxa" w:w="2339"/>
          </w:tcPr>
          <w:p>
            <w:r>
              <w:rPr>
                <w:rFonts w:ascii="Times New Roman" w:hAnsi="Times New Roman"/>
                <w:sz w:val="20"/>
              </w:rPr>
              <w:t>photoelectrode_type</w:t>
            </w:r>
          </w:p>
        </w:tc>
        <w:tc>
          <w:tcPr>
            <w:tcW w:type="dxa" w:w="2339"/>
          </w:tcPr>
          <w:p>
            <w:r>
              <w:rPr>
                <w:rFonts w:ascii="Times New Roman" w:hAnsi="Times New Roman"/>
                <w:sz w:val="20"/>
              </w:rPr>
              <w:t>string</w:t>
            </w:r>
          </w:p>
        </w:tc>
        <w:tc>
          <w:tcPr>
            <w:tcW w:type="dxa" w:w="2339"/>
          </w:tcPr>
          <w:p>
            <w:r>
              <w:rPr>
                <w:rFonts w:ascii="Times New Roman" w:hAnsi="Times New Roman"/>
                <w:sz w:val="20"/>
              </w:rPr>
              <w:t>No (default: most frequent)</w:t>
            </w:r>
          </w:p>
        </w:tc>
        <w:tc>
          <w:tcPr>
            <w:tcW w:type="dxa" w:w="2339"/>
          </w:tcPr>
          <w:p>
            <w:r>
              <w:rPr>
                <w:rFonts w:ascii="Times New Roman" w:hAnsi="Times New Roman"/>
                <w:sz w:val="20"/>
              </w:rPr>
              <w:t>photoanode or photocathode</w:t>
            </w:r>
          </w:p>
        </w:tc>
      </w:tr>
      <w:tr>
        <w:tc>
          <w:tcPr>
            <w:tcW w:type="dxa" w:w="2339"/>
          </w:tcPr>
          <w:p>
            <w:r>
              <w:rPr>
                <w:rFonts w:ascii="Times New Roman" w:hAnsi="Times New Roman"/>
                <w:sz w:val="20"/>
              </w:rPr>
              <w:t>nanostructure</w:t>
            </w:r>
          </w:p>
        </w:tc>
        <w:tc>
          <w:tcPr>
            <w:tcW w:type="dxa" w:w="2339"/>
          </w:tcPr>
          <w:p>
            <w:r>
              <w:rPr>
                <w:rFonts w:ascii="Times New Roman" w:hAnsi="Times New Roman"/>
                <w:sz w:val="20"/>
              </w:rPr>
              <w:t>string</w:t>
            </w:r>
          </w:p>
        </w:tc>
        <w:tc>
          <w:tcPr>
            <w:tcW w:type="dxa" w:w="2339"/>
          </w:tcPr>
          <w:p>
            <w:r>
              <w:rPr>
                <w:rFonts w:ascii="Times New Roman" w:hAnsi="Times New Roman"/>
                <w:sz w:val="20"/>
              </w:rPr>
              <w:t>No (default: most frequent)</w:t>
            </w:r>
          </w:p>
        </w:tc>
        <w:tc>
          <w:tcPr>
            <w:tcW w:type="dxa" w:w="2339"/>
          </w:tcPr>
          <w:p>
            <w:r>
              <w:rPr>
                <w:rFonts w:ascii="Times New Roman" w:hAnsi="Times New Roman"/>
                <w:sz w:val="20"/>
              </w:rPr>
              <w:t>e.g., nanowire, nanoparticle, film</w:t>
            </w:r>
          </w:p>
        </w:tc>
      </w:tr>
      <w:tr>
        <w:tc>
          <w:tcPr>
            <w:tcW w:type="dxa" w:w="2339"/>
          </w:tcPr>
          <w:p>
            <w:r>
              <w:rPr>
                <w:rFonts w:ascii="Times New Roman" w:hAnsi="Times New Roman"/>
                <w:sz w:val="20"/>
              </w:rPr>
              <w:t>morphology</w:t>
            </w:r>
          </w:p>
        </w:tc>
        <w:tc>
          <w:tcPr>
            <w:tcW w:type="dxa" w:w="2339"/>
          </w:tcPr>
          <w:p>
            <w:r>
              <w:rPr>
                <w:rFonts w:ascii="Times New Roman" w:hAnsi="Times New Roman"/>
                <w:sz w:val="20"/>
              </w:rPr>
              <w:t>string</w:t>
            </w:r>
          </w:p>
        </w:tc>
        <w:tc>
          <w:tcPr>
            <w:tcW w:type="dxa" w:w="2339"/>
          </w:tcPr>
          <w:p>
            <w:r>
              <w:rPr>
                <w:rFonts w:ascii="Times New Roman" w:hAnsi="Times New Roman"/>
                <w:sz w:val="20"/>
              </w:rPr>
              <w:t>No (default: most frequent)</w:t>
            </w:r>
          </w:p>
        </w:tc>
        <w:tc>
          <w:tcPr>
            <w:tcW w:type="dxa" w:w="2339"/>
          </w:tcPr>
          <w:p>
            <w:r>
              <w:rPr>
                <w:rFonts w:ascii="Times New Roman" w:hAnsi="Times New Roman"/>
                <w:sz w:val="20"/>
              </w:rPr>
              <w:t>Morphology descriptor</w:t>
            </w:r>
          </w:p>
        </w:tc>
      </w:tr>
      <w:tr>
        <w:tc>
          <w:tcPr>
            <w:tcW w:type="dxa" w:w="2339"/>
          </w:tcPr>
          <w:p>
            <w:r>
              <w:rPr>
                <w:rFonts w:ascii="Times New Roman" w:hAnsi="Times New Roman"/>
                <w:sz w:val="20"/>
              </w:rPr>
              <w:t>protective_layer</w:t>
            </w:r>
          </w:p>
        </w:tc>
        <w:tc>
          <w:tcPr>
            <w:tcW w:type="dxa" w:w="2339"/>
          </w:tcPr>
          <w:p>
            <w:r>
              <w:rPr>
                <w:rFonts w:ascii="Times New Roman" w:hAnsi="Times New Roman"/>
                <w:sz w:val="20"/>
              </w:rPr>
              <w:t>string</w:t>
            </w:r>
          </w:p>
        </w:tc>
        <w:tc>
          <w:tcPr>
            <w:tcW w:type="dxa" w:w="2339"/>
          </w:tcPr>
          <w:p>
            <w:r>
              <w:rPr>
                <w:rFonts w:ascii="Times New Roman" w:hAnsi="Times New Roman"/>
                <w:sz w:val="20"/>
              </w:rPr>
              <w:t>No (default: most frequent)</w:t>
            </w:r>
          </w:p>
        </w:tc>
        <w:tc>
          <w:tcPr>
            <w:tcW w:type="dxa" w:w="2339"/>
          </w:tcPr>
          <w:p>
            <w:r>
              <w:rPr>
                <w:rFonts w:ascii="Times New Roman" w:hAnsi="Times New Roman"/>
                <w:sz w:val="20"/>
              </w:rPr>
              <w:t>Protective coating or 'None'</w:t>
            </w:r>
          </w:p>
        </w:tc>
      </w:tr>
    </w:tbl>
    <w:p/>
    <w:p>
      <w:pPr>
        <w:spacing w:before="360" w:after="200" w:lineRule="exact" w:line="360"/>
        <w:jc w:val="left"/>
      </w:pPr>
      <w:r>
        <w:rPr>
          <w:rFonts w:ascii="Times New Roman" w:hAnsi="Times New Roman"/>
          <w:b/>
          <w:sz w:val="28"/>
        </w:rPr>
        <w:t>APPENDIX D: Project File Structure</w:t>
      </w:r>
    </w:p>
    <w:p>
      <w:pPr>
        <w:spacing w:before="40" w:after="40"/>
        <w:ind w:left="850"/>
      </w:pPr>
      <w:r>
        <w:rPr>
          <w:rFonts w:ascii="Courier New" w:hAnsi="Courier New"/>
          <w:sz w:val="18"/>
        </w:rPr>
        <w:t>project_root/</w:t>
      </w:r>
    </w:p>
    <w:p>
      <w:pPr>
        <w:spacing w:before="40" w:after="40"/>
        <w:ind w:left="850"/>
      </w:pPr>
      <w:r>
        <w:rPr>
          <w:rFonts w:ascii="Courier New" w:hAnsi="Courier New"/>
          <w:sz w:val="18"/>
        </w:rPr>
        <w:t>├── backend/</w:t>
      </w:r>
    </w:p>
    <w:p>
      <w:pPr>
        <w:spacing w:before="40" w:after="40"/>
        <w:ind w:left="850"/>
      </w:pPr>
      <w:r>
        <w:rPr>
          <w:rFonts w:ascii="Courier New" w:hAnsi="Courier New"/>
          <w:sz w:val="18"/>
        </w:rPr>
        <w:t>│   ├── app.py                Flask REST API (port 5001)</w:t>
      </w:r>
    </w:p>
    <w:p>
      <w:pPr>
        <w:spacing w:before="40" w:after="40"/>
        <w:ind w:left="850"/>
      </w:pPr>
      <w:r>
        <w:rPr>
          <w:rFonts w:ascii="Courier New" w:hAnsi="Courier New"/>
          <w:sz w:val="18"/>
        </w:rPr>
        <w:t>│   ├── train.py              Model training + evaluation script</w:t>
      </w:r>
    </w:p>
    <w:p>
      <w:pPr>
        <w:spacing w:before="40" w:after="40"/>
        <w:ind w:left="850"/>
      </w:pPr>
      <w:r>
        <w:rPr>
          <w:rFonts w:ascii="Courier New" w:hAnsi="Courier New"/>
          <w:sz w:val="18"/>
        </w:rPr>
        <w:t>│   ├── requirements.txt      Python dependency list</w:t>
      </w:r>
    </w:p>
    <w:p>
      <w:pPr>
        <w:spacing w:before="40" w:after="40"/>
        <w:ind w:left="850"/>
      </w:pPr>
      <w:r>
        <w:rPr>
          <w:rFonts w:ascii="Courier New" w:hAnsi="Courier New"/>
          <w:sz w:val="18"/>
        </w:rPr>
        <w:t>│   ├── model/</w:t>
      </w:r>
    </w:p>
    <w:p>
      <w:pPr>
        <w:spacing w:before="40" w:after="40"/>
        <w:ind w:left="850"/>
      </w:pPr>
      <w:r>
        <w:rPr>
          <w:rFonts w:ascii="Courier New" w:hAnsi="Courier New"/>
          <w:sz w:val="18"/>
        </w:rPr>
        <w:t>│   │   ├── model_pc.pkl      Photocurrent prediction model artifact</w:t>
      </w:r>
    </w:p>
    <w:p>
      <w:pPr>
        <w:spacing w:before="40" w:after="40"/>
        <w:ind w:left="850"/>
      </w:pPr>
      <w:r>
        <w:rPr>
          <w:rFonts w:ascii="Courier New" w:hAnsi="Courier New"/>
          <w:sz w:val="18"/>
        </w:rPr>
        <w:t>│   │   ├── model_sth.pkl     STH efficiency model artifact</w:t>
      </w:r>
    </w:p>
    <w:p>
      <w:pPr>
        <w:spacing w:before="40" w:after="40"/>
        <w:ind w:left="850"/>
      </w:pPr>
      <w:r>
        <w:rPr>
          <w:rFonts w:ascii="Courier New" w:hAnsi="Courier New"/>
          <w:sz w:val="18"/>
        </w:rPr>
        <w:t>│   │   └── model_h2.pkl      H2 evolution model artifact</w:t>
      </w:r>
    </w:p>
    <w:p>
      <w:pPr>
        <w:spacing w:before="40" w:after="40"/>
        <w:ind w:left="850"/>
      </w:pPr>
      <w:r>
        <w:rPr>
          <w:rFonts w:ascii="Courier New" w:hAnsi="Courier New"/>
          <w:sz w:val="18"/>
        </w:rPr>
        <w:t>│   ├── utils/</w:t>
      </w:r>
    </w:p>
    <w:p>
      <w:pPr>
        <w:spacing w:before="40" w:after="40"/>
        <w:ind w:left="850"/>
      </w:pPr>
      <w:r>
        <w:rPr>
          <w:rFonts w:ascii="Courier New" w:hAnsi="Courier New"/>
          <w:sz w:val="18"/>
        </w:rPr>
        <w:t>│   │   └── preprocessing.py  All feature engineering utilities</w:t>
      </w:r>
    </w:p>
    <w:p>
      <w:pPr>
        <w:spacing w:before="40" w:after="40"/>
        <w:ind w:left="850"/>
      </w:pPr>
      <w:r>
        <w:rPr>
          <w:rFonts w:ascii="Courier New" w:hAnsi="Courier New"/>
          <w:sz w:val="18"/>
        </w:rPr>
        <w:t>│   └── data/</w:t>
      </w:r>
    </w:p>
    <w:p>
      <w:pPr>
        <w:spacing w:before="40" w:after="40"/>
        <w:ind w:left="850"/>
      </w:pPr>
      <w:r>
        <w:rPr>
          <w:rFonts w:ascii="Courier New" w:hAnsi="Courier New"/>
          <w:sz w:val="18"/>
        </w:rPr>
        <w:t>│       ├── pec_dataset.csv          Raw dataset from literature</w:t>
      </w:r>
    </w:p>
    <w:p>
      <w:pPr>
        <w:spacing w:before="40" w:after="40"/>
        <w:ind w:left="850"/>
      </w:pPr>
      <w:r>
        <w:rPr>
          <w:rFonts w:ascii="Courier New" w:hAnsi="Courier New"/>
          <w:sz w:val="18"/>
        </w:rPr>
        <w:t>│       └── pec_dataset_clean.csv    Cleaned dataset (generated by train.py)</w:t>
      </w:r>
    </w:p>
    <w:p>
      <w:pPr>
        <w:spacing w:before="40" w:after="40"/>
        <w:ind w:left="850"/>
      </w:pPr>
      <w:r>
        <w:rPr>
          <w:rFonts w:ascii="Courier New" w:hAnsi="Courier New"/>
          <w:sz w:val="18"/>
        </w:rPr>
        <w:t>├── frontend/</w:t>
      </w:r>
    </w:p>
    <w:p>
      <w:pPr>
        <w:spacing w:before="40" w:after="40"/>
        <w:ind w:left="850"/>
      </w:pPr>
      <w:r>
        <w:rPr>
          <w:rFonts w:ascii="Courier New" w:hAnsi="Courier New"/>
          <w:sz w:val="18"/>
        </w:rPr>
        <w:t>│   └── index.html            Standalone frontend (no build tools required)</w:t>
      </w:r>
    </w:p>
    <w:p>
      <w:pPr>
        <w:spacing w:before="40" w:after="40"/>
        <w:ind w:left="850"/>
      </w:pPr>
      <w:r>
        <w:rPr>
          <w:rFonts w:ascii="Courier New" w:hAnsi="Courier New"/>
          <w:sz w:val="18"/>
        </w:rPr>
        <w:t>├── Diploma/</w:t>
      </w:r>
    </w:p>
    <w:p>
      <w:pPr>
        <w:spacing w:before="40" w:after="40"/>
        <w:ind w:left="850"/>
      </w:pPr>
      <w:r>
        <w:rPr>
          <w:rFonts w:ascii="Courier New" w:hAnsi="Courier New"/>
          <w:sz w:val="18"/>
        </w:rPr>
        <w:t>│   └── pec-dashboard/        React 19 + Vite 8 SPA frontend</w:t>
      </w:r>
    </w:p>
    <w:p>
      <w:pPr>
        <w:spacing w:before="40" w:after="40"/>
        <w:ind w:left="850"/>
      </w:pPr>
      <w:r>
        <w:rPr>
          <w:rFonts w:ascii="Courier New" w:hAnsi="Courier New"/>
          <w:sz w:val="18"/>
        </w:rPr>
        <w:t>│       ├── src/App.jsx       Single-component React application</w:t>
      </w:r>
    </w:p>
    <w:p>
      <w:pPr>
        <w:spacing w:before="40" w:after="40"/>
        <w:ind w:left="850"/>
      </w:pPr>
      <w:r>
        <w:rPr>
          <w:rFonts w:ascii="Courier New" w:hAnsi="Courier New"/>
          <w:sz w:val="18"/>
        </w:rPr>
        <w:t>│       ├── .env              VITE_API_URL configuration</w:t>
      </w:r>
    </w:p>
    <w:p>
      <w:pPr>
        <w:spacing w:before="40" w:after="40"/>
        <w:ind w:left="850"/>
      </w:pPr>
      <w:r>
        <w:rPr>
          <w:rFonts w:ascii="Courier New" w:hAnsi="Courier New"/>
          <w:sz w:val="18"/>
        </w:rPr>
        <w:t>│       └── dist/             Production build output</w:t>
      </w:r>
    </w:p>
    <w:p>
      <w:pPr>
        <w:spacing w:before="40" w:after="40"/>
        <w:ind w:left="850"/>
      </w:pPr>
      <w:r>
        <w:rPr>
          <w:rFonts w:ascii="Courier New" w:hAnsi="Courier New"/>
          <w:sz w:val="18"/>
        </w:rPr>
        <w:t>├── generate_diploma.py       Diploma document generator (python-docx)</w:t>
      </w:r>
    </w:p>
    <w:p>
      <w:pPr>
        <w:spacing w:before="40" w:after="40"/>
        <w:ind w:left="850"/>
      </w:pPr>
      <w:r>
        <w:rPr>
          <w:rFonts w:ascii="Courier New" w:hAnsi="Courier New"/>
          <w:sz w:val="18"/>
        </w:rPr>
        <w:t>└── PEC_ML_Diploma_Issayev_220103164.docx   Generated diploma thesis</w:t>
      </w:r>
    </w:p>
    <w:p>
      <w:pPr>
        <w:spacing w:before="360" w:after="200" w:lineRule="exact" w:line="360"/>
        <w:jc w:val="left"/>
      </w:pPr>
      <w:r>
        <w:rPr>
          <w:rFonts w:ascii="Times New Roman" w:hAnsi="Times New Roman"/>
          <w:b/>
          <w:sz w:val="28"/>
        </w:rPr>
        <w:t>APPENDIX E: Training Output Log</w:t>
      </w:r>
    </w:p>
    <w:p>
      <w:pPr>
        <w:spacing w:lineRule="exact" w:line="360" w:before="0" w:after="120"/>
        <w:ind w:firstLine="709"/>
        <w:jc w:val="both"/>
      </w:pPr>
      <w:r>
        <w:rPr>
          <w:rFonts w:ascii="Times New Roman" w:hAnsi="Times New Roman"/>
          <w:b w:val="0"/>
          <w:i w:val="0"/>
          <w:sz w:val="24"/>
        </w:rPr>
        <w:t>The following is the verbatim output of python3 train.py executed on the final dataset (April 2026). This log demonstrates the complete training procedure including per-target CV results, model selection, and artifact saving.</w:t>
      </w:r>
    </w:p>
    <w:p>
      <w:pPr>
        <w:spacing w:before="40" w:after="40"/>
        <w:ind w:left="850"/>
      </w:pPr>
      <w:r>
        <w:rPr>
          <w:rFonts w:ascii="Courier New" w:hAnsi="Courier New"/>
          <w:sz w:val="18"/>
        </w:rPr>
        <w:t>[1/4] Loading dataset: data/pec_dataset.csv</w:t>
      </w:r>
    </w:p>
    <w:p>
      <w:pPr>
        <w:spacing w:before="40" w:after="40"/>
        <w:ind w:left="850"/>
      </w:pPr>
      <w:r>
        <w:rPr>
          <w:rFonts w:ascii="Courier New" w:hAnsi="Courier New"/>
          <w:sz w:val="18"/>
        </w:rPr>
        <w:t xml:space="preserve">      529 rows x 30 cols</w:t>
      </w:r>
    </w:p>
    <w:p>
      <w:pPr>
        <w:spacing w:before="40" w:after="40"/>
        <w:ind w:left="850"/>
      </w:pPr>
      <w:r>
        <w:rPr>
          <w:rFonts w:ascii="Courier New" w:hAnsi="Courier New"/>
          <w:sz w:val="18"/>
        </w:rPr>
      </w:r>
    </w:p>
    <w:p>
      <w:pPr>
        <w:spacing w:before="40" w:after="40"/>
        <w:ind w:left="850"/>
      </w:pPr>
      <w:r>
        <w:rPr>
          <w:rFonts w:ascii="Courier New" w:hAnsi="Courier New"/>
          <w:sz w:val="18"/>
        </w:rPr>
        <w:t>[2/4] Cleaning &amp; enriching...</w:t>
      </w:r>
    </w:p>
    <w:p>
      <w:pPr>
        <w:spacing w:before="40" w:after="40"/>
        <w:ind w:left="850"/>
      </w:pPr>
      <w:r>
        <w:rPr>
          <w:rFonts w:ascii="Courier New" w:hAnsi="Courier New"/>
          <w:sz w:val="18"/>
        </w:rPr>
        <w:t xml:space="preserve">      Saved clean dataset -&gt; data/pec_dataset_clean.csv</w:t>
      </w:r>
    </w:p>
    <w:p>
      <w:pPr>
        <w:spacing w:before="40" w:after="40"/>
        <w:ind w:left="850"/>
      </w:pPr>
      <w:r>
        <w:rPr>
          <w:rFonts w:ascii="Courier New" w:hAnsi="Courier New"/>
          <w:sz w:val="18"/>
        </w:rPr>
      </w:r>
    </w:p>
    <w:p>
      <w:pPr>
        <w:spacing w:before="40" w:after="40"/>
        <w:ind w:left="850"/>
      </w:pPr>
      <w:r>
        <w:rPr>
          <w:rFonts w:ascii="Courier New" w:hAnsi="Courier New"/>
          <w:sz w:val="18"/>
        </w:rPr>
        <w:t>[3/4] Engineering features...</w:t>
      </w:r>
    </w:p>
    <w:p>
      <w:pPr>
        <w:spacing w:before="40" w:after="40"/>
        <w:ind w:left="850"/>
      </w:pPr>
      <w:r>
        <w:rPr>
          <w:rFonts w:ascii="Courier New" w:hAnsi="Courier New"/>
          <w:sz w:val="18"/>
        </w:rPr>
      </w:r>
    </w:p>
    <w:p>
      <w:pPr>
        <w:spacing w:before="40" w:after="40"/>
        <w:ind w:left="850"/>
      </w:pPr>
      <w:r>
        <w:rPr>
          <w:rFonts w:ascii="Courier New" w:hAnsi="Courier New"/>
          <w:sz w:val="18"/>
        </w:rPr>
        <w:t>[4/4] Training models...</w:t>
      </w:r>
    </w:p>
    <w:p>
      <w:pPr>
        <w:spacing w:before="40" w:after="40"/>
        <w:ind w:left="850"/>
      </w:pPr>
      <w:r>
        <w:rPr>
          <w:rFonts w:ascii="Courier New" w:hAnsi="Courier New"/>
          <w:sz w:val="18"/>
        </w:rPr>
      </w:r>
    </w:p>
    <w:p>
      <w:pPr>
        <w:spacing w:before="40" w:after="40"/>
        <w:ind w:left="850"/>
      </w:pPr>
      <w:r>
        <w:rPr>
          <w:rFonts w:ascii="Courier New" w:hAnsi="Courier New"/>
          <w:sz w:val="18"/>
        </w:rPr>
        <w:t>=======================================================</w:t>
      </w:r>
    </w:p>
    <w:p>
      <w:pPr>
        <w:spacing w:before="40" w:after="40"/>
        <w:ind w:left="850"/>
      </w:pPr>
      <w:r>
        <w:rPr>
          <w:rFonts w:ascii="Courier New" w:hAnsi="Courier New"/>
          <w:sz w:val="18"/>
        </w:rPr>
        <w:t xml:space="preserve">  Target: photocurrent  (410 valid rows)</w:t>
      </w:r>
    </w:p>
    <w:p>
      <w:pPr>
        <w:spacing w:before="40" w:after="40"/>
        <w:ind w:left="850"/>
      </w:pPr>
      <w:r>
        <w:rPr>
          <w:rFonts w:ascii="Courier New" w:hAnsi="Courier New"/>
          <w:sz w:val="18"/>
        </w:rPr>
        <w:t>=======================================================</w:t>
      </w:r>
    </w:p>
    <w:p>
      <w:pPr>
        <w:spacing w:before="40" w:after="40"/>
        <w:ind w:left="850"/>
      </w:pPr>
      <w:r>
        <w:rPr>
          <w:rFonts w:ascii="Courier New" w:hAnsi="Courier New"/>
          <w:sz w:val="18"/>
        </w:rPr>
        <w:t xml:space="preserve">  [PC] Removed 14 photocathode rows (negative Jph)</w:t>
      </w:r>
    </w:p>
    <w:p>
      <w:pPr>
        <w:spacing w:before="40" w:after="40"/>
        <w:ind w:left="850"/>
      </w:pPr>
      <w:r>
        <w:rPr>
          <w:rFonts w:ascii="Courier New" w:hAnsi="Courier New"/>
          <w:sz w:val="18"/>
        </w:rPr>
        <w:t xml:space="preserve">  Features: 14 numeric + 6 categorical</w:t>
      </w:r>
    </w:p>
    <w:p>
      <w:pPr>
        <w:spacing w:before="40" w:after="40"/>
        <w:ind w:left="850"/>
      </w:pPr>
      <w:r>
        <w:rPr>
          <w:rFonts w:ascii="Courier New" w:hAnsi="Courier New"/>
          <w:sz w:val="18"/>
        </w:rPr>
        <w:t xml:space="preserve">  Using 3-fold CV</w:t>
      </w:r>
    </w:p>
    <w:p>
      <w:pPr>
        <w:spacing w:before="40" w:after="40"/>
        <w:ind w:left="850"/>
      </w:pPr>
      <w:r>
        <w:rPr>
          <w:rFonts w:ascii="Courier New" w:hAnsi="Courier New"/>
          <w:sz w:val="18"/>
        </w:rPr>
        <w:t xml:space="preserve">  XGBoost        R²=-0.112 ± 0.223  MAE=5.0742</w:t>
      </w:r>
    </w:p>
    <w:p>
      <w:pPr>
        <w:spacing w:before="40" w:after="40"/>
        <w:ind w:left="850"/>
      </w:pPr>
      <w:r>
        <w:rPr>
          <w:rFonts w:ascii="Courier New" w:hAnsi="Courier New"/>
          <w:sz w:val="18"/>
        </w:rPr>
        <w:t xml:space="preserve">  RandomForest   R²=+0.055 ± 0.203  MAE=4.8099</w:t>
      </w:r>
    </w:p>
    <w:p>
      <w:pPr>
        <w:spacing w:before="40" w:after="40"/>
        <w:ind w:left="850"/>
      </w:pPr>
      <w:r>
        <w:rPr>
          <w:rFonts w:ascii="Courier New" w:hAnsi="Courier New"/>
          <w:sz w:val="18"/>
        </w:rPr>
      </w:r>
    </w:p>
    <w:p>
      <w:pPr>
        <w:spacing w:before="40" w:after="40"/>
        <w:ind w:left="850"/>
      </w:pPr>
      <w:r>
        <w:rPr>
          <w:rFonts w:ascii="Courier New" w:hAnsi="Courier New"/>
          <w:sz w:val="18"/>
        </w:rPr>
        <w:t xml:space="preserve">  ✓ Best: RandomForest  (CV R²=+0.055)</w:t>
      </w:r>
    </w:p>
    <w:p>
      <w:pPr>
        <w:spacing w:before="40" w:after="40"/>
        <w:ind w:left="850"/>
      </w:pPr>
      <w:r>
        <w:rPr>
          <w:rFonts w:ascii="Courier New" w:hAnsi="Courier New"/>
          <w:sz w:val="18"/>
        </w:rPr>
        <w:t xml:space="preserve">  Saved -&gt; model/model_pc.pkl</w:t>
      </w:r>
    </w:p>
    <w:p>
      <w:pPr>
        <w:spacing w:before="40" w:after="40"/>
        <w:ind w:left="850"/>
      </w:pPr>
      <w:r>
        <w:rPr>
          <w:rFonts w:ascii="Courier New" w:hAnsi="Courier New"/>
          <w:sz w:val="18"/>
        </w:rPr>
      </w:r>
    </w:p>
    <w:p>
      <w:pPr>
        <w:spacing w:before="40" w:after="40"/>
        <w:ind w:left="850"/>
      </w:pPr>
      <w:r>
        <w:rPr>
          <w:rFonts w:ascii="Courier New" w:hAnsi="Courier New"/>
          <w:sz w:val="18"/>
        </w:rPr>
        <w:t>=======================================================</w:t>
      </w:r>
    </w:p>
    <w:p>
      <w:pPr>
        <w:spacing w:before="40" w:after="40"/>
        <w:ind w:left="850"/>
      </w:pPr>
      <w:r>
        <w:rPr>
          <w:rFonts w:ascii="Courier New" w:hAnsi="Courier New"/>
          <w:sz w:val="18"/>
        </w:rPr>
        <w:t xml:space="preserve">  Target: sth  (48 valid rows)</w:t>
      </w:r>
    </w:p>
    <w:p>
      <w:pPr>
        <w:spacing w:before="40" w:after="40"/>
        <w:ind w:left="850"/>
      </w:pPr>
      <w:r>
        <w:rPr>
          <w:rFonts w:ascii="Courier New" w:hAnsi="Courier New"/>
          <w:sz w:val="18"/>
        </w:rPr>
        <w:t>=======================================================</w:t>
      </w:r>
    </w:p>
    <w:p>
      <w:pPr>
        <w:spacing w:before="40" w:after="40"/>
        <w:ind w:left="850"/>
      </w:pPr>
      <w:r>
        <w:rPr>
          <w:rFonts w:ascii="Courier New" w:hAnsi="Courier New"/>
          <w:sz w:val="18"/>
        </w:rPr>
        <w:t xml:space="preserve">  Features: 14 numeric + 6 categorical</w:t>
      </w:r>
    </w:p>
    <w:p>
      <w:pPr>
        <w:spacing w:before="40" w:after="40"/>
        <w:ind w:left="850"/>
      </w:pPr>
      <w:r>
        <w:rPr>
          <w:rFonts w:ascii="Courier New" w:hAnsi="Courier New"/>
          <w:sz w:val="18"/>
        </w:rPr>
        <w:t xml:space="preserve">  Using 3-fold CV</w:t>
      </w:r>
    </w:p>
    <w:p>
      <w:pPr>
        <w:spacing w:before="40" w:after="40"/>
        <w:ind w:left="850"/>
      </w:pPr>
      <w:r>
        <w:rPr>
          <w:rFonts w:ascii="Courier New" w:hAnsi="Courier New"/>
          <w:sz w:val="18"/>
        </w:rPr>
        <w:t xml:space="preserve">  XGBoost        R²=+0.182 ± 0.443  MAE=5.9127</w:t>
      </w:r>
    </w:p>
    <w:p>
      <w:pPr>
        <w:spacing w:before="40" w:after="40"/>
        <w:ind w:left="850"/>
      </w:pPr>
      <w:r>
        <w:rPr>
          <w:rFonts w:ascii="Courier New" w:hAnsi="Courier New"/>
          <w:sz w:val="18"/>
        </w:rPr>
        <w:t xml:space="preserve">  RandomForest   R²=+0.287 ± 0.512  MAE=5.4543</w:t>
      </w:r>
    </w:p>
    <w:p>
      <w:pPr>
        <w:spacing w:before="40" w:after="40"/>
        <w:ind w:left="850"/>
      </w:pPr>
      <w:r>
        <w:rPr>
          <w:rFonts w:ascii="Courier New" w:hAnsi="Courier New"/>
          <w:sz w:val="18"/>
        </w:rPr>
      </w:r>
    </w:p>
    <w:p>
      <w:pPr>
        <w:spacing w:before="40" w:after="40"/>
        <w:ind w:left="850"/>
      </w:pPr>
      <w:r>
        <w:rPr>
          <w:rFonts w:ascii="Courier New" w:hAnsi="Courier New"/>
          <w:sz w:val="18"/>
        </w:rPr>
        <w:t xml:space="preserve">  ✓ Best: RandomForest  (CV R²=+0.287)</w:t>
      </w:r>
    </w:p>
    <w:p>
      <w:pPr>
        <w:spacing w:before="40" w:after="40"/>
        <w:ind w:left="850"/>
      </w:pPr>
      <w:r>
        <w:rPr>
          <w:rFonts w:ascii="Courier New" w:hAnsi="Courier New"/>
          <w:sz w:val="18"/>
        </w:rPr>
        <w:t xml:space="preserve">  Saved -&gt; model/model_sth.pkl</w:t>
      </w:r>
    </w:p>
    <w:p>
      <w:pPr>
        <w:spacing w:before="40" w:after="40"/>
        <w:ind w:left="850"/>
      </w:pPr>
      <w:r>
        <w:rPr>
          <w:rFonts w:ascii="Courier New" w:hAnsi="Courier New"/>
          <w:sz w:val="18"/>
        </w:rPr>
      </w:r>
    </w:p>
    <w:p>
      <w:pPr>
        <w:spacing w:before="40" w:after="40"/>
        <w:ind w:left="850"/>
      </w:pPr>
      <w:r>
        <w:rPr>
          <w:rFonts w:ascii="Courier New" w:hAnsi="Courier New"/>
          <w:sz w:val="18"/>
        </w:rPr>
        <w:t>=======================================================</w:t>
      </w:r>
    </w:p>
    <w:p>
      <w:pPr>
        <w:spacing w:before="40" w:after="40"/>
        <w:ind w:left="850"/>
      </w:pPr>
      <w:r>
        <w:rPr>
          <w:rFonts w:ascii="Courier New" w:hAnsi="Courier New"/>
          <w:sz w:val="18"/>
        </w:rPr>
        <w:t xml:space="preserve">  Target: h2  (55 valid rows)</w:t>
      </w:r>
    </w:p>
    <w:p>
      <w:pPr>
        <w:spacing w:before="40" w:after="40"/>
        <w:ind w:left="850"/>
      </w:pPr>
      <w:r>
        <w:rPr>
          <w:rFonts w:ascii="Courier New" w:hAnsi="Courier New"/>
          <w:sz w:val="18"/>
        </w:rPr>
        <w:t>=======================================================</w:t>
      </w:r>
    </w:p>
    <w:p>
      <w:pPr>
        <w:spacing w:before="40" w:after="40"/>
        <w:ind w:left="850"/>
      </w:pPr>
      <w:r>
        <w:rPr>
          <w:rFonts w:ascii="Courier New" w:hAnsi="Courier New"/>
          <w:sz w:val="18"/>
        </w:rPr>
        <w:t xml:space="preserve">  Features: 14 numeric + 6 categorical</w:t>
      </w:r>
    </w:p>
    <w:p>
      <w:pPr>
        <w:spacing w:before="40" w:after="40"/>
        <w:ind w:left="850"/>
      </w:pPr>
      <w:r>
        <w:rPr>
          <w:rFonts w:ascii="Courier New" w:hAnsi="Courier New"/>
          <w:sz w:val="18"/>
        </w:rPr>
        <w:t xml:space="preserve">  Using 3-fold CV</w:t>
      </w:r>
    </w:p>
    <w:p>
      <w:pPr>
        <w:spacing w:before="40" w:after="40"/>
        <w:ind w:left="850"/>
      </w:pPr>
      <w:r>
        <w:rPr>
          <w:rFonts w:ascii="Courier New" w:hAnsi="Courier New"/>
          <w:sz w:val="18"/>
        </w:rPr>
        <w:t xml:space="preserve">  XGBoost        R²=-0.074 ± 0.245  MAE=1.3948</w:t>
      </w:r>
    </w:p>
    <w:p>
      <w:pPr>
        <w:spacing w:before="40" w:after="40"/>
        <w:ind w:left="850"/>
      </w:pPr>
      <w:r>
        <w:rPr>
          <w:rFonts w:ascii="Courier New" w:hAnsi="Courier New"/>
          <w:sz w:val="18"/>
        </w:rPr>
        <w:t xml:space="preserve">  RandomForest   R²=+0.085 ± 0.268  MAE=1.2989</w:t>
      </w:r>
    </w:p>
    <w:p>
      <w:pPr>
        <w:spacing w:before="40" w:after="40"/>
        <w:ind w:left="850"/>
      </w:pPr>
      <w:r>
        <w:rPr>
          <w:rFonts w:ascii="Courier New" w:hAnsi="Courier New"/>
          <w:sz w:val="18"/>
        </w:rPr>
      </w:r>
    </w:p>
    <w:p>
      <w:pPr>
        <w:spacing w:before="40" w:after="40"/>
        <w:ind w:left="850"/>
      </w:pPr>
      <w:r>
        <w:rPr>
          <w:rFonts w:ascii="Courier New" w:hAnsi="Courier New"/>
          <w:sz w:val="18"/>
        </w:rPr>
        <w:t xml:space="preserve">  ✓ Best: RandomForest  (CV R²=+0.085)</w:t>
      </w:r>
    </w:p>
    <w:p>
      <w:pPr>
        <w:spacing w:before="40" w:after="40"/>
        <w:ind w:left="850"/>
      </w:pPr>
      <w:r>
        <w:rPr>
          <w:rFonts w:ascii="Courier New" w:hAnsi="Courier New"/>
          <w:sz w:val="18"/>
        </w:rPr>
        <w:t xml:space="preserve">  Saved -&gt; model/model_h2.pkl</w:t>
      </w:r>
    </w:p>
    <w:p>
      <w:pPr>
        <w:spacing w:before="40" w:after="40"/>
        <w:ind w:left="850"/>
      </w:pPr>
      <w:r>
        <w:rPr>
          <w:rFonts w:ascii="Courier New" w:hAnsi="Courier New"/>
          <w:sz w:val="18"/>
        </w:rPr>
      </w:r>
    </w:p>
    <w:p>
      <w:pPr>
        <w:spacing w:before="40" w:after="40"/>
        <w:ind w:left="850"/>
      </w:pPr>
      <w:r>
        <w:rPr>
          <w:rFonts w:ascii="Courier New" w:hAnsi="Courier New"/>
          <w:sz w:val="18"/>
        </w:rPr>
        <w:t>=======================================================</w:t>
      </w:r>
    </w:p>
    <w:p>
      <w:pPr>
        <w:spacing w:before="40" w:after="40"/>
        <w:ind w:left="850"/>
      </w:pPr>
      <w:r>
        <w:rPr>
          <w:rFonts w:ascii="Courier New" w:hAnsi="Courier New"/>
          <w:sz w:val="18"/>
        </w:rPr>
        <w:t xml:space="preserve">  TRAINING COMPLETE</w:t>
      </w:r>
    </w:p>
    <w:p>
      <w:pPr>
        <w:spacing w:before="40" w:after="40"/>
        <w:ind w:left="850"/>
      </w:pPr>
      <w:r>
        <w:rPr>
          <w:rFonts w:ascii="Courier New" w:hAnsi="Courier New"/>
          <w:sz w:val="18"/>
        </w:rPr>
        <w:t>=======================================================</w:t>
      </w:r>
    </w:p>
    <w:p>
      <w:pPr>
        <w:spacing w:before="40" w:after="40"/>
        <w:ind w:left="850"/>
      </w:pPr>
      <w:r>
        <w:rPr>
          <w:rFonts w:ascii="Courier New" w:hAnsi="Courier New"/>
          <w:sz w:val="18"/>
        </w:rPr>
        <w:t xml:space="preserve">        target          model  cv_r2   cv_mae</w:t>
      </w:r>
    </w:p>
    <w:p>
      <w:pPr>
        <w:spacing w:before="40" w:after="40"/>
        <w:ind w:left="850"/>
      </w:pPr>
      <w:r>
        <w:rPr>
          <w:rFonts w:ascii="Courier New" w:hAnsi="Courier New"/>
          <w:sz w:val="18"/>
        </w:rPr>
        <w:t xml:space="preserve">   photocurrent  RandomForest +0.055   4.8099</w:t>
      </w:r>
    </w:p>
    <w:p>
      <w:pPr>
        <w:spacing w:before="40" w:after="40"/>
        <w:ind w:left="850"/>
      </w:pPr>
      <w:r>
        <w:rPr>
          <w:rFonts w:ascii="Courier New" w:hAnsi="Courier New"/>
          <w:sz w:val="18"/>
        </w:rPr>
        <w:t xml:space="preserve">           sth  RandomForest +0.287   5.4543</w:t>
      </w:r>
    </w:p>
    <w:p>
      <w:pPr>
        <w:spacing w:before="40" w:after="40"/>
        <w:ind w:left="850"/>
      </w:pPr>
      <w:r>
        <w:rPr>
          <w:rFonts w:ascii="Courier New" w:hAnsi="Courier New"/>
          <w:sz w:val="18"/>
        </w:rPr>
        <w:t xml:space="preserve">            h2  RandomForest +0.085   1.2989</w:t>
      </w:r>
    </w:p>
    <w:p>
      <w:pPr>
        <w:spacing w:before="40" w:after="40"/>
        <w:ind w:left="850"/>
      </w:pPr>
      <w:r>
        <w:rPr>
          <w:rFonts w:ascii="Courier New" w:hAnsi="Courier New"/>
          <w:sz w:val="18"/>
        </w:rPr>
      </w:r>
    </w:p>
    <w:p>
      <w:pPr>
        <w:spacing w:before="40" w:after="40"/>
        <w:ind w:left="850"/>
      </w:pPr>
      <w:r>
        <w:rPr>
          <w:rFonts w:ascii="Courier New" w:hAnsi="Courier New"/>
          <w:sz w:val="18"/>
        </w:rPr>
        <w:t xml:space="preserve">  Models saved in: backend/model/</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