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392C7" w14:textId="77777777" w:rsidR="004E1BCB" w:rsidRPr="004E1BCB" w:rsidRDefault="004E1BCB" w:rsidP="004E1BCB">
      <w:r w:rsidRPr="004E1BCB">
        <w:t>Dear customer,</w:t>
      </w:r>
    </w:p>
    <w:p w14:paraId="5762B8D4" w14:textId="77777777" w:rsidR="004E1BCB" w:rsidRPr="004E1BCB" w:rsidRDefault="004E1BCB" w:rsidP="004E1BCB">
      <w:r w:rsidRPr="004E1BCB">
        <w:t>Please refer to the following information of our offering of YAAS. </w:t>
      </w:r>
    </w:p>
    <w:p w14:paraId="57F2404C" w14:textId="2807F56A" w:rsidR="004E1BCB" w:rsidRDefault="004E1BCB" w:rsidP="004E1BCB">
      <w:pPr>
        <w:rPr>
          <w:b/>
          <w:bCs/>
        </w:rPr>
      </w:pPr>
      <w:r w:rsidRPr="004E1BCB">
        <w:rPr>
          <w:b/>
          <w:bCs/>
        </w:rPr>
        <w:t>For your account 88SN9997, according to the current balance on your account, the maximum of your purchase is 22500 for 101250</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9360"/>
      </w:tblGrid>
      <w:tr w:rsidR="004E1BCB" w:rsidRPr="004E1BCB" w14:paraId="2942038D" w14:textId="77777777" w:rsidTr="00EB6D62">
        <w:trPr>
          <w:tblCellSpacing w:w="0" w:type="dxa"/>
        </w:trPr>
        <w:tc>
          <w:tcPr>
            <w:tcW w:w="0" w:type="auto"/>
            <w:hideMark/>
          </w:tcPr>
          <w:p w14:paraId="1AF49E23" w14:textId="77777777" w:rsidR="004E1BCB" w:rsidRPr="004E1BCB" w:rsidRDefault="004E1BCB" w:rsidP="00EB6D62">
            <w:r w:rsidRPr="004E1BCB">
              <w:rPr>
                <w:b/>
                <w:bCs/>
              </w:rPr>
              <w:t> </w:t>
            </w:r>
          </w:p>
          <w:p w14:paraId="35635F3C" w14:textId="77777777" w:rsidR="004E1BCB" w:rsidRPr="004E1BCB" w:rsidRDefault="004E1BCB" w:rsidP="00EB6D62">
            <w:r w:rsidRPr="004E1BCB">
              <w:rPr>
                <w:b/>
                <w:bCs/>
              </w:rPr>
              <w:t>YOUXIN TECHNOLOGY LTD. (NASDAQ: YAAS)</w:t>
            </w:r>
          </w:p>
          <w:p w14:paraId="40495551" w14:textId="77777777" w:rsidR="004E1BCB" w:rsidRPr="004E1BCB" w:rsidRDefault="004E1BCB" w:rsidP="00EB6D62">
            <w:r>
              <w:rPr>
                <w:rFonts w:hint="eastAsia"/>
                <w:b/>
                <w:bCs/>
              </w:rPr>
              <w:t xml:space="preserve"> </w:t>
            </w:r>
            <w:r w:rsidRPr="004E1BCB">
              <w:rPr>
                <w:b/>
                <w:bCs/>
              </w:rPr>
              <w:t>***Initial Public Offering***</w:t>
            </w:r>
          </w:p>
          <w:p w14:paraId="585ADA11" w14:textId="77777777" w:rsidR="004E1BCB" w:rsidRPr="004E1BCB" w:rsidRDefault="004E1BCB" w:rsidP="00EB6D62">
            <w:r w:rsidRPr="004E1BCB">
              <w:rPr>
                <w:b/>
                <w:bCs/>
              </w:rPr>
              <w:t>*Anticipated Pricing Monday 11/25 for Trading Tuesday 11/26, subject to regulatory approval*</w:t>
            </w:r>
          </w:p>
          <w:p w14:paraId="306CAF9E" w14:textId="77777777" w:rsidR="004E1BCB" w:rsidRPr="004E1BCB" w:rsidRDefault="004E1BCB" w:rsidP="00EB6D62">
            <w:r w:rsidRPr="004E1BCB">
              <w:rPr>
                <w:b/>
                <w:bCs/>
              </w:rPr>
              <w:t>*Please provide your indications in shares and number of accounts ASAP to </w:t>
            </w:r>
            <w:hyperlink r:id="rId4" w:tooltip="mailto:syndicate@aegiscap.com*" w:history="1">
              <w:r w:rsidRPr="004E1BCB">
                <w:rPr>
                  <w:rStyle w:val="Hyperlink"/>
                  <w:b/>
                  <w:bCs/>
                </w:rPr>
                <w:t>syndicate@aegiscap.com*</w:t>
              </w:r>
            </w:hyperlink>
          </w:p>
          <w:p w14:paraId="549A1A63" w14:textId="77777777" w:rsidR="004E1BCB" w:rsidRPr="004E1BCB" w:rsidRDefault="004E1BCB" w:rsidP="00EB6D62">
            <w:r w:rsidRPr="004E1BCB">
              <w:rPr>
                <w:b/>
                <w:bCs/>
              </w:rPr>
              <w:t> </w:t>
            </w:r>
          </w:p>
          <w:p w14:paraId="36F32793" w14:textId="77777777" w:rsidR="004E1BCB" w:rsidRPr="004E1BCB" w:rsidRDefault="004E1BCB" w:rsidP="00EB6D62">
            <w:r w:rsidRPr="004E1BCB">
              <w:rPr>
                <w:b/>
                <w:bCs/>
              </w:rPr>
              <w:t>*Selling Concession – 3.5%*</w:t>
            </w:r>
          </w:p>
        </w:tc>
      </w:tr>
      <w:tr w:rsidR="004E1BCB" w:rsidRPr="004E1BCB" w14:paraId="580BA883" w14:textId="77777777" w:rsidTr="00EB6D62">
        <w:trPr>
          <w:tblCellSpacing w:w="0" w:type="dxa"/>
        </w:trPr>
        <w:tc>
          <w:tcPr>
            <w:tcW w:w="0" w:type="auto"/>
            <w:hideMark/>
          </w:tcPr>
          <w:p w14:paraId="648F0732" w14:textId="77777777" w:rsidR="004E1BCB" w:rsidRPr="004E1BCB" w:rsidRDefault="004E1BCB" w:rsidP="00EB6D62">
            <w:r w:rsidRPr="004E1BCB">
              <w:t> </w:t>
            </w:r>
          </w:p>
          <w:p w14:paraId="3E8D914A" w14:textId="5C078862" w:rsidR="004E1BCB" w:rsidRPr="004E1BCB" w:rsidRDefault="004E1BCB" w:rsidP="00EB6D62">
            <w:r w:rsidRPr="004E1BCB">
              <w:t xml:space="preserve">Aegis Capital Corp. is pleased to announce an Initial Public Offering of ~ $10,000,000 for </w:t>
            </w:r>
            <w:proofErr w:type="spellStart"/>
            <w:r w:rsidRPr="004E1BCB">
              <w:t>Youxin</w:t>
            </w:r>
            <w:proofErr w:type="spellEnd"/>
            <w:r w:rsidRPr="004E1BCB">
              <w:t xml:space="preserve"> Technology Ltd (Nasdaq: YAAS)</w:t>
            </w:r>
            <w:r w:rsidRPr="004E1BCB">
              <w:br/>
            </w:r>
            <w:r w:rsidRPr="004E1BCB">
              <w:br/>
            </w:r>
            <w:r w:rsidRPr="004E1BCB">
              <w:rPr>
                <w:u w:val="single"/>
              </w:rPr>
              <w:t>E-Red is Attached</w:t>
            </w:r>
          </w:p>
        </w:tc>
      </w:tr>
    </w:tbl>
    <w:p w14:paraId="62118BA2" w14:textId="77777777" w:rsidR="004E1BCB" w:rsidRPr="004E1BCB" w:rsidRDefault="004E1BCB" w:rsidP="004E1BCB"/>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526"/>
        <w:gridCol w:w="69"/>
        <w:gridCol w:w="6765"/>
      </w:tblGrid>
      <w:tr w:rsidR="004E1BCB" w:rsidRPr="004E1BCB" w14:paraId="7FCF07FB" w14:textId="77777777" w:rsidTr="004E1BCB">
        <w:trPr>
          <w:tblCellSpacing w:w="0" w:type="dxa"/>
        </w:trPr>
        <w:tc>
          <w:tcPr>
            <w:tcW w:w="2526" w:type="dxa"/>
            <w:hideMark/>
          </w:tcPr>
          <w:p w14:paraId="23110335" w14:textId="4DE4D58E" w:rsidR="004E1BCB" w:rsidRPr="004E1BCB" w:rsidRDefault="004E1BCB" w:rsidP="004E1BCB">
            <w:r w:rsidRPr="004E1BCB">
              <w:rPr>
                <w:b/>
                <w:bCs/>
              </w:rPr>
              <w:t>Offering</w:t>
            </w:r>
            <w:r>
              <w:rPr>
                <w:rFonts w:hint="eastAsia"/>
                <w:b/>
                <w:bCs/>
              </w:rPr>
              <w:t xml:space="preserve"> </w:t>
            </w:r>
            <w:r w:rsidRPr="004E1BCB">
              <w:rPr>
                <w:b/>
                <w:bCs/>
              </w:rPr>
              <w:t>Launch                    </w:t>
            </w:r>
          </w:p>
        </w:tc>
        <w:tc>
          <w:tcPr>
            <w:tcW w:w="69" w:type="dxa"/>
            <w:hideMark/>
          </w:tcPr>
          <w:p w14:paraId="5EB4BF53" w14:textId="77777777" w:rsidR="004E1BCB" w:rsidRPr="004E1BCB" w:rsidRDefault="004E1BCB" w:rsidP="004E1BCB">
            <w:r w:rsidRPr="004E1BCB">
              <w:rPr>
                <w:b/>
                <w:bCs/>
              </w:rPr>
              <w:t> </w:t>
            </w:r>
          </w:p>
        </w:tc>
        <w:tc>
          <w:tcPr>
            <w:tcW w:w="0" w:type="auto"/>
            <w:hideMark/>
          </w:tcPr>
          <w:p w14:paraId="571CC066" w14:textId="77777777" w:rsidR="004E1BCB" w:rsidRPr="004E1BCB" w:rsidRDefault="004E1BCB" w:rsidP="004E1BCB">
            <w:r w:rsidRPr="004E1BCB">
              <w:rPr>
                <w:b/>
                <w:bCs/>
              </w:rPr>
              <w:t> </w:t>
            </w:r>
          </w:p>
          <w:p w14:paraId="050DDC74" w14:textId="77777777" w:rsidR="004E1BCB" w:rsidRPr="004E1BCB" w:rsidRDefault="004E1BCB" w:rsidP="004E1BCB">
            <w:proofErr w:type="spellStart"/>
            <w:r w:rsidRPr="004E1BCB">
              <w:rPr>
                <w:b/>
                <w:bCs/>
              </w:rPr>
              <w:t>Youxin</w:t>
            </w:r>
            <w:proofErr w:type="spellEnd"/>
            <w:r w:rsidRPr="004E1BCB">
              <w:rPr>
                <w:b/>
                <w:bCs/>
              </w:rPr>
              <w:t xml:space="preserve"> Technology Ltd.</w:t>
            </w:r>
          </w:p>
        </w:tc>
      </w:tr>
      <w:tr w:rsidR="004E1BCB" w:rsidRPr="004E1BCB" w14:paraId="2202552B" w14:textId="77777777" w:rsidTr="004E1BCB">
        <w:trPr>
          <w:tblCellSpacing w:w="0" w:type="dxa"/>
        </w:trPr>
        <w:tc>
          <w:tcPr>
            <w:tcW w:w="0" w:type="auto"/>
            <w:gridSpan w:val="3"/>
            <w:hideMark/>
          </w:tcPr>
          <w:p w14:paraId="6C91B56C" w14:textId="545EA6DE" w:rsidR="004E1BCB" w:rsidRPr="004E1BCB" w:rsidRDefault="004E1BCB" w:rsidP="004E1BCB"/>
          <w:p w14:paraId="2CE9D7A3" w14:textId="77777777" w:rsidR="004E1BCB" w:rsidRPr="004E1BCB" w:rsidRDefault="004E1BCB" w:rsidP="004E1BCB">
            <w:r w:rsidRPr="004E1BCB">
              <w:rPr>
                <w:b/>
                <w:bCs/>
              </w:rPr>
              <w:t>Summary of Terms</w:t>
            </w:r>
          </w:p>
        </w:tc>
      </w:tr>
      <w:tr w:rsidR="004E1BCB" w:rsidRPr="004E1BCB" w14:paraId="7E694AA8"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4E8A1B00" w14:textId="77777777" w:rsidR="004E1BCB" w:rsidRPr="004E1BCB" w:rsidRDefault="004E1BCB" w:rsidP="004E1BCB">
            <w:r w:rsidRPr="004E1BCB">
              <w:rPr>
                <w:b/>
                <w:bCs/>
              </w:rPr>
              <w:t>Issuer</w:t>
            </w:r>
          </w:p>
        </w:tc>
        <w:tc>
          <w:tcPr>
            <w:tcW w:w="69" w:type="dxa"/>
            <w:tcBorders>
              <w:top w:val="single" w:sz="4" w:space="0" w:color="auto"/>
              <w:left w:val="single" w:sz="4" w:space="0" w:color="auto"/>
              <w:bottom w:val="single" w:sz="4" w:space="0" w:color="auto"/>
              <w:right w:val="single" w:sz="4" w:space="0" w:color="auto"/>
            </w:tcBorders>
            <w:hideMark/>
          </w:tcPr>
          <w:p w14:paraId="233ABAAD"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1F183300" w14:textId="77777777" w:rsidR="004E1BCB" w:rsidRPr="004E1BCB" w:rsidRDefault="004E1BCB" w:rsidP="004E1BCB">
            <w:proofErr w:type="spellStart"/>
            <w:r w:rsidRPr="004E1BCB">
              <w:t>Youxin</w:t>
            </w:r>
            <w:proofErr w:type="spellEnd"/>
            <w:r w:rsidRPr="004E1BCB">
              <w:t xml:space="preserve"> Technology Ltd.</w:t>
            </w:r>
          </w:p>
        </w:tc>
      </w:tr>
      <w:tr w:rsidR="004E1BCB" w:rsidRPr="004E1BCB" w14:paraId="1B46ADC9"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2862100F" w14:textId="77777777" w:rsidR="004E1BCB" w:rsidRPr="004E1BCB" w:rsidRDefault="004E1BCB" w:rsidP="004E1BCB">
            <w:r w:rsidRPr="004E1BCB">
              <w:rPr>
                <w:b/>
                <w:bCs/>
              </w:rPr>
              <w:t>                              Proposed Listing /Symbol</w:t>
            </w:r>
          </w:p>
        </w:tc>
        <w:tc>
          <w:tcPr>
            <w:tcW w:w="69" w:type="dxa"/>
            <w:tcBorders>
              <w:top w:val="single" w:sz="4" w:space="0" w:color="auto"/>
              <w:left w:val="single" w:sz="4" w:space="0" w:color="auto"/>
              <w:bottom w:val="single" w:sz="4" w:space="0" w:color="auto"/>
              <w:right w:val="single" w:sz="4" w:space="0" w:color="auto"/>
            </w:tcBorders>
            <w:hideMark/>
          </w:tcPr>
          <w:p w14:paraId="550EE132"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36E21B86" w14:textId="77777777" w:rsidR="004E1BCB" w:rsidRPr="004E1BCB" w:rsidRDefault="004E1BCB" w:rsidP="004E1BCB">
            <w:r w:rsidRPr="004E1BCB">
              <w:t>NASDAQ / YAAS</w:t>
            </w:r>
          </w:p>
        </w:tc>
      </w:tr>
      <w:tr w:rsidR="004E1BCB" w:rsidRPr="004E1BCB" w14:paraId="5684EB49"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0185C427" w14:textId="77777777" w:rsidR="004E1BCB" w:rsidRPr="004E1BCB" w:rsidRDefault="004E1BCB" w:rsidP="004E1BCB">
            <w:r w:rsidRPr="004E1BCB">
              <w:rPr>
                <w:b/>
                <w:bCs/>
              </w:rPr>
              <w:t>Type of Offering</w:t>
            </w:r>
          </w:p>
        </w:tc>
        <w:tc>
          <w:tcPr>
            <w:tcW w:w="69" w:type="dxa"/>
            <w:tcBorders>
              <w:top w:val="single" w:sz="4" w:space="0" w:color="auto"/>
              <w:left w:val="single" w:sz="4" w:space="0" w:color="auto"/>
              <w:bottom w:val="single" w:sz="4" w:space="0" w:color="auto"/>
              <w:right w:val="single" w:sz="4" w:space="0" w:color="auto"/>
            </w:tcBorders>
            <w:hideMark/>
          </w:tcPr>
          <w:p w14:paraId="03C2AE44"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5EA40C9E" w14:textId="77777777" w:rsidR="004E1BCB" w:rsidRPr="004E1BCB" w:rsidRDefault="004E1BCB" w:rsidP="004E1BCB">
            <w:r w:rsidRPr="004E1BCB">
              <w:t>Initial Public Offering</w:t>
            </w:r>
          </w:p>
        </w:tc>
      </w:tr>
      <w:tr w:rsidR="004E1BCB" w:rsidRPr="004E1BCB" w14:paraId="704522B4"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444340F6" w14:textId="77777777" w:rsidR="004E1BCB" w:rsidRPr="004E1BCB" w:rsidRDefault="004E1BCB" w:rsidP="004E1BCB">
            <w:r w:rsidRPr="004E1BCB">
              <w:rPr>
                <w:b/>
                <w:bCs/>
              </w:rPr>
              <w:t>Deal size</w:t>
            </w:r>
          </w:p>
          <w:p w14:paraId="631FF75B" w14:textId="77777777" w:rsidR="004E1BCB" w:rsidRPr="004E1BCB" w:rsidRDefault="004E1BCB" w:rsidP="004E1BCB">
            <w:r w:rsidRPr="004E1BCB">
              <w:rPr>
                <w:b/>
                <w:bCs/>
              </w:rPr>
              <w:lastRenderedPageBreak/>
              <w:t>Over-Allotment Option</w:t>
            </w:r>
          </w:p>
        </w:tc>
        <w:tc>
          <w:tcPr>
            <w:tcW w:w="69" w:type="dxa"/>
            <w:tcBorders>
              <w:top w:val="single" w:sz="4" w:space="0" w:color="auto"/>
              <w:left w:val="single" w:sz="4" w:space="0" w:color="auto"/>
              <w:bottom w:val="single" w:sz="4" w:space="0" w:color="auto"/>
              <w:right w:val="single" w:sz="4" w:space="0" w:color="auto"/>
            </w:tcBorders>
            <w:hideMark/>
          </w:tcPr>
          <w:p w14:paraId="5C613DAA" w14:textId="77777777" w:rsidR="004E1BCB" w:rsidRPr="004E1BCB" w:rsidRDefault="004E1BCB" w:rsidP="004E1BCB">
            <w:r w:rsidRPr="004E1BCB">
              <w:rPr>
                <w:b/>
                <w:bCs/>
              </w:rPr>
              <w:lastRenderedPageBreak/>
              <w:t> </w:t>
            </w:r>
          </w:p>
        </w:tc>
        <w:tc>
          <w:tcPr>
            <w:tcW w:w="0" w:type="auto"/>
            <w:tcBorders>
              <w:top w:val="single" w:sz="4" w:space="0" w:color="auto"/>
              <w:left w:val="single" w:sz="4" w:space="0" w:color="auto"/>
              <w:bottom w:val="single" w:sz="4" w:space="0" w:color="auto"/>
              <w:right w:val="single" w:sz="4" w:space="0" w:color="auto"/>
            </w:tcBorders>
            <w:hideMark/>
          </w:tcPr>
          <w:p w14:paraId="19879A45" w14:textId="77777777" w:rsidR="004E1BCB" w:rsidRPr="004E1BCB" w:rsidRDefault="004E1BCB" w:rsidP="004E1BCB">
            <w:r w:rsidRPr="004E1BCB">
              <w:t>~ $10 Million</w:t>
            </w:r>
          </w:p>
          <w:p w14:paraId="0236180C" w14:textId="77777777" w:rsidR="004E1BCB" w:rsidRPr="004E1BCB" w:rsidRDefault="004E1BCB" w:rsidP="004E1BCB">
            <w:r w:rsidRPr="004E1BCB">
              <w:lastRenderedPageBreak/>
              <w:t>15%</w:t>
            </w:r>
          </w:p>
        </w:tc>
      </w:tr>
      <w:tr w:rsidR="004E1BCB" w:rsidRPr="004E1BCB" w14:paraId="779826D3"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275142E3" w14:textId="77777777" w:rsidR="004E1BCB" w:rsidRPr="004E1BCB" w:rsidRDefault="004E1BCB" w:rsidP="004E1BCB">
            <w:r w:rsidRPr="004E1BCB">
              <w:rPr>
                <w:b/>
                <w:bCs/>
              </w:rPr>
              <w:lastRenderedPageBreak/>
              <w:t>Structure</w:t>
            </w:r>
          </w:p>
        </w:tc>
        <w:tc>
          <w:tcPr>
            <w:tcW w:w="69" w:type="dxa"/>
            <w:tcBorders>
              <w:top w:val="single" w:sz="4" w:space="0" w:color="auto"/>
              <w:left w:val="single" w:sz="4" w:space="0" w:color="auto"/>
              <w:bottom w:val="single" w:sz="4" w:space="0" w:color="auto"/>
              <w:right w:val="single" w:sz="4" w:space="0" w:color="auto"/>
            </w:tcBorders>
            <w:hideMark/>
          </w:tcPr>
          <w:p w14:paraId="737FD3CE"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09ED81C5" w14:textId="77777777" w:rsidR="004E1BCB" w:rsidRPr="004E1BCB" w:rsidRDefault="004E1BCB" w:rsidP="004E1BCB">
            <w:r w:rsidRPr="004E1BCB">
              <w:t>Common Only</w:t>
            </w:r>
          </w:p>
        </w:tc>
      </w:tr>
      <w:tr w:rsidR="004E1BCB" w:rsidRPr="004E1BCB" w14:paraId="5695BB54"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231658B3" w14:textId="77777777" w:rsidR="004E1BCB" w:rsidRPr="004E1BCB" w:rsidRDefault="004E1BCB" w:rsidP="004E1BCB">
            <w:r w:rsidRPr="004E1BCB">
              <w:rPr>
                <w:b/>
                <w:bCs/>
              </w:rPr>
              <w:t>Offer Price</w:t>
            </w:r>
          </w:p>
          <w:p w14:paraId="2B55A22C" w14:textId="77777777" w:rsidR="004E1BCB" w:rsidRPr="004E1BCB" w:rsidRDefault="004E1BCB" w:rsidP="004E1BCB">
            <w:r w:rsidRPr="004E1BCB">
              <w:rPr>
                <w:b/>
                <w:bCs/>
              </w:rPr>
              <w:t>Anticipated Pricing Date</w:t>
            </w:r>
          </w:p>
          <w:p w14:paraId="0F3B2EFB" w14:textId="77777777" w:rsidR="004E1BCB" w:rsidRPr="004E1BCB" w:rsidRDefault="004E1BCB" w:rsidP="004E1BCB">
            <w:r w:rsidRPr="004E1BCB">
              <w:rPr>
                <w:b/>
                <w:bCs/>
              </w:rPr>
              <w:t>Anticipated Trading Date</w:t>
            </w:r>
          </w:p>
          <w:p w14:paraId="6C86011D" w14:textId="77777777" w:rsidR="004E1BCB" w:rsidRPr="004E1BCB" w:rsidRDefault="004E1BCB" w:rsidP="004E1BCB">
            <w:r w:rsidRPr="004E1BCB">
              <w:rPr>
                <w:b/>
                <w:bCs/>
              </w:rPr>
              <w:t>Anticipated Settlement Date</w:t>
            </w:r>
          </w:p>
        </w:tc>
        <w:tc>
          <w:tcPr>
            <w:tcW w:w="69" w:type="dxa"/>
            <w:tcBorders>
              <w:top w:val="single" w:sz="4" w:space="0" w:color="auto"/>
              <w:left w:val="single" w:sz="4" w:space="0" w:color="auto"/>
              <w:bottom w:val="single" w:sz="4" w:space="0" w:color="auto"/>
              <w:right w:val="single" w:sz="4" w:space="0" w:color="auto"/>
            </w:tcBorders>
            <w:hideMark/>
          </w:tcPr>
          <w:p w14:paraId="6BE59CA2"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62B6F0A8" w14:textId="77777777" w:rsidR="004E1BCB" w:rsidRPr="004E1BCB" w:rsidRDefault="004E1BCB" w:rsidP="004E1BCB">
            <w:r w:rsidRPr="004E1BCB">
              <w:t>$4.50</w:t>
            </w:r>
          </w:p>
          <w:p w14:paraId="1F3B35F9" w14:textId="77777777" w:rsidR="004E1BCB" w:rsidRPr="004E1BCB" w:rsidRDefault="004E1BCB" w:rsidP="004E1BCB">
            <w:r w:rsidRPr="004E1BCB">
              <w:t>Monday, November 25th, 2024</w:t>
            </w:r>
          </w:p>
          <w:p w14:paraId="3D925C3C" w14:textId="77777777" w:rsidR="004E1BCB" w:rsidRPr="004E1BCB" w:rsidRDefault="004E1BCB" w:rsidP="004E1BCB">
            <w:r w:rsidRPr="004E1BCB">
              <w:t>Tuesday, November 26th, 2024</w:t>
            </w:r>
          </w:p>
          <w:p w14:paraId="32E94E47" w14:textId="77777777" w:rsidR="004E1BCB" w:rsidRPr="004E1BCB" w:rsidRDefault="004E1BCB" w:rsidP="004E1BCB">
            <w:r w:rsidRPr="004E1BCB">
              <w:t>T+1</w:t>
            </w:r>
          </w:p>
          <w:p w14:paraId="3B6CC386" w14:textId="77777777" w:rsidR="004E1BCB" w:rsidRPr="004E1BCB" w:rsidRDefault="004E1BCB" w:rsidP="004E1BCB">
            <w:r w:rsidRPr="004E1BCB">
              <w:t> </w:t>
            </w:r>
          </w:p>
        </w:tc>
      </w:tr>
      <w:tr w:rsidR="004E1BCB" w:rsidRPr="004E1BCB" w14:paraId="78C0A918"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49406294" w14:textId="77777777" w:rsidR="004E1BCB" w:rsidRPr="004E1BCB" w:rsidRDefault="004E1BCB" w:rsidP="004E1BCB">
            <w:r w:rsidRPr="004E1BCB">
              <w:rPr>
                <w:b/>
                <w:bCs/>
              </w:rPr>
              <w:t> </w:t>
            </w:r>
          </w:p>
        </w:tc>
        <w:tc>
          <w:tcPr>
            <w:tcW w:w="69" w:type="dxa"/>
            <w:tcBorders>
              <w:top w:val="single" w:sz="4" w:space="0" w:color="auto"/>
              <w:left w:val="single" w:sz="4" w:space="0" w:color="auto"/>
              <w:bottom w:val="single" w:sz="4" w:space="0" w:color="auto"/>
              <w:right w:val="single" w:sz="4" w:space="0" w:color="auto"/>
            </w:tcBorders>
            <w:hideMark/>
          </w:tcPr>
          <w:p w14:paraId="4612922B"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517E639F" w14:textId="77777777" w:rsidR="004E1BCB" w:rsidRPr="004E1BCB" w:rsidRDefault="004E1BCB" w:rsidP="004E1BCB">
            <w:r w:rsidRPr="004E1BCB">
              <w:rPr>
                <w:b/>
                <w:bCs/>
              </w:rPr>
              <w:t> </w:t>
            </w:r>
          </w:p>
        </w:tc>
      </w:tr>
      <w:tr w:rsidR="004E1BCB" w:rsidRPr="004E1BCB" w14:paraId="7253F458"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1223F1DC" w14:textId="77777777" w:rsidR="004E1BCB" w:rsidRPr="004E1BCB" w:rsidRDefault="004E1BCB" w:rsidP="004E1BCB">
            <w:r w:rsidRPr="004E1BCB">
              <w:rPr>
                <w:b/>
                <w:bCs/>
              </w:rPr>
              <w:t>Underwriting Syndicate</w:t>
            </w:r>
          </w:p>
        </w:tc>
        <w:tc>
          <w:tcPr>
            <w:tcW w:w="69" w:type="dxa"/>
            <w:tcBorders>
              <w:top w:val="single" w:sz="4" w:space="0" w:color="auto"/>
              <w:left w:val="single" w:sz="4" w:space="0" w:color="auto"/>
              <w:bottom w:val="single" w:sz="4" w:space="0" w:color="auto"/>
              <w:right w:val="single" w:sz="4" w:space="0" w:color="auto"/>
            </w:tcBorders>
            <w:hideMark/>
          </w:tcPr>
          <w:p w14:paraId="08024D62"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5B5F4E84" w14:textId="77777777" w:rsidR="004E1BCB" w:rsidRPr="004E1BCB" w:rsidRDefault="004E1BCB" w:rsidP="004E1BCB">
            <w:r w:rsidRPr="004E1BCB">
              <w:rPr>
                <w:b/>
                <w:bCs/>
              </w:rPr>
              <w:t> </w:t>
            </w:r>
          </w:p>
        </w:tc>
      </w:tr>
      <w:tr w:rsidR="004E1BCB" w:rsidRPr="004E1BCB" w14:paraId="1BBEDCAC"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19D1BE5F" w14:textId="77777777" w:rsidR="004E1BCB" w:rsidRPr="004E1BCB" w:rsidRDefault="004E1BCB" w:rsidP="004E1BCB">
            <w:r w:rsidRPr="004E1BCB">
              <w:rPr>
                <w:b/>
                <w:bCs/>
              </w:rPr>
              <w:t> </w:t>
            </w:r>
          </w:p>
          <w:p w14:paraId="1E80F34B" w14:textId="77777777" w:rsidR="004E1BCB" w:rsidRPr="004E1BCB" w:rsidRDefault="004E1BCB" w:rsidP="004E1BCB">
            <w:r w:rsidRPr="004E1BCB">
              <w:rPr>
                <w:b/>
                <w:bCs/>
              </w:rPr>
              <w:t>Book Runner</w:t>
            </w:r>
          </w:p>
          <w:p w14:paraId="5402413D" w14:textId="77777777" w:rsidR="004E1BCB" w:rsidRPr="004E1BCB" w:rsidRDefault="004E1BCB" w:rsidP="004E1BCB">
            <w:r w:rsidRPr="004E1BCB">
              <w:rPr>
                <w:b/>
                <w:bCs/>
              </w:rPr>
              <w:t> </w:t>
            </w:r>
          </w:p>
        </w:tc>
        <w:tc>
          <w:tcPr>
            <w:tcW w:w="69" w:type="dxa"/>
            <w:tcBorders>
              <w:top w:val="single" w:sz="4" w:space="0" w:color="auto"/>
              <w:left w:val="single" w:sz="4" w:space="0" w:color="auto"/>
              <w:bottom w:val="single" w:sz="4" w:space="0" w:color="auto"/>
              <w:right w:val="single" w:sz="4" w:space="0" w:color="auto"/>
            </w:tcBorders>
            <w:hideMark/>
          </w:tcPr>
          <w:p w14:paraId="758D9574" w14:textId="77777777" w:rsidR="004E1BCB" w:rsidRPr="004E1BCB" w:rsidRDefault="004E1BCB" w:rsidP="004E1BCB">
            <w:r w:rsidRPr="004E1BCB">
              <w:rPr>
                <w:b/>
                <w:bCs/>
              </w:rPr>
              <w:t> </w:t>
            </w:r>
          </w:p>
        </w:tc>
        <w:tc>
          <w:tcPr>
            <w:tcW w:w="0" w:type="auto"/>
            <w:tcBorders>
              <w:top w:val="single" w:sz="4" w:space="0" w:color="auto"/>
              <w:left w:val="single" w:sz="4" w:space="0" w:color="auto"/>
              <w:bottom w:val="single" w:sz="4" w:space="0" w:color="auto"/>
              <w:right w:val="single" w:sz="4" w:space="0" w:color="auto"/>
            </w:tcBorders>
            <w:hideMark/>
          </w:tcPr>
          <w:p w14:paraId="53AB6A3E" w14:textId="77777777" w:rsidR="004E1BCB" w:rsidRPr="004E1BCB" w:rsidRDefault="004E1BCB" w:rsidP="004E1BCB">
            <w:r w:rsidRPr="004E1BCB">
              <w:rPr>
                <w:b/>
                <w:bCs/>
              </w:rPr>
              <w:t> </w:t>
            </w:r>
          </w:p>
          <w:p w14:paraId="7217A3F6" w14:textId="77777777" w:rsidR="004E1BCB" w:rsidRPr="004E1BCB" w:rsidRDefault="004E1BCB" w:rsidP="004E1BCB">
            <w:r w:rsidRPr="004E1BCB">
              <w:t> </w:t>
            </w:r>
          </w:p>
          <w:p w14:paraId="0FFA1399" w14:textId="77777777" w:rsidR="004E1BCB" w:rsidRPr="004E1BCB" w:rsidRDefault="004E1BCB" w:rsidP="004E1BCB">
            <w:r w:rsidRPr="004E1BCB">
              <w:t>Aegis Capital Corp.</w:t>
            </w:r>
          </w:p>
          <w:p w14:paraId="07CE988C" w14:textId="77777777" w:rsidR="004E1BCB" w:rsidRPr="004E1BCB" w:rsidRDefault="004E1BCB" w:rsidP="004E1BCB">
            <w:r w:rsidRPr="004E1BCB">
              <w:t> </w:t>
            </w:r>
          </w:p>
        </w:tc>
      </w:tr>
      <w:tr w:rsidR="004E1BCB" w:rsidRPr="004E1BCB" w14:paraId="448E6E4F" w14:textId="77777777" w:rsidTr="004E1BCB">
        <w:trPr>
          <w:tblCellSpacing w:w="0" w:type="dxa"/>
        </w:trPr>
        <w:tc>
          <w:tcPr>
            <w:tcW w:w="2526" w:type="dxa"/>
            <w:hideMark/>
          </w:tcPr>
          <w:p w14:paraId="0424739A" w14:textId="77777777" w:rsidR="004E1BCB" w:rsidRPr="004E1BCB" w:rsidRDefault="004E1BCB" w:rsidP="004E1BCB">
            <w:r w:rsidRPr="004E1BCB">
              <w:rPr>
                <w:b/>
                <w:bCs/>
              </w:rPr>
              <w:t> </w:t>
            </w:r>
          </w:p>
        </w:tc>
        <w:tc>
          <w:tcPr>
            <w:tcW w:w="69" w:type="dxa"/>
            <w:hideMark/>
          </w:tcPr>
          <w:p w14:paraId="05738881" w14:textId="77777777" w:rsidR="004E1BCB" w:rsidRPr="004E1BCB" w:rsidRDefault="004E1BCB" w:rsidP="004E1BCB">
            <w:r w:rsidRPr="004E1BCB">
              <w:rPr>
                <w:b/>
                <w:bCs/>
              </w:rPr>
              <w:t> </w:t>
            </w:r>
          </w:p>
        </w:tc>
        <w:tc>
          <w:tcPr>
            <w:tcW w:w="0" w:type="auto"/>
            <w:hideMark/>
          </w:tcPr>
          <w:p w14:paraId="3C488120" w14:textId="77777777" w:rsidR="004E1BCB" w:rsidRPr="004E1BCB" w:rsidRDefault="004E1BCB" w:rsidP="004E1BCB">
            <w:r w:rsidRPr="004E1BCB">
              <w:rPr>
                <w:b/>
                <w:bCs/>
              </w:rPr>
              <w:t> </w:t>
            </w:r>
          </w:p>
        </w:tc>
      </w:tr>
      <w:tr w:rsidR="004E1BCB" w:rsidRPr="004E1BCB" w14:paraId="2A886498" w14:textId="77777777" w:rsidTr="004E1BCB">
        <w:trPr>
          <w:tblCellSpacing w:w="0" w:type="dxa"/>
        </w:trPr>
        <w:tc>
          <w:tcPr>
            <w:tcW w:w="2526" w:type="dxa"/>
            <w:hideMark/>
          </w:tcPr>
          <w:p w14:paraId="272AA3B1" w14:textId="77777777" w:rsidR="004E1BCB" w:rsidRPr="004E1BCB" w:rsidRDefault="004E1BCB" w:rsidP="004E1BCB">
            <w:r w:rsidRPr="004E1BCB">
              <w:rPr>
                <w:b/>
                <w:bCs/>
              </w:rPr>
              <w:t>Additional Information</w:t>
            </w:r>
          </w:p>
        </w:tc>
        <w:tc>
          <w:tcPr>
            <w:tcW w:w="69" w:type="dxa"/>
            <w:hideMark/>
          </w:tcPr>
          <w:p w14:paraId="29D692B9" w14:textId="77777777" w:rsidR="004E1BCB" w:rsidRPr="004E1BCB" w:rsidRDefault="004E1BCB" w:rsidP="004E1BCB">
            <w:r w:rsidRPr="004E1BCB">
              <w:rPr>
                <w:b/>
                <w:bCs/>
              </w:rPr>
              <w:t> </w:t>
            </w:r>
          </w:p>
        </w:tc>
        <w:tc>
          <w:tcPr>
            <w:tcW w:w="0" w:type="auto"/>
            <w:hideMark/>
          </w:tcPr>
          <w:p w14:paraId="27C77962" w14:textId="77777777" w:rsidR="004E1BCB" w:rsidRPr="004E1BCB" w:rsidRDefault="004E1BCB" w:rsidP="004E1BCB">
            <w:r w:rsidRPr="004E1BCB">
              <w:rPr>
                <w:b/>
                <w:bCs/>
              </w:rPr>
              <w:t> </w:t>
            </w:r>
          </w:p>
        </w:tc>
      </w:tr>
      <w:tr w:rsidR="004E1BCB" w:rsidRPr="004E1BCB" w14:paraId="7480C1B8" w14:textId="77777777" w:rsidTr="004E1BCB">
        <w:trPr>
          <w:tblCellSpacing w:w="0" w:type="dxa"/>
        </w:trPr>
        <w:tc>
          <w:tcPr>
            <w:tcW w:w="2526" w:type="dxa"/>
            <w:hideMark/>
          </w:tcPr>
          <w:p w14:paraId="4D87D357" w14:textId="77777777" w:rsidR="004E1BCB" w:rsidRPr="004E1BCB" w:rsidRDefault="004E1BCB" w:rsidP="004E1BCB">
            <w:r w:rsidRPr="004E1BCB">
              <w:rPr>
                <w:b/>
                <w:bCs/>
              </w:rPr>
              <w:t> </w:t>
            </w:r>
          </w:p>
        </w:tc>
        <w:tc>
          <w:tcPr>
            <w:tcW w:w="69" w:type="dxa"/>
            <w:hideMark/>
          </w:tcPr>
          <w:p w14:paraId="6EC38C51" w14:textId="77777777" w:rsidR="004E1BCB" w:rsidRPr="004E1BCB" w:rsidRDefault="004E1BCB" w:rsidP="004E1BCB">
            <w:r w:rsidRPr="004E1BCB">
              <w:rPr>
                <w:b/>
                <w:bCs/>
              </w:rPr>
              <w:t> </w:t>
            </w:r>
          </w:p>
        </w:tc>
        <w:tc>
          <w:tcPr>
            <w:tcW w:w="0" w:type="auto"/>
            <w:hideMark/>
          </w:tcPr>
          <w:p w14:paraId="5EEAE5DA" w14:textId="77777777" w:rsidR="004E1BCB" w:rsidRPr="004E1BCB" w:rsidRDefault="004E1BCB" w:rsidP="004E1BCB">
            <w:r w:rsidRPr="004E1BCB">
              <w:rPr>
                <w:b/>
                <w:bCs/>
              </w:rPr>
              <w:t> </w:t>
            </w:r>
          </w:p>
        </w:tc>
      </w:tr>
      <w:tr w:rsidR="004E1BCB" w:rsidRPr="004E1BCB" w14:paraId="47215C03" w14:textId="77777777" w:rsidTr="004E1BCB">
        <w:trPr>
          <w:tblCellSpacing w:w="0" w:type="dxa"/>
        </w:trPr>
        <w:tc>
          <w:tcPr>
            <w:tcW w:w="2526" w:type="dxa"/>
            <w:tcBorders>
              <w:top w:val="single" w:sz="4" w:space="0" w:color="auto"/>
              <w:left w:val="single" w:sz="4" w:space="0" w:color="auto"/>
              <w:bottom w:val="single" w:sz="4" w:space="0" w:color="auto"/>
              <w:right w:val="single" w:sz="4" w:space="0" w:color="auto"/>
            </w:tcBorders>
            <w:hideMark/>
          </w:tcPr>
          <w:p w14:paraId="0A94B4C5" w14:textId="77777777" w:rsidR="004E1BCB" w:rsidRPr="004E1BCB" w:rsidRDefault="004E1BCB" w:rsidP="004E1BCB">
            <w:r w:rsidRPr="004E1BCB">
              <w:t> </w:t>
            </w:r>
          </w:p>
          <w:p w14:paraId="05E7A60A" w14:textId="77777777" w:rsidR="004E1BCB" w:rsidRPr="004E1BCB" w:rsidRDefault="004E1BCB" w:rsidP="004E1BCB">
            <w:r w:rsidRPr="004E1BCB">
              <w:rPr>
                <w:b/>
                <w:bCs/>
              </w:rPr>
              <w:t> </w:t>
            </w:r>
          </w:p>
          <w:p w14:paraId="22D97127" w14:textId="77777777" w:rsidR="004E1BCB" w:rsidRPr="004E1BCB" w:rsidRDefault="004E1BCB" w:rsidP="004E1BCB">
            <w:r w:rsidRPr="004E1BCB">
              <w:rPr>
                <w:b/>
                <w:bCs/>
              </w:rPr>
              <w:t>Overview</w:t>
            </w:r>
          </w:p>
          <w:p w14:paraId="0AD69C65" w14:textId="77777777" w:rsidR="004E1BCB" w:rsidRPr="004E1BCB" w:rsidRDefault="004E1BCB" w:rsidP="004E1BCB">
            <w:r w:rsidRPr="004E1BCB">
              <w:t> </w:t>
            </w:r>
          </w:p>
          <w:p w14:paraId="663A7D25" w14:textId="77777777" w:rsidR="004E1BCB" w:rsidRPr="004E1BCB" w:rsidRDefault="004E1BCB" w:rsidP="004E1BCB">
            <w:r w:rsidRPr="004E1BCB">
              <w:t> </w:t>
            </w:r>
          </w:p>
          <w:p w14:paraId="6CDFE5F5" w14:textId="77777777" w:rsidR="004E1BCB" w:rsidRPr="004E1BCB" w:rsidRDefault="004E1BCB" w:rsidP="004E1BCB">
            <w:r w:rsidRPr="004E1BCB">
              <w:t>  </w:t>
            </w:r>
          </w:p>
        </w:tc>
        <w:tc>
          <w:tcPr>
            <w:tcW w:w="69" w:type="dxa"/>
            <w:tcBorders>
              <w:top w:val="single" w:sz="4" w:space="0" w:color="auto"/>
              <w:left w:val="single" w:sz="4" w:space="0" w:color="auto"/>
              <w:bottom w:val="single" w:sz="4" w:space="0" w:color="auto"/>
              <w:right w:val="single" w:sz="4" w:space="0" w:color="auto"/>
            </w:tcBorders>
            <w:hideMark/>
          </w:tcPr>
          <w:p w14:paraId="6485C8F6" w14:textId="77777777" w:rsidR="004E1BCB" w:rsidRPr="004E1BCB" w:rsidRDefault="004E1BCB" w:rsidP="004E1BCB">
            <w:r w:rsidRPr="004E1BCB">
              <w:t> </w:t>
            </w:r>
          </w:p>
        </w:tc>
        <w:tc>
          <w:tcPr>
            <w:tcW w:w="0" w:type="auto"/>
            <w:tcBorders>
              <w:top w:val="single" w:sz="4" w:space="0" w:color="auto"/>
              <w:left w:val="single" w:sz="4" w:space="0" w:color="auto"/>
              <w:bottom w:val="single" w:sz="4" w:space="0" w:color="auto"/>
              <w:right w:val="single" w:sz="4" w:space="0" w:color="auto"/>
            </w:tcBorders>
            <w:hideMark/>
          </w:tcPr>
          <w:p w14:paraId="7B7B6100" w14:textId="77777777" w:rsidR="004E1BCB" w:rsidRPr="004E1BCB" w:rsidRDefault="004E1BCB" w:rsidP="004E1BCB">
            <w:r w:rsidRPr="004E1BCB">
              <w:t> </w:t>
            </w:r>
          </w:p>
          <w:p w14:paraId="474542D2" w14:textId="77777777" w:rsidR="004E1BCB" w:rsidRPr="004E1BCB" w:rsidRDefault="004E1BCB" w:rsidP="004E1BCB">
            <w:r w:rsidRPr="004E1BCB">
              <w:t xml:space="preserve">We are a SaaS and PaaS provider committed to helping retail enterprises digitally transforming their businesses to develop, use and control business applications without the need to purchase complex IT infrastructure. We leverage the technologies used to develop our PaaS platform to standardize a highly customized customer relationship management, or CRM, services to our clients that seamlessly connect all levels of the retail chain from management teams to customers. Our products give our retail clients a comprehensive view of their business operations in real time on multiple interfaces, allowing them to </w:t>
            </w:r>
            <w:r w:rsidRPr="004E1BCB">
              <w:lastRenderedPageBreak/>
              <w:t>make critical business decisions anytime and anywhere. . </w:t>
            </w:r>
          </w:p>
        </w:tc>
      </w:tr>
    </w:tbl>
    <w:p w14:paraId="65D3C43E" w14:textId="77777777" w:rsidR="004E1BCB" w:rsidRPr="004E1BCB" w:rsidRDefault="004E1BCB" w:rsidP="004E1BCB">
      <w:r w:rsidRPr="004E1BCB">
        <w:lastRenderedPageBreak/>
        <w:t> </w:t>
      </w:r>
    </w:p>
    <w:p w14:paraId="081C609C" w14:textId="77777777" w:rsidR="004E1BCB" w:rsidRPr="004E1BCB" w:rsidRDefault="004E1BCB" w:rsidP="004E1BCB">
      <w:r w:rsidRPr="004E1BCB">
        <w:t> </w:t>
      </w:r>
    </w:p>
    <w:p w14:paraId="43B2EB3B" w14:textId="77777777" w:rsidR="004E1BCB" w:rsidRPr="004E1BCB" w:rsidRDefault="004E1BCB" w:rsidP="004E1BCB">
      <w:r w:rsidRPr="004E1BCB">
        <w:t> </w:t>
      </w:r>
    </w:p>
    <w:p w14:paraId="41F716DE" w14:textId="77777777" w:rsidR="004E1BCB" w:rsidRPr="004E1BCB" w:rsidRDefault="004E1BCB" w:rsidP="004E1BCB">
      <w:r w:rsidRPr="004E1BCB">
        <w:t>Brokerage and investment advisory services are offered through Aegis Capital Corporation, a member of </w:t>
      </w:r>
      <w:hyperlink r:id="rId5" w:anchor="/" w:tooltip="https://www.finra.org/#/" w:history="1">
        <w:r w:rsidRPr="004E1BCB">
          <w:rPr>
            <w:rStyle w:val="Hyperlink"/>
          </w:rPr>
          <w:t>FINRA</w:t>
        </w:r>
      </w:hyperlink>
      <w:r w:rsidRPr="004E1BCB">
        <w:t> and </w:t>
      </w:r>
      <w:hyperlink r:id="rId6" w:tooltip="https://www.sipc.org/" w:history="1">
        <w:r w:rsidRPr="004E1BCB">
          <w:rPr>
            <w:rStyle w:val="Hyperlink"/>
          </w:rPr>
          <w:t>SIPC.</w:t>
        </w:r>
      </w:hyperlink>
    </w:p>
    <w:p w14:paraId="3F3513B9" w14:textId="77777777" w:rsidR="004E1BCB" w:rsidRPr="004E1BCB" w:rsidRDefault="004E1BCB" w:rsidP="004E1BCB">
      <w:r w:rsidRPr="004E1BCB">
        <w:t> </w:t>
      </w:r>
    </w:p>
    <w:p w14:paraId="72426836" w14:textId="77777777" w:rsidR="004E1BCB" w:rsidRPr="004E1BCB" w:rsidRDefault="004E1BCB" w:rsidP="004E1BCB">
      <w:r w:rsidRPr="004E1BCB">
        <w:t>Please use this link to view </w:t>
      </w:r>
      <w:hyperlink r:id="rId7" w:tooltip="https://www.aegiscapcorp.com/disclosures/" w:history="1">
        <w:r w:rsidRPr="004E1BCB">
          <w:rPr>
            <w:rStyle w:val="Hyperlink"/>
          </w:rPr>
          <w:t>Aegis Capital Corp Risk Disclosures and Form CRS (Customer Relationship Summary).</w:t>
        </w:r>
      </w:hyperlink>
    </w:p>
    <w:p w14:paraId="675DCFC8" w14:textId="77777777" w:rsidR="00FF05E3" w:rsidRDefault="00FF05E3"/>
    <w:sectPr w:rsidR="00FF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348A"/>
    <w:rsid w:val="001819F9"/>
    <w:rsid w:val="004E1BCB"/>
    <w:rsid w:val="00E64A1F"/>
    <w:rsid w:val="00F67355"/>
    <w:rsid w:val="00F8348A"/>
    <w:rsid w:val="00FF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6BB2"/>
  <w15:chartTrackingRefBased/>
  <w15:docId w15:val="{142061EE-71A9-4182-AD5C-691217F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8A"/>
    <w:rPr>
      <w:rFonts w:eastAsiaTheme="majorEastAsia" w:cstheme="majorBidi"/>
      <w:color w:val="272727" w:themeColor="text1" w:themeTint="D8"/>
    </w:rPr>
  </w:style>
  <w:style w:type="paragraph" w:styleId="Title">
    <w:name w:val="Title"/>
    <w:basedOn w:val="Normal"/>
    <w:next w:val="Normal"/>
    <w:link w:val="TitleChar"/>
    <w:uiPriority w:val="10"/>
    <w:qFormat/>
    <w:rsid w:val="00F8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8A"/>
    <w:pPr>
      <w:spacing w:before="160"/>
      <w:jc w:val="center"/>
    </w:pPr>
    <w:rPr>
      <w:i/>
      <w:iCs/>
      <w:color w:val="404040" w:themeColor="text1" w:themeTint="BF"/>
    </w:rPr>
  </w:style>
  <w:style w:type="character" w:customStyle="1" w:styleId="QuoteChar">
    <w:name w:val="Quote Char"/>
    <w:basedOn w:val="DefaultParagraphFont"/>
    <w:link w:val="Quote"/>
    <w:uiPriority w:val="29"/>
    <w:rsid w:val="00F8348A"/>
    <w:rPr>
      <w:i/>
      <w:iCs/>
      <w:color w:val="404040" w:themeColor="text1" w:themeTint="BF"/>
    </w:rPr>
  </w:style>
  <w:style w:type="paragraph" w:styleId="ListParagraph">
    <w:name w:val="List Paragraph"/>
    <w:basedOn w:val="Normal"/>
    <w:uiPriority w:val="34"/>
    <w:qFormat/>
    <w:rsid w:val="00F8348A"/>
    <w:pPr>
      <w:ind w:left="720"/>
      <w:contextualSpacing/>
    </w:pPr>
  </w:style>
  <w:style w:type="character" w:styleId="IntenseEmphasis">
    <w:name w:val="Intense Emphasis"/>
    <w:basedOn w:val="DefaultParagraphFont"/>
    <w:uiPriority w:val="21"/>
    <w:qFormat/>
    <w:rsid w:val="00F8348A"/>
    <w:rPr>
      <w:i/>
      <w:iCs/>
      <w:color w:val="0F4761" w:themeColor="accent1" w:themeShade="BF"/>
    </w:rPr>
  </w:style>
  <w:style w:type="paragraph" w:styleId="IntenseQuote">
    <w:name w:val="Intense Quote"/>
    <w:basedOn w:val="Normal"/>
    <w:next w:val="Normal"/>
    <w:link w:val="IntenseQuoteChar"/>
    <w:uiPriority w:val="30"/>
    <w:qFormat/>
    <w:rsid w:val="00F8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8A"/>
    <w:rPr>
      <w:i/>
      <w:iCs/>
      <w:color w:val="0F4761" w:themeColor="accent1" w:themeShade="BF"/>
    </w:rPr>
  </w:style>
  <w:style w:type="character" w:styleId="IntenseReference">
    <w:name w:val="Intense Reference"/>
    <w:basedOn w:val="DefaultParagraphFont"/>
    <w:uiPriority w:val="32"/>
    <w:qFormat/>
    <w:rsid w:val="00F8348A"/>
    <w:rPr>
      <w:b/>
      <w:bCs/>
      <w:smallCaps/>
      <w:color w:val="0F4761" w:themeColor="accent1" w:themeShade="BF"/>
      <w:spacing w:val="5"/>
    </w:rPr>
  </w:style>
  <w:style w:type="character" w:styleId="Hyperlink">
    <w:name w:val="Hyperlink"/>
    <w:basedOn w:val="DefaultParagraphFont"/>
    <w:uiPriority w:val="99"/>
    <w:unhideWhenUsed/>
    <w:rsid w:val="004E1BCB"/>
    <w:rPr>
      <w:color w:val="467886" w:themeColor="hyperlink"/>
      <w:u w:val="single"/>
    </w:rPr>
  </w:style>
  <w:style w:type="character" w:styleId="UnresolvedMention">
    <w:name w:val="Unresolved Mention"/>
    <w:basedOn w:val="DefaultParagraphFont"/>
    <w:uiPriority w:val="99"/>
    <w:semiHidden/>
    <w:unhideWhenUsed/>
    <w:rsid w:val="004E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534456">
      <w:bodyDiv w:val="1"/>
      <w:marLeft w:val="0"/>
      <w:marRight w:val="0"/>
      <w:marTop w:val="0"/>
      <w:marBottom w:val="0"/>
      <w:divBdr>
        <w:top w:val="none" w:sz="0" w:space="0" w:color="auto"/>
        <w:left w:val="none" w:sz="0" w:space="0" w:color="auto"/>
        <w:bottom w:val="none" w:sz="0" w:space="0" w:color="auto"/>
        <w:right w:val="none" w:sz="0" w:space="0" w:color="auto"/>
      </w:divBdr>
      <w:divsChild>
        <w:div w:id="995567991">
          <w:marLeft w:val="0"/>
          <w:marRight w:val="0"/>
          <w:marTop w:val="0"/>
          <w:marBottom w:val="0"/>
          <w:divBdr>
            <w:top w:val="none" w:sz="0" w:space="0" w:color="auto"/>
            <w:left w:val="none" w:sz="0" w:space="0" w:color="auto"/>
            <w:bottom w:val="none" w:sz="0" w:space="0" w:color="auto"/>
            <w:right w:val="none" w:sz="0" w:space="0" w:color="auto"/>
          </w:divBdr>
        </w:div>
      </w:divsChild>
    </w:div>
    <w:div w:id="1895041030">
      <w:bodyDiv w:val="1"/>
      <w:marLeft w:val="0"/>
      <w:marRight w:val="0"/>
      <w:marTop w:val="0"/>
      <w:marBottom w:val="0"/>
      <w:divBdr>
        <w:top w:val="none" w:sz="0" w:space="0" w:color="auto"/>
        <w:left w:val="none" w:sz="0" w:space="0" w:color="auto"/>
        <w:bottom w:val="none" w:sz="0" w:space="0" w:color="auto"/>
        <w:right w:val="none" w:sz="0" w:space="0" w:color="auto"/>
      </w:divBdr>
      <w:divsChild>
        <w:div w:id="209933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egiscapcorp.com/disclos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pc.org/" TargetMode="External"/><Relationship Id="rId5" Type="http://schemas.openxmlformats.org/officeDocument/2006/relationships/hyperlink" Target="https://www.finra.org/" TargetMode="External"/><Relationship Id="rId4" Type="http://schemas.openxmlformats.org/officeDocument/2006/relationships/hyperlink" Target="mailto:syndicate@aegiscap.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Ada-Winter</dc:creator>
  <cp:keywords/>
  <dc:description/>
  <cp:lastModifiedBy>David Ada-Winter</cp:lastModifiedBy>
  <cp:revision>2</cp:revision>
  <dcterms:created xsi:type="dcterms:W3CDTF">2024-11-06T20:45:00Z</dcterms:created>
  <dcterms:modified xsi:type="dcterms:W3CDTF">2024-11-06T20:49:00Z</dcterms:modified>
</cp:coreProperties>
</file>