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4117"/>
                  </w:pPr>
                </w:p>
                <w:p>
                  <w:pPr>
                    <w:spacing w:after="500"/>
                  </w:pPr>
                  <w:r>
                    <w:rPr>
                      <w:rFonts w:ascii="Calibri"/>
                      <w:color w:val="D4875A"/>
                      <w:spacing w:val="60"/>
                      <w:sz w:val="18"/>
                      <w:szCs w:val="18"/>
                    </w:rPr>
                    <w:t xml:space="preserve">E N T E R P R I S E   P R O D U C T   S P E C I F I C A T I O N</w:t>
                  </w:r>
                </w:p>
                <w:p>
                  <w:pPr>
                    <w:spacing w:after="200" w:line="920" w:lineRule="atLeast"/>
                  </w:pPr>
                  <w:r>
                    <w:rPr>
                      <w:rFonts w:ascii="Arial" w:eastAsia="SimHei"/>
                      <w:b/>
                      <w:bCs/>
                      <w:color w:val="FFFFFF"/>
                      <w:sz w:val="80"/>
                      <w:szCs w:val="80"/>
                    </w:rPr>
                    <w:t xml:space="preserve">Cahier des charges</w:t>
                  </w:r>
                </w:p>
                <w:p>
                  <w:pPr>
                    <w:spacing w:after="100"/>
                  </w:pPr>
                  <w:r>
                    <w:rPr>
                      <w:rFonts w:ascii="Arial" w:eastAsia="Microsoft YaHei"/>
                      <w:color w:val="B0B8C0"/>
                      <w:sz w:val="24"/>
                      <w:szCs w:val="24"/>
                    </w:rPr>
                    <w:t xml:space="preserve">MoneXa — Édition Entreprise : trésorerie, système de caisse (POS) et croissance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val="clear"/>
                </w:tcPr>
                <w:p>
                  <w:pPr>
                    <w:spacing w:after="0" w:before="0"/>
                  </w:pPr>
                </w:p>
              </w:tc>
            </w:tr>
          </w:tbl>
          <w:p>
            <w:pPr>
              <w:spacing w:before="800"/>
            </w:pPr>
          </w:p>
          <w:p>
            <w:pPr>
              <w:spacing w:after="100"/>
              <w:ind w:left="1200"/>
            </w:pPr>
            <w:r>
              <w:rPr>
                <w:rFonts w:ascii="Arial" w:eastAsia="Microsoft YaHei"/>
                <w:color w:val="90989F"/>
                <w:sz w:val="28"/>
                <w:szCs w:val="28"/>
              </w:rPr>
              <w:t xml:space="preserve">Projet : MoneXa — plateforme CFO virtuel pour PME ouest-africaines</w:t>
            </w:r>
          </w:p>
          <w:p>
            <w:pPr>
              <w:spacing w:after="100"/>
              <w:ind w:left="1200"/>
            </w:pPr>
            <w:r>
              <w:rPr>
                <w:rFonts w:ascii="Arial" w:eastAsia="Microsoft YaHei"/>
                <w:color w:val="90989F"/>
                <w:sz w:val="28"/>
                <w:szCs w:val="28"/>
              </w:rPr>
              <w:t xml:space="preserve">Version : 3.0 — Production entreprise (succède au cahier des charges hackathon V2.0)</w:t>
            </w:r>
          </w:p>
          <w:p>
            <w:pPr>
              <w:spacing w:after="100"/>
              <w:ind w:left="1200"/>
            </w:pPr>
            <w:r>
              <w:rPr>
                <w:rFonts w:ascii="Arial" w:eastAsia="Microsoft YaHei"/>
                <w:color w:val="90989F"/>
                <w:sz w:val="28"/>
                <w:szCs w:val="28"/>
              </w:rPr>
              <w:t xml:space="preserve">Date : 28 septembre 2026</w:t>
            </w:r>
          </w:p>
          <w:p>
            <w:pPr>
              <w:spacing w:after="100"/>
              <w:ind w:left="1200"/>
            </w:pPr>
            <w:r>
              <w:rPr>
                <w:rFonts w:ascii="Arial" w:eastAsia="Microsoft YaHei"/>
                <w:color w:val="90989F"/>
                <w:sz w:val="28"/>
                <w:szCs w:val="28"/>
              </w:rPr>
              <w:t xml:space="preserve">Statut : version pour validation du périmètre phase 1</w:t>
            </w:r>
          </w:p>
          <w:p>
            <w:pPr>
              <w:spacing w:before="2000"/>
            </w:pPr>
          </w:p>
          <w:p>
            <w:pPr>
              <w:ind w:left="1200"/>
            </w:pPr>
            <w:r>
              <w:rPr>
                <w:rFonts w:ascii="Arial"/>
                <w:color w:val="909090"/>
                <w:sz w:val="22"/>
                <w:szCs w:val="22"/>
              </w:rPr>
              <w:t xml:space="preserve">Équipe MoneXa</w:t>
            </w:r>
            <w:r>
              <w:t xml:space="preserve">          </w:t>
            </w:r>
            <w:r>
              <w:rPr>
                <w:rFonts w:ascii="Arial"/>
                <w:color w:val="909090"/>
                <w:sz w:val="22"/>
                <w:szCs w:val="22"/>
              </w:rPr>
              <w:t xml:space="preserve">Dépôt : github.com/ErdisKodjo/MoneXa-V2</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des matières</w:t>
      </w:r>
    </w:p>
    <w:sdt>
      <w:sdtPr>
        <w:alias w:val="Table des matière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Résumé exécutif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Contexte et état actuel de la plateforme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Genèse et positionnement produit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Inventaire technique vérifié de la base V2.4</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Conséquences retenues pour la suite</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Objectifs, périmètre et priorisation</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Objectifs du projet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Priorisation MoSCoW du périmètre</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Hors périmètre explicite</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4. Utilisateurs, rôles et processus métier cibles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4.1 Utilisateurs cibles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4.2 Rôles et habilitations cibles</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4.3 Processus métier cibles</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5. Module Système de caisse (POS) — conception fonctionnelle</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Catalogue produits et tarification</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5.2 Interface de vente</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5.3 Encaissement, tickets et moyens de paiement</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5.4 Sessions de caisse, clôture et contrôle anti-fraude</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5.5 Intégration trésorerie et stock</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5.6 Résilience hors ligne</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5.7 Matériel cible et environnement d'exécution</w:t>
            </w:r>
            <w:r>
              <w:tab/>
            </w:r>
            <w:r>
              <w:fldChar w:fldCharType="begin"/>
            </w:r>
            <w:r>
              <w:instrText xml:space="preserve"> PAGEREF _Toc100020 \h </w:instrText>
            </w:r>
            <w:r>
              <w:fldChar w:fldCharType="separate"/>
            </w:r>
            <w:r>
              <w:t>6</w:t>
            </w:r>
            <w:r>
              <w:fldChar w:fldCharType="end"/>
            </w:r>
          </w:hyperlink>
        </w:p>
        <w:p>
          <w:pPr>
            <w:pStyle w:val="9"/>
            <w:tabs>
              <w:tab w:val="right" w:leader="dot" w:pos="9026"/>
            </w:tabs>
            <w:spacing w:before="120" w:after="60"/>
          </w:pPr>
          <w:hyperlink w:anchor="_Toc100021" w:history="1">
            <w:r>
              <w:rPr>
                <w:rStyle w:val="Hyperlink"/>
              </w:rPr>
              <w:t>6. Modules complémentaires et améliorations de la plateforme</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6.1 Stock et inventaire avancés</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6.2 Multi-boutiques et multi-guichets</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6.3 Multi-devise</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6.4 Comptabilité, conformité SYSCOHADA et fiscalité</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6.5 Intégrations, asynchrone et intelligence artificielle</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6.6 Sécurité, conformité et qualité</w:t>
            </w:r>
            <w:r>
              <w:tab/>
            </w:r>
            <w:r>
              <w:fldChar w:fldCharType="begin"/>
            </w:r>
            <w:r>
              <w:instrText xml:space="preserve"> PAGEREF _Toc100027 \h </w:instrText>
            </w:r>
            <w:r>
              <w:fldChar w:fldCharType="separate"/>
            </w:r>
            <w:r>
              <w:t>8</w:t>
            </w:r>
            <w:r>
              <w:fldChar w:fldCharType="end"/>
            </w:r>
          </w:hyperlink>
        </w:p>
        <w:p>
          <w:pPr>
            <w:pStyle w:val="9"/>
            <w:tabs>
              <w:tab w:val="right" w:leader="dot" w:pos="9026"/>
            </w:tabs>
            <w:spacing w:before="120" w:after="60"/>
          </w:pPr>
          <w:hyperlink w:anchor="_Toc100028" w:history="1">
            <w:r>
              <w:rPr>
                <w:rStyle w:val="Hyperlink"/>
              </w:rPr>
              <w:t>7. Architecture cible et exigences non fonctionnelles</w:t>
            </w:r>
            <w:r>
              <w:tab/>
            </w:r>
            <w:r>
              <w:fldChar w:fldCharType="begin"/>
            </w:r>
            <w:r>
              <w:instrText xml:space="preserve"> PAGEREF _Toc100028 \h </w:instrText>
            </w:r>
            <w:r>
              <w:fldChar w:fldCharType="separate"/>
            </w:r>
            <w:r>
              <w:t>8</w:t>
            </w:r>
            <w:r>
              <w:fldChar w:fldCharType="end"/>
            </w:r>
          </w:hyperlink>
        </w:p>
        <w:p>
          <w:pPr>
            <w:pStyle w:val="11"/>
            <w:ind w:left="360"/>
            <w:tabs>
              <w:tab w:val="right" w:leader="dot" w:pos="9026"/>
            </w:tabs>
            <w:spacing w:before="120" w:after="60"/>
          </w:pPr>
          <w:hyperlink w:anchor="_Toc100029" w:history="1">
            <w:r>
              <w:rPr>
                <w:rStyle w:val="Hyperlink"/>
              </w:rPr>
              <w:t>7.1 Architecture technique cible</w:t>
            </w:r>
            <w:r>
              <w:tab/>
            </w:r>
            <w:r>
              <w:fldChar w:fldCharType="begin"/>
            </w:r>
            <w:r>
              <w:instrText xml:space="preserve"> PAGEREF _Toc100029 \h </w:instrText>
            </w:r>
            <w:r>
              <w:fldChar w:fldCharType="separate"/>
            </w:r>
            <w:r>
              <w:t>8</w:t>
            </w:r>
            <w:r>
              <w:fldChar w:fldCharType="end"/>
            </w:r>
          </w:hyperlink>
        </w:p>
        <w:p>
          <w:pPr>
            <w:pStyle w:val="11"/>
            <w:ind w:left="360"/>
            <w:tabs>
              <w:tab w:val="right" w:leader="dot" w:pos="9026"/>
            </w:tabs>
            <w:spacing w:before="120" w:after="60"/>
          </w:pPr>
          <w:hyperlink w:anchor="_Toc100030" w:history="1">
            <w:r>
              <w:rPr>
                <w:rStyle w:val="Hyperlink"/>
              </w:rPr>
              <w:t>7.2 Exigences non fonctionnelles</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7.3 Environnements et chaîne de livraison</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8. Roadmap de mise en œuvre</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8.1 Phasage général</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8.2 Jalons et critères de sortie</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8.3 Gestion des changements</w:t>
            </w:r>
            <w:r>
              <w:tab/>
            </w:r>
            <w:r>
              <w:fldChar w:fldCharType="begin"/>
            </w:r>
            <w:r>
              <w:instrText xml:space="preserve"> PAGEREF _Toc100035 \h </w:instrText>
            </w:r>
            <w:r>
              <w:fldChar w:fldCharType="separate"/>
            </w:r>
            <w:r>
              <w:t>11</w:t>
            </w:r>
            <w:r>
              <w:fldChar w:fldCharType="end"/>
            </w:r>
          </w:hyperlink>
        </w:p>
        <w:p>
          <w:pPr>
            <w:pStyle w:val="9"/>
            <w:tabs>
              <w:tab w:val="right" w:leader="dot" w:pos="9026"/>
            </w:tabs>
            <w:spacing w:before="120" w:after="60"/>
          </w:pPr>
          <w:hyperlink w:anchor="_Toc100036" w:history="1">
            <w:r>
              <w:rPr>
                <w:rStyle w:val="Hyperlink"/>
              </w:rPr>
              <w:t>9. Ressources, organisation et budget</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9.1 Équipe et effort estimé</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9.2 Organisation projet</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9.3 Budget et coûts associés</w:t>
            </w:r>
            <w:r>
              <w:tab/>
            </w:r>
            <w:r>
              <w:fldChar w:fldCharType="begin"/>
            </w:r>
            <w:r>
              <w:instrText xml:space="preserve"> PAGEREF _Toc100039 \h </w:instrText>
            </w:r>
            <w:r>
              <w:fldChar w:fldCharType="separate"/>
            </w:r>
            <w:r>
              <w:t>12</w:t>
            </w:r>
            <w:r>
              <w:fldChar w:fldCharType="end"/>
            </w:r>
          </w:hyperlink>
        </w:p>
        <w:p>
          <w:pPr>
            <w:pStyle w:val="9"/>
            <w:tabs>
              <w:tab w:val="right" w:leader="dot" w:pos="9026"/>
            </w:tabs>
            <w:spacing w:before="120" w:after="60"/>
          </w:pPr>
          <w:hyperlink w:anchor="_Toc100040" w:history="1">
            <w:r>
              <w:rPr>
                <w:rStyle w:val="Hyperlink"/>
              </w:rPr>
              <w:t>10. Risques et mitigation</w:t>
            </w:r>
            <w:r>
              <w:tab/>
            </w:r>
            <w:r>
              <w:fldChar w:fldCharType="begin"/>
            </w:r>
            <w:r>
              <w:instrText xml:space="preserve"> PAGEREF _Toc100040 \h </w:instrText>
            </w:r>
            <w:r>
              <w:fldChar w:fldCharType="separate"/>
            </w:r>
            <w:r>
              <w:t>12</w:t>
            </w:r>
            <w:r>
              <w:fldChar w:fldCharType="end"/>
            </w:r>
          </w:hyperlink>
        </w:p>
        <w:p>
          <w:pPr>
            <w:pStyle w:val="9"/>
            <w:tabs>
              <w:tab w:val="right" w:leader="dot" w:pos="9026"/>
            </w:tabs>
            <w:spacing w:before="120" w:after="60"/>
          </w:pPr>
          <w:hyperlink w:anchor="_Toc100041" w:history="1">
            <w:r>
              <w:rPr>
                <w:rStyle w:val="Hyperlink"/>
              </w:rPr>
              <w:t>11. Bénéfices attendus et indicateurs de succès</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11.1 Bénéfices par partie prenante</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11.2 Indicateurs de succès mesurables</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11.3 Critères d'acceptation globaux du programme</w:t>
            </w:r>
            <w:r>
              <w:tab/>
            </w:r>
            <w:r>
              <w:fldChar w:fldCharType="begin"/>
            </w:r>
            <w:r>
              <w:instrText xml:space="preserve"> PAGEREF _Toc100044 \h </w:instrText>
            </w:r>
            <w:r>
              <w:fldChar w:fldCharType="separate"/>
            </w:r>
            <w:r>
              <w:t>14</w:t>
            </w:r>
            <w:r>
              <w:fldChar w:fldCharType="end"/>
            </w:r>
          </w:hyperlink>
        </w:p>
        <w:p>
          <w:pPr>
            <w:pStyle w:val="9"/>
            <w:tabs>
              <w:tab w:val="right" w:leader="dot" w:pos="9026"/>
            </w:tabs>
            <w:spacing w:before="120" w:after="60"/>
          </w:pPr>
          <w:hyperlink w:anchor="_Toc100045" w:history="1">
            <w:r>
              <w:rPr>
                <w:rStyle w:val="Hyperlink"/>
              </w:rPr>
              <w:t>Annexe A — Matrice des habilitations cible</w:t>
            </w:r>
            <w:r>
              <w:tab/>
            </w:r>
            <w:r>
              <w:fldChar w:fldCharType="begin"/>
            </w:r>
            <w:r>
              <w:instrText xml:space="preserve"> PAGEREF _Toc100045 \h </w:instrText>
            </w:r>
            <w:r>
              <w:fldChar w:fldCharType="separate"/>
            </w:r>
            <w:r>
              <w:t>14</w:t>
            </w:r>
            <w:r>
              <w:fldChar w:fldCharType="end"/>
            </w:r>
          </w:hyperlink>
        </w:p>
        <w:p>
          <w:pPr>
            <w:pStyle w:val="9"/>
            <w:tabs>
              <w:tab w:val="right" w:leader="dot" w:pos="9026"/>
            </w:tabs>
            <w:spacing w:before="120" w:after="60"/>
          </w:pPr>
          <w:hyperlink w:anchor="_Toc100046" w:history="1">
            <w:r>
              <w:rPr>
                <w:rStyle w:val="Hyperlink"/>
              </w:rPr>
              <w:t>Annexe B — Glossaire</w:t>
            </w:r>
            <w:r>
              <w:tab/>
            </w:r>
            <w:r>
              <w:fldChar w:fldCharType="begin"/>
            </w:r>
            <w:r>
              <w:instrText xml:space="preserve"> PAGEREF _Toc100046 \h </w:instrText>
            </w:r>
            <w:r>
              <w:fldChar w:fldCharType="separate"/>
            </w:r>
            <w:r>
              <w:t>15</w:t>
            </w:r>
            <w:r>
              <w:fldChar w:fldCharType="end"/>
            </w:r>
          </w:hyperlink>
        </w:p>
        <w:p>
          <w:r>
            <w:fldChar w:fldCharType="end"/>
          </w:r>
        </w:p>
      </w:sdtContent>
    </w:sdt>
    <w:p>
      <w:pPr>
        <w:spacing w:before="200"/>
      </w:pPr>
      <w:r>
        <w:rPr>
          <w:rFonts w:ascii="Times New Roman" w:eastAsia="SimSun"/>
          <w:i/>
          <w:iCs/>
          <w:color w:val="888888"/>
          <w:sz w:val="18"/>
          <w:szCs w:val="18"/>
        </w:rPr>
        <w:t xml:space="preserve">Remarque : cette table des matières est générée par champs. Après toute modification du document, cliquez droit sur la table puis choisissez « Mettre à jour les champs » pour actualiser la pagination.</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jc w:val="center"/>
      </w:pPr>
      <w:bookmarkStart w:id="100000" w:name="_Toc100000"/>
      <w:r>
        <w:rPr>
          <w:rFonts w:ascii="Times New Roman" w:eastAsia="SimHei"/>
          <w:b/>
          <w:bCs/>
          <w:color w:val="1A2330"/>
          <w:sz w:val="32"/>
          <w:szCs w:val="32"/>
        </w:rPr>
        <w:t xml:space="preserve">1. Résumé exécutif</w:t>
      </w:r>
      <w:bookmarkEnd w:id="100000"/>
    </w:p>
    <w:p>
      <w:pPr>
        <w:spacing w:after="120" w:line="312"/>
        <w:jc w:val="left"/>
      </w:pPr>
      <w:r>
        <w:rPr>
          <w:rFonts w:ascii="Times New Roman" w:eastAsia="SimSun"/>
          <w:color w:val="000000"/>
          <w:sz w:val="24"/>
          <w:szCs w:val="24"/>
        </w:rPr>
        <w:t xml:space="preserve">MoneXa est une plateforme de gestion intelligente de trésorerie conçue pour les PME ouest-africaines qui encaissent quotidiennement des paiements mobile money (T-Money, Moov Money, Flooz). Issue du Défi 2 du hackathon ESIG Tech Arena 2026, la plateforme dispose aujourd'hui d'une base fonctionnelle vérifiée : interface web Django avec contrôle d'accès par rôles, pipeline d'intelligence artificielle de réconciliation des paiements, passerelles de collecte Mobile Money, journal d'audit immuable, application mobile Flutter offline-first et suite de tests automatisés de plus de cent cas. Le présent document refond le cahier des charges initial dans une optique de </w:t>
      </w:r>
      <w:r>
        <w:rPr>
          <w:rFonts w:ascii="Times New Roman" w:eastAsia="SimSun"/>
          <w:b/>
          <w:bCs/>
          <w:color w:val="000000"/>
          <w:sz w:val="24"/>
          <w:szCs w:val="24"/>
        </w:rPr>
        <w:t xml:space="preserve">production entreprise</w:t>
      </w:r>
      <w:r>
        <w:rPr>
          <w:rFonts w:ascii="Times New Roman" w:eastAsia="SimSun"/>
          <w:color w:val="000000"/>
          <w:sz w:val="24"/>
          <w:szCs w:val="24"/>
        </w:rPr>
        <w:t xml:space="preserve"> : les contraintes de hackathon (délai de 48 heures, démonstration jury) sont levées et remplacées par des exigences industrielles de fiabilité, de sécurité, d'exploitation et de croissance.</w:t>
      </w:r>
    </w:p>
    <w:p>
      <w:pPr>
        <w:spacing w:after="120" w:line="312"/>
        <w:jc w:val="left"/>
      </w:pPr>
      <w:r>
        <w:rPr>
          <w:rFonts w:ascii="Times New Roman" w:eastAsia="SimSun"/>
          <w:color w:val="000000"/>
          <w:sz w:val="24"/>
          <w:szCs w:val="24"/>
        </w:rPr>
        <w:t xml:space="preserve">L'évolution la plus structurante retenue est l'</w:t>
      </w:r>
      <w:r>
        <w:rPr>
          <w:rFonts w:ascii="Times New Roman" w:eastAsia="SimSun"/>
          <w:b/>
          <w:bCs/>
          <w:color w:val="000000"/>
          <w:sz w:val="24"/>
          <w:szCs w:val="24"/>
        </w:rPr>
        <w:t xml:space="preserve">intégration d'un système de caisse (POS, point de vente)</w:t>
      </w:r>
      <w:r>
        <w:rPr>
          <w:rFonts w:ascii="Times New Roman" w:eastAsia="SimSun"/>
          <w:color w:val="000000"/>
          <w:sz w:val="24"/>
          <w:szCs w:val="24"/>
        </w:rPr>
        <w:t xml:space="preserve"> : catalogue produits, interface d'encaissement tactile, tickets imprimés, sessions de caisse avec clôture quotidienne et contrôle anti-fraude, ressortant automatiquement dans le journal de caisse et le tableau de bord de trésorerie existants. Ce module transforme MoneXa d'un outil de trésorerie en plateforme complète de vente et de gestion financière, parfaitement adaptée aux commerces de détail, pharmacies, quincailleries et points de service des PME ouest-africaines.</w:t>
      </w:r>
    </w:p>
    <w:p>
      <w:pPr>
        <w:spacing w:after="120" w:line="312"/>
        <w:jc w:val="left"/>
      </w:pPr>
      <w:r>
        <w:rPr>
          <w:rFonts w:ascii="Times New Roman" w:eastAsia="SimSun"/>
          <w:color w:val="000000"/>
          <w:sz w:val="24"/>
          <w:szCs w:val="24"/>
        </w:rPr>
        <w:t xml:space="preserve">Le programme est découpé en trois phases sur douze mois et six lots, pour un effort total indicatif d'environ 140 jours-homme. La phase 1 livre le cœur POS et l'industrialisation (sécurité, monitoring, traitement asynchrone), la phase 2 étend le POS mobile offline, le stock avancé et le multi-boutiques, la phase 3 couvre la comptabilité SYSCOHADA, le multi-devise et l'API publique. Le document précise enfin les ressources nécessaires, le budget à chiffrer, les risques et les indicateurs de succès. L'équipe recommande la validation du périmètre de la phase 1 afin de démarrer le lot d'industrialisation dès le mois M1.</w:t>
      </w:r>
    </w:p>
    <w:p>
      <w:pPr>
        <w:pStyle w:val="Heading1"/>
        <w:spacing w:after="160" w:before="360" w:line="312"/>
        <w:jc w:val="center"/>
      </w:pPr>
      <w:bookmarkStart w:id="100001" w:name="_Toc100001"/>
      <w:r>
        <w:rPr>
          <w:rFonts w:ascii="Times New Roman" w:eastAsia="SimHei"/>
          <w:b/>
          <w:bCs/>
          <w:color w:val="1A2330"/>
          <w:sz w:val="32"/>
          <w:szCs w:val="32"/>
        </w:rPr>
        <w:t xml:space="preserve">2. Contexte et état actuel de la plateforme</w:t>
      </w:r>
      <w:bookmarkEnd w:id="100001"/>
    </w:p>
    <w:p>
      <w:pPr>
        <w:pStyle w:val="Heading2"/>
        <w:spacing w:after="120" w:before="240" w:line="312"/>
      </w:pPr>
      <w:bookmarkStart w:id="100002" w:name="_Toc100002"/>
      <w:r>
        <w:rPr>
          <w:rFonts w:ascii="Times New Roman" w:eastAsia="SimHei"/>
          <w:b/>
          <w:bCs/>
          <w:color w:val="1A2330"/>
          <w:sz w:val="30"/>
          <w:szCs w:val="30"/>
        </w:rPr>
        <w:t xml:space="preserve">2.1 Genèse et positionnement produit</w:t>
      </w:r>
      <w:bookmarkEnd w:id="100002"/>
    </w:p>
    <w:p>
      <w:pPr>
        <w:spacing w:after="120" w:line="312"/>
        <w:jc w:val="left"/>
      </w:pPr>
      <w:r>
        <w:rPr>
          <w:rFonts w:ascii="Times New Roman" w:eastAsia="SimSun"/>
          <w:color w:val="000000"/>
          <w:sz w:val="24"/>
          <w:szCs w:val="24"/>
        </w:rPr>
        <w:t xml:space="preserve">La majorité des petites entreprises ouest-africaines reçoivent leurs paiements par SMS mobile money sans réconciliation automatique avec leurs factures : la comptabilité se fait à la main, les doublons passent inaperçus, les fraudes internes sont difficiles à détecter et la trésorerie à trente jours relève de l'estimation approximative. MoneXa répond à cette problématique par trois piliers : l'automatisation par intelligence artificielle (extraction des SMS et reçus, appariement automatique, détection d'anomalies), la rigueur financière (PostgreSQL, contraintes ACID, audit immuable à chaînage cryptographique) et l'accessibilité mobile (Flutter, mode offline-first, multilingue français, éwé, kabyé). Le positionnement est celui d'un CFO virtuel : photographier un reçu, laisser l'IA extraire et réconcilier le paiement, être alerté sur les anomalies et disposer d'une vision claire de la trésorerie à trente jours.</w:t>
      </w:r>
    </w:p>
    <w:p>
      <w:pPr>
        <w:pStyle w:val="Heading2"/>
        <w:spacing w:after="120" w:before="240" w:line="312"/>
      </w:pPr>
      <w:bookmarkStart w:id="100003" w:name="_Toc100003"/>
      <w:r>
        <w:rPr>
          <w:rFonts w:ascii="Times New Roman" w:eastAsia="SimHei"/>
          <w:b/>
          <w:bCs/>
          <w:color w:val="1A2330"/>
          <w:sz w:val="30"/>
          <w:szCs w:val="30"/>
        </w:rPr>
        <w:t xml:space="preserve">2.2 Inventaire technique vérifié de la base V2.4</w:t>
      </w:r>
      <w:bookmarkEnd w:id="100003"/>
    </w:p>
    <w:p>
      <w:pPr>
        <w:spacing w:after="120" w:line="312"/>
        <w:jc w:val="left"/>
      </w:pPr>
      <w:r>
        <w:rPr>
          <w:rFonts w:ascii="Times New Roman" w:eastAsia="SimSun"/>
          <w:color w:val="000000"/>
          <w:sz w:val="24"/>
          <w:szCs w:val="24"/>
        </w:rPr>
        <w:t xml:space="preserve">L'état de référence du présent cahier des charges est la version 2.4 du dépôt, dont les acquis ont été vérifiés par la suite de tests backend (104 cas au vert) et les smoke tests web. Le backend Django regroupe sept applications : finance (factures, paiements, dépenses, passerelles, prévisions), accounts (utilisateurs, rôles, notifications, 2FA), auditing (journal immuable à chaînage SHA-256), reporting (KPIs, exports CSV, Excel et PDF), assistant (chatbot TresorIA alimenté par KPIs pré-calculés) et webui (quinze écrans serveur avec habilitations). Le pipeline IA fonctionne en trois niveaux dégradables — LLM multimodal, OCR local Tesseract, parseur SMS déterministe — et un mode sandbox déterministe couvre les passerelles de collecte T-Money, Moov et Flooz en attendant les accréditations opérateurs.</w:t>
      </w:r>
    </w:p>
    <w:p>
      <w:pPr>
        <w:spacing w:after="120" w:line="312"/>
        <w:jc w:val="left"/>
      </w:pPr>
      <w:r>
        <w:rPr>
          <w:rFonts w:ascii="Times New Roman" w:eastAsia="SimSun"/>
          <w:color w:val="000000"/>
          <w:sz w:val="24"/>
          <w:szCs w:val="24"/>
        </w:rPr>
        <w:t xml:space="preserve">L'application mobile Flutter suit une architecture Clean Architecture avec BLoC : connexion JWT avec rafraîchissement automatique, tableau de bord, dépôt de preuves photo ou SMS, TresorIA vocal et file de synchronisation Hive à cinq tentatives. L'ensemble est outillé : conteneurisation Docker Compose, intégration continue GitHub Actions, documentation d'architecture, de sécurité et de démonstration. Ce socle est conservé tel quel : le présent projet le prolonge sans le remettre en cause, conformément au principe de non-régression.</w:t>
      </w:r>
    </w:p>
    <w:p>
      <w:pPr>
        <w:keepNext/>
        <w:spacing w:after="80" w:before="160" w:line="312"/>
        <w:jc w:val="left"/>
      </w:pPr>
      <w:r>
        <w:rPr>
          <w:rFonts w:ascii="Times New Roman" w:eastAsia="SimSun"/>
          <w:b/>
          <w:bCs/>
          <w:color w:val="1A2330"/>
          <w:sz w:val="21"/>
          <w:szCs w:val="21"/>
        </w:rPr>
        <w:t xml:space="preserve">Tableau 1 : acquis de la base V2.4 et limites identifiées par domaine</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tcW w:type="pct" w:w="16%"/>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Domaine</w:t>
            </w:r>
          </w:p>
        </w:tc>
        <w:tc>
          <w:tcPr>
            <w:tcW w:type="pct" w:w="46%"/>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Acquis vérifiés</w:t>
            </w:r>
          </w:p>
        </w:tc>
        <w:tc>
          <w:tcPr>
            <w:tcW w:type="pct" w:w="38%"/>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Limites actuelles</w:t>
            </w:r>
          </w:p>
        </w:tc>
      </w:tr>
      <w:tr>
        <w:trPr>
          <w:cantSplit/>
        </w:trPr>
        <w:tc>
          <w:tcPr>
            <w:tcW w:type="pct" w:w="1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Trésorerie</w:t>
            </w:r>
          </w:p>
        </w:tc>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Factures, paiements anti-doublon, dépenses, KPIs, prévisions Holt-Winters, alerte de tension</w:t>
            </w:r>
          </w:p>
        </w:tc>
        <w:tc>
          <w:tcPr>
            <w:tcW w:type="pct" w:w="3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Vision centrée trésorerie : aucune donnée de vente ni de marge</w:t>
            </w:r>
          </w:p>
        </w:tc>
      </w:tr>
      <w:tr>
        <w:trPr>
          <w:cantSplit/>
        </w:trPr>
        <w:tc>
          <w:tcPr>
            <w:tcW w:type="pct" w:w="1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Réconciliation</w:t>
            </w:r>
          </w:p>
        </w:tc>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Cascade d'appariement 4 niveaux, pipeline IA 3 niveaux, rapprochement bancaire CSV</w:t>
            </w:r>
          </w:p>
        </w:tc>
        <w:tc>
          <w:tcPr>
            <w:tcW w:type="pct" w:w="3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Dépendante de l'upload manuel de preuves</w:t>
            </w:r>
          </w:p>
        </w:tc>
      </w:tr>
      <w:tr>
        <w:trPr>
          <w:cantSplit/>
        </w:trPr>
        <w:tc>
          <w:tcPr>
            <w:tcW w:type="pct" w:w="1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Paiements</w:t>
            </w:r>
          </w:p>
        </w:tc>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Passerelles T-Money/Moov/Flooz en sandbox, webhook HMAC-SHA256</w:t>
            </w:r>
          </w:p>
        </w:tc>
        <w:tc>
          <w:tcPr>
            <w:tcW w:type="pct" w:w="3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Aucune accréditation opérateur production, pas d'agrégateur</w:t>
            </w:r>
          </w:p>
        </w:tc>
      </w:tr>
      <w:tr>
        <w:trPr>
          <w:cantSplit/>
        </w:trPr>
        <w:tc>
          <w:tcPr>
            <w:tcW w:type="pct" w:w="1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Sécurité</w:t>
            </w:r>
          </w:p>
        </w:tc>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RBAC 3 rôles, 2FA TOTP optionnelle, audit immuable, JWT court</w:t>
            </w:r>
          </w:p>
        </w:tc>
        <w:tc>
          <w:tcPr>
            <w:tcW w:type="pct" w:w="3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2FA non imposée, notifications limitées à l'in-app</w:t>
            </w:r>
          </w:p>
        </w:tc>
      </w:tr>
      <w:tr>
        <w:trPr>
          <w:cantSplit/>
        </w:trPr>
        <w:tc>
          <w:tcPr>
            <w:tcW w:type="pct" w:w="1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Interface web</w:t>
            </w:r>
          </w:p>
        </w:tc>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 écrans MVT stylés, exports PDF/CSV/Excel, PWA manifest</w:t>
            </w:r>
          </w:p>
        </w:tc>
        <w:tc>
          <w:tcPr>
            <w:tcW w:type="pct" w:w="3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Pas d'interface de vente ; usage desktop privilégié</w:t>
            </w:r>
          </w:p>
        </w:tc>
      </w:tr>
      <w:tr>
        <w:trPr>
          <w:cantSplit/>
        </w:trPr>
        <w:tc>
          <w:tcPr>
            <w:tcW w:type="pct" w:w="1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Mobile</w:t>
            </w:r>
          </w:p>
        </w:tc>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Flutter offline-first, vocal, Hive sync, i18n fr/ee/kab déclarée</w:t>
            </w:r>
          </w:p>
        </w:tc>
        <w:tc>
          <w:tcPr>
            <w:tcW w:type="pct" w:w="3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Fichiers de traduction quasi vides, pas d'écran factures</w:t>
            </w:r>
          </w:p>
        </w:tc>
      </w:tr>
      <w:tr>
        <w:trPr>
          <w:cantSplit/>
        </w:trPr>
        <w:tc>
          <w:tcPr>
            <w:tcW w:type="pct" w:w="1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Exploitation</w:t>
            </w:r>
          </w:p>
        </w:tc>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Docker Compose, CI GitHub Actions, doc déploiement</w:t>
            </w:r>
          </w:p>
        </w:tc>
        <w:tc>
          <w:tcPr>
            <w:tcW w:type="pct" w:w="3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Pas de staging dédié, pas de monitoring production</w:t>
            </w:r>
          </w:p>
        </w:tc>
      </w:tr>
    </w:tbl>
    <w:p>
      <w:pPr>
        <w:pStyle w:val="Heading2"/>
        <w:spacing w:after="120" w:before="240" w:line="312"/>
      </w:pPr>
      <w:bookmarkStart w:id="100004" w:name="_Toc100004"/>
      <w:r>
        <w:rPr>
          <w:rFonts w:ascii="Times New Roman" w:eastAsia="SimHei"/>
          <w:b/>
          <w:bCs/>
          <w:color w:val="1A2330"/>
          <w:sz w:val="30"/>
          <w:szCs w:val="30"/>
        </w:rPr>
        <w:t xml:space="preserve">2.3 Conséquences retenues pour la suite</w:t>
      </w:r>
      <w:bookmarkEnd w:id="100004"/>
    </w:p>
    <w:p>
      <w:pPr>
        <w:spacing w:after="120" w:line="312"/>
        <w:jc w:val="left"/>
      </w:pPr>
      <w:r>
        <w:rPr>
          <w:rFonts w:ascii="Times New Roman" w:eastAsia="SimSun"/>
          <w:color w:val="000000"/>
          <w:sz w:val="24"/>
          <w:szCs w:val="24"/>
        </w:rPr>
        <w:t xml:space="preserve">Les limites ci-dessus définissent directement les chantiers du présent cahier des charges. Trois constats structurent l'orientation produit. D'abord, la valeur perçue par les PME se concentre sur le moment de l'encaissement : sans module de caisse, MoneXa observe les flux après coup au lieu de les sécuriser à la source. Ensuite, l'exploitation en conditions réelles exige un niveau de service et un suivi que la version hackathon n'apporte pas : sauvegardes éprouvées, supervision des erreurs, file d'attente asynchrone. Enfin, la croissance commerciale suppose une architecture capable d'accueillir plusieurs boutiques, plusieurs devises et des exports comptables conformes au référentiel SYSCOHADA, sans refonte du socle existant.</w:t>
      </w:r>
    </w:p>
    <w:p>
      <w:pPr>
        <w:pStyle w:val="Heading1"/>
        <w:spacing w:after="160" w:before="360" w:line="312"/>
        <w:jc w:val="center"/>
      </w:pPr>
      <w:bookmarkStart w:id="100005" w:name="_Toc100005"/>
      <w:r>
        <w:rPr>
          <w:rFonts w:ascii="Times New Roman" w:eastAsia="SimHei"/>
          <w:b/>
          <w:bCs/>
          <w:color w:val="1A2330"/>
          <w:sz w:val="32"/>
          <w:szCs w:val="32"/>
        </w:rPr>
        <w:t xml:space="preserve">3. Objectifs, périmètre et priorisation</w:t>
      </w:r>
      <w:bookmarkEnd w:id="100005"/>
    </w:p>
    <w:p>
      <w:pPr>
        <w:pStyle w:val="Heading2"/>
        <w:spacing w:after="120" w:before="240" w:line="312"/>
      </w:pPr>
      <w:bookmarkStart w:id="100006" w:name="_Toc100006"/>
      <w:r>
        <w:rPr>
          <w:rFonts w:ascii="Times New Roman" w:eastAsia="SimHei"/>
          <w:b/>
          <w:bCs/>
          <w:color w:val="1A2330"/>
          <w:sz w:val="30"/>
          <w:szCs w:val="30"/>
        </w:rPr>
        <w:t xml:space="preserve">3.1 Objectifs du projet</w:t>
      </w:r>
      <w:bookmarkEnd w:id="100006"/>
    </w:p>
    <w:p>
      <w:pPr>
        <w:spacing w:after="120" w:line="312"/>
        <w:jc w:val="left"/>
      </w:pPr>
      <w:r>
        <w:rPr>
          <w:rFonts w:ascii="Times New Roman" w:eastAsia="SimSun"/>
          <w:color w:val="000000"/>
          <w:sz w:val="24"/>
          <w:szCs w:val="24"/>
        </w:rPr>
        <w:t xml:space="preserve">Cinq objectifs guident l'évolution de MoneXa vers la version entreprise. </w:t>
      </w:r>
      <w:r>
        <w:rPr>
          <w:rFonts w:ascii="Times New Roman" w:eastAsia="SimSun"/>
          <w:b/>
          <w:bCs/>
          <w:color w:val="000000"/>
          <w:sz w:val="24"/>
          <w:szCs w:val="24"/>
        </w:rPr>
        <w:t xml:space="preserve">O1 — Intégrer l'encaissement</w:t>
      </w:r>
      <w:r>
        <w:rPr>
          <w:rFonts w:ascii="Times New Roman" w:eastAsia="SimSun"/>
          <w:color w:val="000000"/>
          <w:sz w:val="24"/>
          <w:szCs w:val="24"/>
        </w:rPr>
        <w:t xml:space="preserve"> : offrir un système de caisse complet qui sécurise chaque vente au moment où elle se produit et l'inscrit automatiquement dans la trésorerie. </w:t>
      </w:r>
      <w:r>
        <w:rPr>
          <w:rFonts w:ascii="Times New Roman" w:eastAsia="SimSun"/>
          <w:b/>
          <w:bCs/>
          <w:color w:val="000000"/>
          <w:sz w:val="24"/>
          <w:szCs w:val="24"/>
        </w:rPr>
        <w:t xml:space="preserve">O2 — Fiabiliser l'exploitation</w:t>
      </w:r>
      <w:r>
        <w:rPr>
          <w:rFonts w:ascii="Times New Roman" w:eastAsia="SimSun"/>
          <w:color w:val="000000"/>
          <w:sz w:val="24"/>
          <w:szCs w:val="24"/>
        </w:rPr>
        <w:t xml:space="preserve"> : porter la plateforme au niveau industriel (sauvegardes, supervision, traitements asynchrones, tests de bout en bout). </w:t>
      </w:r>
      <w:r>
        <w:rPr>
          <w:rFonts w:ascii="Times New Roman" w:eastAsia="SimSun"/>
          <w:b/>
          <w:bCs/>
          <w:color w:val="000000"/>
          <w:sz w:val="24"/>
          <w:szCs w:val="24"/>
        </w:rPr>
        <w:t xml:space="preserve">O3 — Renforcer sécurité et conformité</w:t>
      </w:r>
      <w:r>
        <w:rPr>
          <w:rFonts w:ascii="Times New Roman" w:eastAsia="SimSun"/>
          <w:color w:val="000000"/>
          <w:sz w:val="24"/>
          <w:szCs w:val="24"/>
        </w:rPr>
        <w:t xml:space="preserve"> : double authentification imposée pour les profils sensibles, politique de rétention des données IA, conformité au référentiel RGPD et à la réglementation togolaise sur les données personnelles. </w:t>
      </w:r>
      <w:r>
        <w:rPr>
          <w:rFonts w:ascii="Times New Roman" w:eastAsia="SimSun"/>
          <w:b/>
          <w:bCs/>
          <w:color w:val="000000"/>
          <w:sz w:val="24"/>
          <w:szCs w:val="24"/>
        </w:rPr>
        <w:t xml:space="preserve">O4 — Préparer la scalabilité</w:t>
      </w:r>
      <w:r>
        <w:rPr>
          <w:rFonts w:ascii="Times New Roman" w:eastAsia="SimSun"/>
          <w:color w:val="000000"/>
          <w:sz w:val="24"/>
          <w:szCs w:val="24"/>
        </w:rPr>
        <w:t xml:space="preserve"> : multi-boutiques, multi-devise et cloisonnement par entité, prérequis d'une offre SaaS. </w:t>
      </w:r>
      <w:r>
        <w:rPr>
          <w:rFonts w:ascii="Times New Roman" w:eastAsia="SimSun"/>
          <w:b/>
          <w:bCs/>
          <w:color w:val="000000"/>
          <w:sz w:val="24"/>
          <w:szCs w:val="24"/>
        </w:rPr>
        <w:t xml:space="preserve">O5 — Approfondir la différenciation IA</w:t>
      </w:r>
      <w:r>
        <w:rPr>
          <w:rFonts w:ascii="Times New Roman" w:eastAsia="SimSun"/>
          <w:color w:val="000000"/>
          <w:sz w:val="24"/>
          <w:szCs w:val="24"/>
        </w:rPr>
        <w:t xml:space="preserve"> : enrichir TresorIA des données de vente et de stock, maintenir la transparence de chaque décision IA.</w:t>
      </w:r>
    </w:p>
    <w:p>
      <w:pPr>
        <w:keepNext/>
        <w:spacing w:after="80" w:before="160" w:line="312"/>
        <w:jc w:val="left"/>
      </w:pPr>
      <w:r>
        <w:rPr>
          <w:rFonts w:ascii="Times New Roman" w:eastAsia="SimSun"/>
          <w:b/>
          <w:bCs/>
          <w:color w:val="1A2330"/>
          <w:sz w:val="21"/>
          <w:szCs w:val="21"/>
        </w:rPr>
        <w:t xml:space="preserve">Tableau 2 : objectifs, indicateurs de succès et phase de livraison</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tcW w:type="pct" w:w="26%"/>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Objectif</w:t>
            </w:r>
          </w:p>
        </w:tc>
        <w:tc>
          <w:tcPr>
            <w:tcW w:type="pct" w:w="54%"/>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Indicateur de succès mesurable</w:t>
            </w:r>
          </w:p>
        </w:tc>
        <w:tc>
          <w:tcPr>
            <w:tcW w:type="pct" w:w="20%"/>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Phase</w:t>
            </w:r>
          </w:p>
        </w:tc>
      </w:tr>
      <w:tr>
        <w:trPr>
          <w:cantSplit/>
        </w:trPr>
        <w:tc>
          <w:tcPr>
            <w:tcW w:type="pct" w:w="2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O1 Encaissement intégré</w:t>
            </w:r>
          </w:p>
        </w:tc>
        <w:tc>
          <w:tcPr>
            <w:tcW w:type="pct" w:w="5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Vente encaissée en moins de 30 s ; 100 % des ventes alimentent le journal de caisse</w:t>
            </w:r>
          </w:p>
        </w:tc>
        <w:tc>
          <w:tcPr>
            <w:tcW w:type="pct" w:w="2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Phase 1</w:t>
            </w:r>
          </w:p>
        </w:tc>
      </w:tr>
      <w:tr>
        <w:trPr>
          <w:cantSplit/>
        </w:trPr>
        <w:tc>
          <w:tcPr>
            <w:tcW w:type="pct" w:w="2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O2 Exploitation fiable</w:t>
            </w:r>
          </w:p>
        </w:tc>
        <w:tc>
          <w:tcPr>
            <w:tcW w:type="pct" w:w="5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Disponibilité 99,5 %/mois ; restauration de sauvegarde testée chaque mois</w:t>
            </w:r>
          </w:p>
        </w:tc>
        <w:tc>
          <w:tcPr>
            <w:tcW w:type="pct" w:w="2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Phase 1-2</w:t>
            </w:r>
          </w:p>
        </w:tc>
      </w:tr>
      <w:tr>
        <w:trPr>
          <w:cantSplit/>
        </w:trPr>
        <w:tc>
          <w:tcPr>
            <w:tcW w:type="pct" w:w="2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O3 Sécurité &amp; conformité</w:t>
            </w:r>
          </w:p>
        </w:tc>
        <w:tc>
          <w:tcPr>
            <w:tcW w:type="pct" w:w="5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2FA active pour 100 % des comptes Comptable et Gérant en production</w:t>
            </w:r>
          </w:p>
        </w:tc>
        <w:tc>
          <w:tcPr>
            <w:tcW w:type="pct" w:w="2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Phase 1</w:t>
            </w:r>
          </w:p>
        </w:tc>
      </w:tr>
      <w:tr>
        <w:trPr>
          <w:cantSplit/>
        </w:trPr>
        <w:tc>
          <w:tcPr>
            <w:tcW w:type="pct" w:w="2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O4 Scalabilité</w:t>
            </w:r>
          </w:p>
        </w:tc>
        <w:tc>
          <w:tcPr>
            <w:tcW w:type="pct" w:w="5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Une entreprise gère plusieurs boutiques et trois devises sans redéploiement</w:t>
            </w:r>
          </w:p>
        </w:tc>
        <w:tc>
          <w:tcPr>
            <w:tcW w:type="pct" w:w="2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Phase 2-3</w:t>
            </w:r>
          </w:p>
        </w:tc>
      </w:tr>
      <w:tr>
        <w:trPr>
          <w:cantSplit/>
        </w:trPr>
        <w:tc>
          <w:tcPr>
            <w:tcW w:type="pct" w:w="2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O5 Différenciation IA</w:t>
            </w:r>
          </w:p>
        </w:tc>
        <w:tc>
          <w:tcPr>
            <w:tcW w:type="pct" w:w="5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Réconciliation automatique ≥ 90 % des paiements entrants</w:t>
            </w:r>
          </w:p>
        </w:tc>
        <w:tc>
          <w:tcPr>
            <w:tcW w:type="pct" w:w="2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Phase 1-3</w:t>
            </w:r>
          </w:p>
        </w:tc>
      </w:tr>
    </w:tbl>
    <w:p>
      <w:pPr>
        <w:pStyle w:val="Heading2"/>
        <w:spacing w:after="120" w:before="240" w:line="312"/>
      </w:pPr>
      <w:bookmarkStart w:id="100007" w:name="_Toc100007"/>
      <w:r>
        <w:rPr>
          <w:rFonts w:ascii="Times New Roman" w:eastAsia="SimHei"/>
          <w:b/>
          <w:bCs/>
          <w:color w:val="1A2330"/>
          <w:sz w:val="30"/>
          <w:szCs w:val="30"/>
        </w:rPr>
        <w:t xml:space="preserve">3.2 Priorisation MoSCoW du périmètre</w:t>
      </w:r>
      <w:bookmarkEnd w:id="100007"/>
    </w:p>
    <w:p>
      <w:pPr>
        <w:spacing w:after="120" w:line="312"/>
        <w:jc w:val="left"/>
      </w:pPr>
      <w:r>
        <w:rPr>
          <w:rFonts w:ascii="Times New Roman" w:eastAsia="SimSun"/>
          <w:color w:val="000000"/>
          <w:sz w:val="24"/>
          <w:szCs w:val="24"/>
        </w:rPr>
        <w:t xml:space="preserve">La priorisation suit la méthode MoSCoW pour sécuriser la valeur au fil de l'eau. Les exigences </w:t>
      </w:r>
      <w:r>
        <w:rPr>
          <w:rFonts w:ascii="Times New Roman" w:eastAsia="SimSun"/>
          <w:b/>
          <w:bCs/>
          <w:color w:val="000000"/>
          <w:sz w:val="24"/>
          <w:szCs w:val="24"/>
        </w:rPr>
        <w:t xml:space="preserve">Must</w:t>
      </w:r>
      <w:r>
        <w:rPr>
          <w:rFonts w:ascii="Times New Roman" w:eastAsia="SimSun"/>
          <w:color w:val="000000"/>
          <w:sz w:val="24"/>
          <w:szCs w:val="24"/>
        </w:rPr>
        <w:t xml:space="preserve"> conditionnent la mise en production : cœur POS, sessions et clôture de caisse avec contrôle d'écart, stock minimal, industrialisation (sauvegardes, supervision, asynchrone), sécurité renforcée. Les exigences </w:t>
      </w:r>
      <w:r>
        <w:rPr>
          <w:rFonts w:ascii="Times New Roman" w:eastAsia="SimSun"/>
          <w:b/>
          <w:bCs/>
          <w:color w:val="000000"/>
          <w:sz w:val="24"/>
          <w:szCs w:val="24"/>
        </w:rPr>
        <w:t xml:space="preserve">Should</w:t>
      </w:r>
      <w:r>
        <w:rPr>
          <w:rFonts w:ascii="Times New Roman" w:eastAsia="SimSun"/>
          <w:color w:val="000000"/>
          <w:sz w:val="24"/>
          <w:szCs w:val="24"/>
        </w:rPr>
        <w:t xml:space="preserve"> apportent la croissance : POS mobile offline, multi-boutiques, multi-devise, notifications WhatsApp et exports SYSCOHADA de premier niveau. Les exigences </w:t>
      </w:r>
      <w:r>
        <w:rPr>
          <w:rFonts w:ascii="Times New Roman" w:eastAsia="SimSun"/>
          <w:b/>
          <w:bCs/>
          <w:color w:val="000000"/>
          <w:sz w:val="24"/>
          <w:szCs w:val="24"/>
        </w:rPr>
        <w:t xml:space="preserve">Could</w:t>
      </w:r>
      <w:r>
        <w:rPr>
          <w:rFonts w:ascii="Times New Roman" w:eastAsia="SimSun"/>
          <w:color w:val="000000"/>
          <w:sz w:val="24"/>
          <w:szCs w:val="24"/>
        </w:rPr>
        <w:t xml:space="preserve"> prolongent la plateforme si le calendrier et le budget le permettent : fidélité client, carte cadeau, reporting avancé, assistant vocal de caisse. Ce classement est détaillé exigence par exigence au chapitre 5 et en annexe A.</w:t>
      </w:r>
    </w:p>
    <w:p>
      <w:pPr>
        <w:pStyle w:val="Heading2"/>
        <w:spacing w:after="120" w:before="240" w:line="312"/>
      </w:pPr>
      <w:bookmarkStart w:id="100008" w:name="_Toc100008"/>
      <w:r>
        <w:rPr>
          <w:rFonts w:ascii="Times New Roman" w:eastAsia="SimHei"/>
          <w:b/>
          <w:bCs/>
          <w:color w:val="1A2330"/>
          <w:sz w:val="30"/>
          <w:szCs w:val="30"/>
        </w:rPr>
        <w:t xml:space="preserve">3.3 Hors périmètre explicite</w:t>
      </w:r>
      <w:bookmarkEnd w:id="100008"/>
    </w:p>
    <w:p>
      <w:pPr>
        <w:spacing w:after="120" w:line="312"/>
        <w:jc w:val="left"/>
      </w:pPr>
      <w:r>
        <w:rPr>
          <w:rFonts w:ascii="Times New Roman" w:eastAsia="SimSun"/>
          <w:color w:val="000000"/>
          <w:sz w:val="24"/>
          <w:szCs w:val="24"/>
        </w:rPr>
        <w:t xml:space="preserve">Pour prévenir toute dérive de charge, les éléments suivants sont exclus du présent programme : une comptabilité générale à double partie intégrée (MoneXa exporte vers les outils des experts-comptables plutôt que de les remplacer), la gestion de paie OHADA complète, le e-commerce en ligne, la marketplace de services financiers et l'intégration Apple Wallet ou Google Wallet. Ces sujets restent des pistes d'évolution ultérieures documentées dans la roadmap produit, mais aucune ressource ne leur est allouée dans le présent cahier des charges.</w:t>
      </w:r>
    </w:p>
    <w:p>
      <w:pPr>
        <w:pStyle w:val="Heading1"/>
        <w:spacing w:after="160" w:before="360" w:line="312"/>
        <w:jc w:val="center"/>
      </w:pPr>
      <w:bookmarkStart w:id="100009" w:name="_Toc100009"/>
      <w:r>
        <w:rPr>
          <w:rFonts w:ascii="Times New Roman" w:eastAsia="SimHei"/>
          <w:b/>
          <w:bCs/>
          <w:color w:val="1A2330"/>
          <w:sz w:val="32"/>
          <w:szCs w:val="32"/>
        </w:rPr>
        <w:t xml:space="preserve">4. Utilisateurs, rôles et processus métier cibles</w:t>
      </w:r>
      <w:bookmarkEnd w:id="100009"/>
    </w:p>
    <w:p>
      <w:pPr>
        <w:pStyle w:val="Heading2"/>
        <w:spacing w:after="120" w:before="240" w:line="312"/>
      </w:pPr>
      <w:bookmarkStart w:id="100010" w:name="_Toc100010"/>
      <w:r>
        <w:rPr>
          <w:rFonts w:ascii="Times New Roman" w:eastAsia="SimHei"/>
          <w:b/>
          <w:bCs/>
          <w:color w:val="1A2330"/>
          <w:sz w:val="30"/>
          <w:szCs w:val="30"/>
        </w:rPr>
        <w:t xml:space="preserve">4.1 Utilisateurs cibles</w:t>
      </w:r>
      <w:bookmarkEnd w:id="100010"/>
    </w:p>
    <w:p>
      <w:pPr>
        <w:spacing w:after="120" w:line="312"/>
        <w:jc w:val="left"/>
      </w:pPr>
      <w:r>
        <w:rPr>
          <w:rFonts w:ascii="Times New Roman" w:eastAsia="SimSun"/>
          <w:color w:val="000000"/>
          <w:sz w:val="24"/>
          <w:szCs w:val="24"/>
        </w:rPr>
        <w:t xml:space="preserve">La cible primaire est la PME ouest-africaine qui vend au comptoir et encaisse en espèces comme en mobile money : commerces de détail, pharmacies, quincailleries, librairies, stations-service, points de service et dépôts de quartier. Une organisation cliente typique compte un gérant-propriétaire, un ou deux comptables ou responsables administratifs, et un à dix vendeurs ou caissiers répartis entre un et cinq points de vente. Les contraintes d'usage sont fortes : connectivité intermittente, personnel peu formé à l'informatique, matériel Android accessible. L'interface doit donc rester opérante hors ligne, se manipuler en quelques gestes et s'apprendre en une demi-journée.</w:t>
      </w:r>
    </w:p>
    <w:p>
      <w:pPr>
        <w:pStyle w:val="Heading2"/>
        <w:spacing w:after="120" w:before="240" w:line="312"/>
      </w:pPr>
      <w:bookmarkStart w:id="100011" w:name="_Toc100011"/>
      <w:r>
        <w:rPr>
          <w:rFonts w:ascii="Times New Roman" w:eastAsia="SimHei"/>
          <w:b/>
          <w:bCs/>
          <w:color w:val="1A2330"/>
          <w:sz w:val="30"/>
          <w:szCs w:val="30"/>
        </w:rPr>
        <w:t xml:space="preserve">4.2 Rôles et habilitations cibles</w:t>
      </w:r>
      <w:bookmarkEnd w:id="100011"/>
    </w:p>
    <w:p>
      <w:pPr>
        <w:spacing w:after="120" w:line="312"/>
        <w:jc w:val="left"/>
      </w:pPr>
      <w:r>
        <w:rPr>
          <w:rFonts w:ascii="Times New Roman" w:eastAsia="SimSun"/>
          <w:color w:val="000000"/>
          <w:sz w:val="24"/>
          <w:szCs w:val="24"/>
        </w:rPr>
        <w:t xml:space="preserve">Le modèle de rôles existant (Caissier, Comptable, Gérant) est étendu à quatre profils pour couvrir le point de vente et l'exploitation SaaS. Le </w:t>
      </w:r>
      <w:r>
        <w:rPr>
          <w:rFonts w:ascii="Times New Roman" w:eastAsia="SimSun"/>
          <w:b/>
          <w:bCs/>
          <w:color w:val="000000"/>
          <w:sz w:val="24"/>
          <w:szCs w:val="24"/>
        </w:rPr>
        <w:t xml:space="preserve">Vendeur/Caissier</w:t>
      </w:r>
      <w:r>
        <w:rPr>
          <w:rFonts w:ascii="Times New Roman" w:eastAsia="SimSun"/>
          <w:color w:val="000000"/>
          <w:sz w:val="24"/>
          <w:szCs w:val="24"/>
        </w:rPr>
        <w:t xml:space="preserve"> ouvre sa session de caisse, encaisse les ventes, imprime les tickets et clôture sa journée. Le </w:t>
      </w:r>
      <w:r>
        <w:rPr>
          <w:rFonts w:ascii="Times New Roman" w:eastAsia="SimSun"/>
          <w:b/>
          <w:bCs/>
          <w:color w:val="000000"/>
          <w:sz w:val="24"/>
          <w:szCs w:val="24"/>
        </w:rPr>
        <w:t xml:space="preserve">Comptable</w:t>
      </w:r>
      <w:r>
        <w:rPr>
          <w:rFonts w:ascii="Times New Roman" w:eastAsia="SimSun"/>
          <w:color w:val="000000"/>
          <w:sz w:val="24"/>
          <w:szCs w:val="24"/>
        </w:rPr>
        <w:t xml:space="preserve"> valide les paiements à contrôler, gère le rapprochement bancaire et passerelle, édite les exports comptables et fiscaux. Le </w:t>
      </w:r>
      <w:r>
        <w:rPr>
          <w:rFonts w:ascii="Times New Roman" w:eastAsia="SimSun"/>
          <w:b/>
          <w:bCs/>
          <w:color w:val="000000"/>
          <w:sz w:val="24"/>
          <w:szCs w:val="24"/>
        </w:rPr>
        <w:t xml:space="preserve">Gérant</w:t>
      </w:r>
      <w:r>
        <w:rPr>
          <w:rFonts w:ascii="Times New Roman" w:eastAsia="SimSun"/>
          <w:color w:val="000000"/>
          <w:sz w:val="24"/>
          <w:szCs w:val="24"/>
        </w:rPr>
        <w:t xml:space="preserve"> conserve la vue d'ensemble : tableau de bord, anomalies, audit immuable, paramétrage produits et habilitations de son entreprise. Un profil </w:t>
      </w:r>
      <w:r>
        <w:rPr>
          <w:rFonts w:ascii="Times New Roman" w:eastAsia="SimSun"/>
          <w:b/>
          <w:bCs/>
          <w:color w:val="000000"/>
          <w:sz w:val="24"/>
          <w:szCs w:val="24"/>
        </w:rPr>
        <w:t xml:space="preserve">Administrateur plateforme</w:t>
      </w:r>
      <w:r>
        <w:rPr>
          <w:rFonts w:ascii="Times New Roman" w:eastAsia="SimSun"/>
          <w:color w:val="000000"/>
          <w:sz w:val="24"/>
          <w:szCs w:val="24"/>
        </w:rPr>
        <w:t xml:space="preserve"> est ajouté pour les opérations SaaS de MoneXa : création d'entreprises clientes, suivi technique, support — sans accès aux données financières détaillées, qui restent cloisonnées par entreprise. La double authentification devient obligatoire en production pour les comptes Comptable et Gérant ; la matrice complète figure en annexe A.</w:t>
      </w:r>
    </w:p>
    <w:p>
      <w:pPr>
        <w:pStyle w:val="Heading2"/>
        <w:spacing w:after="120" w:before="240" w:line="312"/>
      </w:pPr>
      <w:bookmarkStart w:id="100012" w:name="_Toc100012"/>
      <w:r>
        <w:rPr>
          <w:rFonts w:ascii="Times New Roman" w:eastAsia="SimHei"/>
          <w:b/>
          <w:bCs/>
          <w:color w:val="1A2330"/>
          <w:sz w:val="30"/>
          <w:szCs w:val="30"/>
        </w:rPr>
        <w:t xml:space="preserve">4.3 Processus métier cibles</w:t>
      </w:r>
      <w:bookmarkEnd w:id="100012"/>
    </w:p>
    <w:p>
      <w:pPr>
        <w:spacing w:after="120" w:line="312"/>
        <w:jc w:val="left"/>
      </w:pPr>
      <w:r>
        <w:rPr>
          <w:rFonts w:ascii="Times New Roman" w:eastAsia="SimSun"/>
          <w:color w:val="000000"/>
          <w:sz w:val="24"/>
          <w:szCs w:val="24"/>
        </w:rPr>
        <w:t xml:space="preserve">Cinq processus structurent l'exploitation quotidienne. </w:t>
      </w:r>
      <w:r>
        <w:rPr>
          <w:rFonts w:ascii="Times New Roman" w:eastAsia="SimSun"/>
          <w:b/>
          <w:bCs/>
          <w:color w:val="000000"/>
          <w:sz w:val="24"/>
          <w:szCs w:val="24"/>
        </w:rPr>
        <w:t xml:space="preserve">PC1 — Encaissement POS</w:t>
      </w:r>
      <w:r>
        <w:rPr>
          <w:rFonts w:ascii="Times New Roman" w:eastAsia="SimSun"/>
          <w:color w:val="000000"/>
          <w:sz w:val="24"/>
          <w:szCs w:val="24"/>
        </w:rPr>
        <w:t xml:space="preserve"> : le vendeur scanne ou sélectionne les articles, applique une remise éventuelle, choisit le ou les moyens de paiement, encaisse et imprime le ticket ; la vente alimente instantanément le journal de caisse et décrémente le stock. </w:t>
      </w:r>
      <w:r>
        <w:rPr>
          <w:rFonts w:ascii="Times New Roman" w:eastAsia="SimSun"/>
          <w:b/>
          <w:bCs/>
          <w:color w:val="000000"/>
          <w:sz w:val="24"/>
          <w:szCs w:val="24"/>
        </w:rPr>
        <w:t xml:space="preserve">PC2 — Clôture de caisse</w:t>
      </w:r>
      <w:r>
        <w:rPr>
          <w:rFonts w:ascii="Times New Roman" w:eastAsia="SimSun"/>
          <w:color w:val="000000"/>
          <w:sz w:val="24"/>
          <w:szCs w:val="24"/>
        </w:rPr>
        <w:t xml:space="preserve"> : en fin de service, le caissier lance la clôture ; le système compare le fond théorique au comptage physique, calcule l'écart, le flagge automatiquement en anomalie au-delà d'un seuil paramétrable et consigne le rapport Z dans l'audit immuable. </w:t>
      </w:r>
      <w:r>
        <w:rPr>
          <w:rFonts w:ascii="Times New Roman" w:eastAsia="SimSun"/>
          <w:b/>
          <w:bCs/>
          <w:color w:val="000000"/>
          <w:sz w:val="24"/>
          <w:szCs w:val="24"/>
        </w:rPr>
        <w:t xml:space="preserve">PC3 — Réapprovisionnement</w:t>
      </w:r>
      <w:r>
        <w:rPr>
          <w:rFonts w:ascii="Times New Roman" w:eastAsia="SimSun"/>
          <w:color w:val="000000"/>
          <w:sz w:val="24"/>
          <w:szCs w:val="24"/>
        </w:rPr>
        <w:t xml:space="preserve"> : les alertes de seuil déclenchent une commande fournisseur, la réception met à jour le stock et les dépenses. </w:t>
      </w:r>
      <w:r>
        <w:rPr>
          <w:rFonts w:ascii="Times New Roman" w:eastAsia="SimSun"/>
          <w:b/>
          <w:bCs/>
          <w:color w:val="000000"/>
          <w:sz w:val="24"/>
          <w:szCs w:val="24"/>
        </w:rPr>
        <w:t xml:space="preserve">PC4 — Rapprochement automatique</w:t>
      </w:r>
      <w:r>
        <w:rPr>
          <w:rFonts w:ascii="Times New Roman" w:eastAsia="SimSun"/>
          <w:color w:val="000000"/>
          <w:sz w:val="24"/>
          <w:szCs w:val="24"/>
        </w:rPr>
        <w:t xml:space="preserve"> : les paiements mobile money entrants (via upload, webhook passerelle ou agrégateur) sont appariés aux ventes et factures par la cascade existante, complétée par l'import bancaire CSV. </w:t>
      </w:r>
      <w:r>
        <w:rPr>
          <w:rFonts w:ascii="Times New Roman" w:eastAsia="SimSun"/>
          <w:b/>
          <w:bCs/>
          <w:color w:val="000000"/>
          <w:sz w:val="24"/>
          <w:szCs w:val="24"/>
        </w:rPr>
        <w:t xml:space="preserve">PC5 — Reporting mensuel</w:t>
      </w:r>
      <w:r>
        <w:rPr>
          <w:rFonts w:ascii="Times New Roman" w:eastAsia="SimSun"/>
          <w:color w:val="000000"/>
          <w:sz w:val="24"/>
          <w:szCs w:val="24"/>
        </w:rPr>
        <w:t xml:space="preserve"> : le comptable édite journal de caisse, journal de banque, balance et déclaration de TVA au format SYSCOHADA pour l'expert-comptable.</w:t>
      </w:r>
    </w:p>
    <w:p>
      <w:pPr>
        <w:pStyle w:val="Heading1"/>
        <w:spacing w:after="160" w:before="360" w:line="312"/>
        <w:jc w:val="center"/>
      </w:pPr>
      <w:bookmarkStart w:id="100013" w:name="_Toc100013"/>
      <w:r>
        <w:rPr>
          <w:rFonts w:ascii="Times New Roman" w:eastAsia="SimHei"/>
          <w:b/>
          <w:bCs/>
          <w:color w:val="1A2330"/>
          <w:sz w:val="32"/>
          <w:szCs w:val="32"/>
        </w:rPr>
        <w:t xml:space="preserve">5. Module Système de caisse (POS) — conception fonctionnelle</w:t>
      </w:r>
      <w:bookmarkEnd w:id="100013"/>
    </w:p>
    <w:p>
      <w:pPr>
        <w:spacing w:after="120" w:line="312"/>
        <w:jc w:val="left"/>
      </w:pPr>
      <w:r>
        <w:rPr>
          <w:rFonts w:ascii="Times New Roman" w:eastAsia="SimSun"/>
          <w:color w:val="000000"/>
          <w:sz w:val="24"/>
          <w:szCs w:val="24"/>
        </w:rPr>
        <w:t xml:space="preserve">Le module POS est l'investissement central du programme. Il capitalise sur les acquis existants — passerelles Mobile Money, moteur d'anomalies, audit immuable, journal de caisse — et leur ajoute la couche vente. La conception suivante est organisée en sept sous-ensembles, puis exigence par exigence.</w:t>
      </w:r>
    </w:p>
    <w:p>
      <w:pPr>
        <w:pStyle w:val="Heading2"/>
        <w:spacing w:after="120" w:before="240" w:line="312"/>
      </w:pPr>
      <w:bookmarkStart w:id="100014" w:name="_Toc100014"/>
      <w:r>
        <w:rPr>
          <w:rFonts w:ascii="Times New Roman" w:eastAsia="SimHei"/>
          <w:b/>
          <w:bCs/>
          <w:color w:val="1A2330"/>
          <w:sz w:val="30"/>
          <w:szCs w:val="30"/>
        </w:rPr>
        <w:t xml:space="preserve">5.1 Catalogue produits et tarification</w:t>
      </w:r>
      <w:bookmarkEnd w:id="100014"/>
    </w:p>
    <w:p>
      <w:pPr>
        <w:spacing w:after="120" w:line="312"/>
        <w:jc w:val="left"/>
      </w:pPr>
      <w:r>
        <w:rPr>
          <w:rFonts w:ascii="Times New Roman" w:eastAsia="SimSun"/>
          <w:color w:val="000000"/>
          <w:sz w:val="24"/>
          <w:szCs w:val="24"/>
        </w:rPr>
        <w:t xml:space="preserve">Un catalogue d'articles décrit chaque produit ou service : référence interne, code-barres EAN-13, désignation, catégorie, unité de vente, prix de vente TTC, taux de TVA (par défaut 18 %, la valeur ajoutée togolaise standard), coût d'achat optionnel pour le calcul de marge, image et état actif. La création et la modification se font depuis l'interface web du gérant, avec import et export CSV pour les référentiels volumineux. Les remises autorisées sont paramétrables par rôle : pourcentage ou montant, au niveau de la ligne ou du panier, avec plafond pour les vendeurs et validation du comptable au-delà d'un seuil défini par le gérant. Le prix est exprimé dans la devise de la boutique, en préparation du multi-devise du chapitre 6.</w:t>
      </w:r>
    </w:p>
    <w:p>
      <w:pPr>
        <w:pStyle w:val="Heading2"/>
        <w:spacing w:after="120" w:before="240" w:line="312"/>
      </w:pPr>
      <w:bookmarkStart w:id="100015" w:name="_Toc100015"/>
      <w:r>
        <w:rPr>
          <w:rFonts w:ascii="Times New Roman" w:eastAsia="SimHei"/>
          <w:b/>
          <w:bCs/>
          <w:color w:val="1A2330"/>
          <w:sz w:val="30"/>
          <w:szCs w:val="30"/>
        </w:rPr>
        <w:t xml:space="preserve">5.2 Interface de vente</w:t>
      </w:r>
      <w:bookmarkEnd w:id="100015"/>
    </w:p>
    <w:p>
      <w:pPr>
        <w:spacing w:after="120" w:line="312"/>
        <w:jc w:val="left"/>
      </w:pPr>
      <w:r>
        <w:rPr>
          <w:rFonts w:ascii="Times New Roman" w:eastAsia="SimSun"/>
          <w:color w:val="000000"/>
          <w:sz w:val="24"/>
          <w:szCs w:val="24"/>
        </w:rPr>
        <w:t xml:space="preserve">L'interface d'encaissement est pensée pour le comptoir : grands boutons tactiles, recherche instantanée par désignation, scan de code-barres par caméra sur mobile ou par lecteur USB sur tablette, panier manipulable en une touche (quantité, remise ligne, suppression). Le vendeur peut encaisser un client anonyme ou rattacher la vente à un client enregistré pour le suivi de fiabilité existant. Une même vente accepte plusieurs moyens de paiement complémentaires — par exemple un règlement partiel en espèces et un complément en T-Money — avec calcul automatique du rendu de monnaie pour la part espèces. Le clavier numérique et les raccourcis de vente rapide (montant libre pour les services) accélèrent les flux les plus fréquents.</w:t>
      </w:r>
    </w:p>
    <w:p>
      <w:pPr>
        <w:pStyle w:val="Heading2"/>
        <w:spacing w:after="120" w:before="240" w:line="312"/>
      </w:pPr>
      <w:bookmarkStart w:id="100016" w:name="_Toc100016"/>
      <w:r>
        <w:rPr>
          <w:rFonts w:ascii="Times New Roman" w:eastAsia="SimHei"/>
          <w:b/>
          <w:bCs/>
          <w:color w:val="1A2330"/>
          <w:sz w:val="30"/>
          <w:szCs w:val="30"/>
        </w:rPr>
        <w:t xml:space="preserve">5.3 Encaissement, tickets et moyens de paiement</w:t>
      </w:r>
      <w:bookmarkEnd w:id="100016"/>
    </w:p>
    <w:p>
      <w:pPr>
        <w:spacing w:after="120" w:line="312"/>
        <w:jc w:val="left"/>
      </w:pPr>
      <w:r>
        <w:rPr>
          <w:rFonts w:ascii="Times New Roman" w:eastAsia="SimSun"/>
          <w:color w:val="000000"/>
          <w:sz w:val="24"/>
          <w:szCs w:val="24"/>
        </w:rPr>
        <w:t xml:space="preserve">Pour la part espèces, le système calcule le rendu et trace le mouvement dans la session de caisse. Pour la part mobile money, le POS déclenche une demande de collecte via les passerelles T-Money, Moov ou Flooz déjà intégrées — d'abord en mode sandbox, puis en production dès l'obtention des accréditations — et confirme la vente à la réception du statut SUCCESS, avec repli possible sur saisie manuelle du numéro de transaction. La part carte est déclarative via le terminal externe du commerce. Chaque encaissement produit un </w:t>
      </w:r>
      <w:r>
        <w:rPr>
          <w:rFonts w:ascii="Times New Roman" w:eastAsia="SimSun"/>
          <w:b/>
          <w:bCs/>
          <w:color w:val="000000"/>
          <w:sz w:val="24"/>
          <w:szCs w:val="24"/>
        </w:rPr>
        <w:t xml:space="preserve">ticket de caisse</w:t>
      </w:r>
      <w:r>
        <w:rPr>
          <w:rFonts w:ascii="Times New Roman" w:eastAsia="SimSun"/>
          <w:color w:val="000000"/>
          <w:sz w:val="24"/>
          <w:szCs w:val="24"/>
        </w:rPr>
        <w:t xml:space="preserve"> imprimé sur imprimante thermique ESC/POS au format 58 ou 80 millimètres, disponible en PDF et par partage WhatsApp ou e-mail ; le ticket porte la référence de vente, le détail TVA, un QR code de paiement réutilisant les codes USSD togolais existants (*880# T-Money, *155# Moov, *110# Flooz) et la mention légale de l'entreprise. En cas d'imprimante indisponible, le mode dégradé enregistre la vente et met le ticket en file d'impression.</w:t>
      </w:r>
    </w:p>
    <w:p>
      <w:pPr>
        <w:pStyle w:val="Heading2"/>
        <w:spacing w:after="120" w:before="240" w:line="312"/>
      </w:pPr>
      <w:bookmarkStart w:id="100017" w:name="_Toc100017"/>
      <w:r>
        <w:rPr>
          <w:rFonts w:ascii="Times New Roman" w:eastAsia="SimHei"/>
          <w:b/>
          <w:bCs/>
          <w:color w:val="1A2330"/>
          <w:sz w:val="30"/>
          <w:szCs w:val="30"/>
        </w:rPr>
        <w:t xml:space="preserve">5.4 Sessions de caisse, clôture et contrôle anti-fraude</w:t>
      </w:r>
      <w:bookmarkEnd w:id="100017"/>
    </w:p>
    <w:p>
      <w:pPr>
        <w:spacing w:after="120" w:line="312"/>
        <w:jc w:val="left"/>
      </w:pPr>
      <w:r>
        <w:rPr>
          <w:rFonts w:ascii="Times New Roman" w:eastAsia="SimSun"/>
          <w:color w:val="000000"/>
          <w:sz w:val="24"/>
          <w:szCs w:val="24"/>
        </w:rPr>
        <w:t xml:space="preserve">Chaque vendeur opère au sein d'une session de caisse datée : ouverture avec fond de caisse déclaré, mouvements successifs (ventes espèces, dépôts de sécurisation, retraits, dépenses au comptant), puis clôture. Le rapport intermédiaire X est consultable à tout moment ; la clôture définitive Z édite le détail par moyen de paiement, le total théorique, le comptage physique saisi et l'écart. Tout écart au-delà du seuil tolérance crée automatiquement une anomalie priorisée vers le gérant, tracée dans le journal immuable — ce contrôle répond directement au besoin de détection des fuites de capital exprimé par les PME. Les sessions alimentent ensuite le tableau de bord : chiffre d'affaires par jour, par vendeur, par moyen de paiement, panier moyen et nombre de tickets.</w:t>
      </w:r>
    </w:p>
    <w:p>
      <w:pPr>
        <w:pStyle w:val="Heading2"/>
        <w:spacing w:after="120" w:before="240" w:line="312"/>
      </w:pPr>
      <w:bookmarkStart w:id="100018" w:name="_Toc100018"/>
      <w:r>
        <w:rPr>
          <w:rFonts w:ascii="Times New Roman" w:eastAsia="SimHei"/>
          <w:b/>
          <w:bCs/>
          <w:color w:val="1A2330"/>
          <w:sz w:val="30"/>
          <w:szCs w:val="30"/>
        </w:rPr>
        <w:t xml:space="preserve">5.5 Intégration trésorerie et stock</w:t>
      </w:r>
      <w:bookmarkEnd w:id="100018"/>
    </w:p>
    <w:p>
      <w:pPr>
        <w:spacing w:after="120" w:line="312"/>
        <w:jc w:val="left"/>
      </w:pPr>
      <w:r>
        <w:rPr>
          <w:rFonts w:ascii="Times New Roman" w:eastAsia="SimSun"/>
          <w:color w:val="000000"/>
          <w:sz w:val="24"/>
          <w:szCs w:val="24"/>
        </w:rPr>
        <w:t xml:space="preserve">Chaque vente validée devient un mouvement natif de la plateforme : encaissement inscrit au compte de trésorerie du moyen de paiement utilisé (espèces, passerelle T-Money, Moov, Flooz, banque), de sorte que le journal de caisse, les KPIs existants et les exports PDF actuels reflètent sans double saisie l'activité du point de vente. Symétriquement, chaque vente décrémente le stock des articles vendus ; un seuil d'alerte par article déclenche une notification de réapprovisionnement. Les factures client du module existant restent utilisables pour les ventes à crédit : elles peuvent être réglées depuis le POS, ce qui unifie la boucle facturation-encaissement déjà amorcée par les QR codes USSD.</w:t>
      </w:r>
    </w:p>
    <w:p>
      <w:pPr>
        <w:pStyle w:val="Heading2"/>
        <w:spacing w:after="120" w:before="240" w:line="312"/>
      </w:pPr>
      <w:bookmarkStart w:id="100019" w:name="_Toc100019"/>
      <w:r>
        <w:rPr>
          <w:rFonts w:ascii="Times New Roman" w:eastAsia="SimHei"/>
          <w:b/>
          <w:bCs/>
          <w:color w:val="1A2330"/>
          <w:sz w:val="30"/>
          <w:szCs w:val="30"/>
        </w:rPr>
        <w:t xml:space="preserve">5.6 Résilience hors ligne</w:t>
      </w:r>
      <w:bookmarkEnd w:id="100019"/>
    </w:p>
    <w:p>
      <w:pPr>
        <w:spacing w:after="120" w:line="312"/>
        <w:jc w:val="left"/>
      </w:pPr>
      <w:r>
        <w:rPr>
          <w:rFonts w:ascii="Times New Roman" w:eastAsia="SimSun"/>
          <w:color w:val="000000"/>
          <w:sz w:val="24"/>
          <w:szCs w:val="24"/>
        </w:rPr>
        <w:t xml:space="preserve">Le point de vente doit survivre aux coupures de réseau, fréquentes dans les contextes visés. L'application POS conserve localement le référentiel produits, file les ventes espèces dans un stockage local chiffré et les rejoue à la reconnexion avec une idempotence garantie par identifiant unique de vente — le mécanisme de file Hive déjà éprouvé côté mobile est généralisé à la caisse. Les encaissements mobile money nécessitent le réseau et basculent en mode attente avec reprise automatique. Un indicateur permanent d'état de synchronisation et de file en attente informe le vendeur, et la clôture de caisse reste possible hors ligne avec rattrapage ultérieur des éléments dématérialisés.</w:t>
      </w:r>
    </w:p>
    <w:p>
      <w:pPr>
        <w:pStyle w:val="Heading2"/>
        <w:spacing w:after="120" w:before="240" w:line="312"/>
      </w:pPr>
      <w:bookmarkStart w:id="100020" w:name="_Toc100020"/>
      <w:r>
        <w:rPr>
          <w:rFonts w:ascii="Times New Roman" w:eastAsia="SimHei"/>
          <w:b/>
          <w:bCs/>
          <w:color w:val="1A2330"/>
          <w:sz w:val="30"/>
          <w:szCs w:val="30"/>
        </w:rPr>
        <w:t xml:space="preserve">5.7 Matériel cible et environnement d'exécution</w:t>
      </w:r>
      <w:bookmarkEnd w:id="100020"/>
    </w:p>
    <w:p>
      <w:pPr>
        <w:spacing w:after="120" w:line="312"/>
        <w:jc w:val="left"/>
      </w:pPr>
      <w:r>
        <w:rPr>
          <w:rFonts w:ascii="Times New Roman" w:eastAsia="SimSun"/>
          <w:color w:val="000000"/>
          <w:sz w:val="24"/>
          <w:szCs w:val="24"/>
        </w:rPr>
        <w:t xml:space="preserve">L'environnement de référence est Android 9 ou supérieur sur tablette ou smartphone, avec l'application POS dédiée publiée sous le même bundle existant tg.monexa.monexa ou en variante POS. Le parc matériel visé comprend une imprimante thermique ESC/POS Bluetooth ou USB (formats 58 et 80 mm), un tiroir-caisse à déclenchement optionnel et un lecteur de code-barres USB ou Bluetooth. Une liste de modèles certifiés compatibles sera établie lors de la phase pilote, avec un mode d'installation pas à pas ; l'impression PDF partagée sert de solution universelle de repli. Le web reste utilisable pour les fonctions administratives (catalogue, clôtures, reporting).</w:t>
      </w:r>
    </w:p>
    <w:p>
      <w:pPr>
        <w:keepNext/>
        <w:spacing w:after="80" w:before="160" w:line="312"/>
        <w:jc w:val="left"/>
      </w:pPr>
      <w:r>
        <w:rPr>
          <w:rFonts w:ascii="Times New Roman" w:eastAsia="SimSun"/>
          <w:b/>
          <w:bCs/>
          <w:color w:val="1A2330"/>
          <w:sz w:val="21"/>
          <w:szCs w:val="21"/>
        </w:rPr>
        <w:t xml:space="preserve">Tableau 3 : exigences détaillées du module POS (priorisation MoSCoW)</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10%"/>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ID</w:t>
            </w:r>
          </w:p>
        </w:tc>
        <w:tc>
          <w:tcPr>
            <w:tcW w:type="pct" w:w="44%"/>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Exigence</w:t>
            </w:r>
          </w:p>
        </w:tc>
        <w:tc>
          <w:tcPr>
            <w:tcW w:type="pct" w:w="10%"/>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Prio.</w:t>
            </w:r>
          </w:p>
        </w:tc>
        <w:tc>
          <w:tcPr>
            <w:tcW w:type="pct" w:w="36%"/>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Critère d'acceptation</w:t>
            </w:r>
          </w:p>
        </w:tc>
      </w:tr>
      <w:tr>
        <w:trPr>
          <w:cantSplit/>
        </w:trPr>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POS-01</w:t>
            </w:r>
          </w:p>
        </w:tc>
        <w:tc>
          <w:tcPr>
            <w:tcW w:type="pct" w:w="4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Catalogue articles (réf, EAN, TVA, prix, coût, image) avec import/export CSV</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Must</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Création et import de 500 articles sans erreur ; EAN scannable</w:t>
            </w:r>
          </w:p>
        </w:tc>
      </w:tr>
      <w:tr>
        <w:trPr>
          <w:cantSplit/>
        </w:trPr>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POS-02</w:t>
            </w:r>
          </w:p>
        </w:tc>
        <w:tc>
          <w:tcPr>
            <w:tcW w:type="pct" w:w="4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Écran de vente tactile : panier, quantités, recherche, remises plafonnées</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Must</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Vente 3 articles avec remise en moins de 30 s</w:t>
            </w:r>
          </w:p>
        </w:tc>
      </w:tr>
      <w:tr>
        <w:trPr>
          <w:cantSplit/>
        </w:trPr>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POS-03</w:t>
            </w:r>
          </w:p>
        </w:tc>
        <w:tc>
          <w:tcPr>
            <w:tcW w:type="pct" w:w="4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Scan code-barres caméra mobile et lecteur USB</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Must</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Lecture EAN-13 inférieure à 1 s sur modèle certifié</w:t>
            </w:r>
          </w:p>
        </w:tc>
      </w:tr>
      <w:tr>
        <w:trPr>
          <w:cantSplit/>
        </w:trPr>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POS-04</w:t>
            </w:r>
          </w:p>
        </w:tc>
        <w:tc>
          <w:tcPr>
            <w:tcW w:type="pct" w:w="4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Multi-paiement : espèces (rendu), mobile money passerelles, carte déclarative</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Must</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Vente mixte espèces + T-Money soldée et tracée</w:t>
            </w:r>
          </w:p>
        </w:tc>
      </w:tr>
      <w:tr>
        <w:trPr>
          <w:cantSplit/>
        </w:trPr>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POS-05</w:t>
            </w:r>
          </w:p>
        </w:tc>
        <w:tc>
          <w:tcPr>
            <w:tcW w:type="pct" w:w="4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Ticket ESC/POS 58/80 mm, PDF, QR USSD, envoi WhatsApp/e-mail</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Must</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Ticket conforme imprimé ; PDF identique ; repli sans imprimante</w:t>
            </w:r>
          </w:p>
        </w:tc>
      </w:tr>
      <w:tr>
        <w:trPr>
          <w:cantSplit/>
        </w:trPr>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POS-06</w:t>
            </w:r>
          </w:p>
        </w:tc>
        <w:tc>
          <w:tcPr>
            <w:tcW w:type="pct" w:w="4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Sessions de caisse : fond, mouvements, rapport X, clôture Z</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Must</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Clôture exacte au centime sur jeu de test</w:t>
            </w:r>
          </w:p>
        </w:tc>
      </w:tr>
      <w:tr>
        <w:trPr>
          <w:cantSplit/>
        </w:trPr>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POS-07</w:t>
            </w:r>
          </w:p>
        </w:tc>
        <w:tc>
          <w:tcPr>
            <w:tcW w:type="pct" w:w="4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Contrôle d'écart espèces avec flag automatique en anomalie + audit</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Must</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Écart au-delà du seuil crée une anomalie tracée</w:t>
            </w:r>
          </w:p>
        </w:tc>
      </w:tr>
      <w:tr>
        <w:trPr>
          <w:cantSplit/>
        </w:trPr>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POS-08</w:t>
            </w:r>
          </w:p>
        </w:tc>
        <w:tc>
          <w:tcPr>
            <w:tcW w:type="pct" w:w="4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Intégration trésorerie : vente = mouvement journal, KPIs enrichis</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Must</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Aucune double saisie ; journal et dashboard cohérents</w:t>
            </w:r>
          </w:p>
        </w:tc>
      </w:tr>
      <w:tr>
        <w:trPr>
          <w:cantSplit/>
        </w:trPr>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POS-09</w:t>
            </w:r>
          </w:p>
        </w:tc>
        <w:tc>
          <w:tcPr>
            <w:tcW w:type="pct" w:w="4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Stock : décrément à la vente, alertes de seuil, liaison commandes</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Must</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Alerte seuil notifiée ; stock cohérent après vente</w:t>
            </w:r>
          </w:p>
        </w:tc>
      </w:tr>
      <w:tr>
        <w:trPr>
          <w:cantSplit/>
        </w:trPr>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POS-10</w:t>
            </w:r>
          </w:p>
        </w:tc>
        <w:tc>
          <w:tcPr>
            <w:tcW w:type="pct" w:w="4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Mode offline : file locale chiffrée, resync idempotent, indicateur d'état</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Should</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Ventes espèces encaissées hors réseau puis rejouées sans doublon</w:t>
            </w:r>
          </w:p>
        </w:tc>
      </w:tr>
      <w:tr>
        <w:trPr>
          <w:cantSplit/>
        </w:trPr>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POS-11</w:t>
            </w:r>
          </w:p>
        </w:tc>
        <w:tc>
          <w:tcPr>
            <w:tcW w:type="pct" w:w="4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Fidélité client légère (client enregistré, historique, fiabilité)</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Should</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Vente rattachée au client et visible dans son historique</w:t>
            </w:r>
          </w:p>
        </w:tc>
      </w:tr>
      <w:tr>
        <w:trPr>
          <w:cantSplit/>
        </w:trPr>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POS-12</w:t>
            </w:r>
          </w:p>
        </w:tc>
        <w:tc>
          <w:tcPr>
            <w:tcW w:type="pct" w:w="4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Assistant vocal de caisse et résumés TresorIA de session</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Could</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Résumé vocal de journée disponible au clôtureur</w:t>
            </w:r>
          </w:p>
        </w:tc>
      </w:tr>
    </w:tbl>
    <w:p>
      <w:pPr>
        <w:pStyle w:val="Heading1"/>
        <w:spacing w:after="160" w:before="360" w:line="312"/>
        <w:jc w:val="center"/>
      </w:pPr>
      <w:bookmarkStart w:id="100021" w:name="_Toc100021"/>
      <w:r>
        <w:rPr>
          <w:rFonts w:ascii="Times New Roman" w:eastAsia="SimHei"/>
          <w:b/>
          <w:bCs/>
          <w:color w:val="1A2330"/>
          <w:sz w:val="32"/>
          <w:szCs w:val="32"/>
        </w:rPr>
        <w:t xml:space="preserve">6. Modules complémentaires et améliorations de la plateforme</w:t>
      </w:r>
      <w:bookmarkEnd w:id="100021"/>
    </w:p>
    <w:p>
      <w:pPr>
        <w:pStyle w:val="Heading2"/>
        <w:spacing w:after="120" w:before="240" w:line="312"/>
      </w:pPr>
      <w:bookmarkStart w:id="100022" w:name="_Toc100022"/>
      <w:r>
        <w:rPr>
          <w:rFonts w:ascii="Times New Roman" w:eastAsia="SimHei"/>
          <w:b/>
          <w:bCs/>
          <w:color w:val="1A2330"/>
          <w:sz w:val="30"/>
          <w:szCs w:val="30"/>
        </w:rPr>
        <w:t xml:space="preserve">6.1 Stock et inventaire avancés</w:t>
      </w:r>
      <w:bookmarkEnd w:id="100022"/>
    </w:p>
    <w:p>
      <w:pPr>
        <w:spacing w:after="120" w:line="312"/>
        <w:jc w:val="left"/>
      </w:pPr>
      <w:r>
        <w:rPr>
          <w:rFonts w:ascii="Times New Roman" w:eastAsia="SimSun"/>
          <w:color w:val="000000"/>
          <w:sz w:val="24"/>
          <w:szCs w:val="24"/>
        </w:rPr>
        <w:t xml:space="preserve">Au-delà du stock minimal du POS, la plateforme gère les entrées par réception fournisseur, les sorties internes, les transferts entre boutiques et les inventaires tournants ou annuels avec ajustement tracé. La valorisation au coût moyen unitaire pondéré alimente la marge brute par article, par catégorie et par période. Chaque mouvement porte son auteur et sa référence documentaire, et les ajustements d'inventaire significatifs créent des anomalies à valider, dans la continuité du moteur anti-fraude existant. Le suivi fournisseurs et commandes d'achat complète la boucle : commande, réception, facture d'achat, paiement, coût de revient.</w:t>
      </w:r>
    </w:p>
    <w:p>
      <w:pPr>
        <w:pStyle w:val="Heading2"/>
        <w:spacing w:after="120" w:before="240" w:line="312"/>
      </w:pPr>
      <w:bookmarkStart w:id="100023" w:name="_Toc100023"/>
      <w:r>
        <w:rPr>
          <w:rFonts w:ascii="Times New Roman" w:eastAsia="SimHei"/>
          <w:b/>
          <w:bCs/>
          <w:color w:val="1A2330"/>
          <w:sz w:val="30"/>
          <w:szCs w:val="30"/>
        </w:rPr>
        <w:t xml:space="preserve">6.2 Multi-boutiques et multi-guichets</w:t>
      </w:r>
      <w:bookmarkEnd w:id="100023"/>
    </w:p>
    <w:p>
      <w:pPr>
        <w:spacing w:after="120" w:line="312"/>
        <w:jc w:val="left"/>
      </w:pPr>
      <w:r>
        <w:rPr>
          <w:rFonts w:ascii="Times New Roman" w:eastAsia="SimSun"/>
          <w:color w:val="000000"/>
          <w:sz w:val="24"/>
          <w:szCs w:val="24"/>
        </w:rPr>
        <w:t xml:space="preserve">Le modèle d'organisation devient hiérarchique : une entreprise regroupe une ou plusieurs boutiques, chacune disposant de ses caisses, de son stock, de ses vendeurs et de sa devise de référence. Le cloisonnement s'applique à tous les niveaux de l'API et de l'interface : un vendeur ne voit que sa boutique, le comptable couvre les boutiques qui lui sont confiées, le gérant consolide l'entreprise. Les tableaux de bord gérant s'enrichissent d'une vue comparative inter-boutiques (chiffre d'affaires, écarts de caisse, taux de réconciliation) et les habilitations peuvent être déléguées par boutique. Ce socle est le prérequis de l'offre SaaS multi-clients, chaque client étant une entreprise étanche.</w:t>
      </w:r>
    </w:p>
    <w:p>
      <w:pPr>
        <w:pStyle w:val="Heading2"/>
        <w:spacing w:after="120" w:before="240" w:line="312"/>
      </w:pPr>
      <w:bookmarkStart w:id="100024" w:name="_Toc100024"/>
      <w:r>
        <w:rPr>
          <w:rFonts w:ascii="Times New Roman" w:eastAsia="SimHei"/>
          <w:b/>
          <w:bCs/>
          <w:color w:val="1A2330"/>
          <w:sz w:val="30"/>
          <w:szCs w:val="30"/>
        </w:rPr>
        <w:t xml:space="preserve">6.3 Multi-devise</w:t>
      </w:r>
      <w:bookmarkEnd w:id="100024"/>
    </w:p>
    <w:p>
      <w:pPr>
        <w:spacing w:after="120" w:line="312"/>
        <w:jc w:val="left"/>
      </w:pPr>
      <w:r>
        <w:rPr>
          <w:rFonts w:ascii="Times New Roman" w:eastAsia="SimSun"/>
          <w:color w:val="000000"/>
          <w:sz w:val="24"/>
          <w:szCs w:val="24"/>
        </w:rPr>
        <w:t xml:space="preserve">La devise fonctionnelle reste le franc CFA (XOF) ; le multi-devise ajoute des devises secondaires (EUR, USD dans un premier temps) avec table de conversion journalière paramétrable — saisie manuelle ou alimentation par source externe — et historisation des taux au jour de l'opération. Les comptes de trésorerie peuvent être détenus en devise secondaire pour les besoins d'importation ; les montants consolidés sont convertis en XOF au taux du jour de l'opération, avec règles d'arrondi documentées. Le DecimalField et les contraintes ACID existants garantissent l'exactitude des calculs financiers.</w:t>
      </w:r>
    </w:p>
    <w:p>
      <w:pPr>
        <w:pStyle w:val="Heading2"/>
        <w:spacing w:after="120" w:before="240" w:line="312"/>
      </w:pPr>
      <w:bookmarkStart w:id="100025" w:name="_Toc100025"/>
      <w:r>
        <w:rPr>
          <w:rFonts w:ascii="Times New Roman" w:eastAsia="SimHei"/>
          <w:b/>
          <w:bCs/>
          <w:color w:val="1A2330"/>
          <w:sz w:val="30"/>
          <w:szCs w:val="30"/>
        </w:rPr>
        <w:t xml:space="preserve">6.4 Comptabilité, conformité SYSCOHADA et fiscalité</w:t>
      </w:r>
      <w:bookmarkEnd w:id="100025"/>
    </w:p>
    <w:p>
      <w:pPr>
        <w:spacing w:after="120" w:line="312"/>
        <w:jc w:val="left"/>
      </w:pPr>
      <w:r>
        <w:rPr>
          <w:rFonts w:ascii="Times New Roman" w:eastAsia="SimSun"/>
          <w:color w:val="000000"/>
          <w:sz w:val="24"/>
          <w:szCs w:val="24"/>
        </w:rPr>
        <w:t xml:space="preserve">MoneXa ne remplace pas l'expert-comptable : il lui fournit des livrables propres. Les exports SYSCOHADA couvrent le journal de caisse, le journal de banque, la balance des comptes simplifiée et le support de déclaration de TVA, au format tableur et CSV structuré prêt à importer dans les outils comptables courants. La numérotation des pièces suit les règles du référentiel OHADA, chaque écriture renvoyant à ses documents sources (tickets, factures, relevés). Un export mensuel packagé — pièces justificatives PDF et fichiers structurés — remis à l'expert-comptable achève la boucle de conformité fiscale togolaise (TVA 18 %) et régionale.</w:t>
      </w:r>
    </w:p>
    <w:p>
      <w:pPr>
        <w:pStyle w:val="Heading2"/>
        <w:spacing w:after="120" w:before="240" w:line="312"/>
      </w:pPr>
      <w:bookmarkStart w:id="100026" w:name="_Toc100026"/>
      <w:r>
        <w:rPr>
          <w:rFonts w:ascii="Times New Roman" w:eastAsia="SimHei"/>
          <w:b/>
          <w:bCs/>
          <w:color w:val="1A2330"/>
          <w:sz w:val="30"/>
          <w:szCs w:val="30"/>
        </w:rPr>
        <w:t xml:space="preserve">6.5 Intégrations, asynchrone et intelligence artificielle</w:t>
      </w:r>
      <w:bookmarkEnd w:id="100026"/>
    </w:p>
    <w:p>
      <w:pPr>
        <w:spacing w:after="120" w:line="312"/>
        <w:jc w:val="left"/>
      </w:pPr>
      <w:r>
        <w:rPr>
          <w:rFonts w:ascii="Times New Roman" w:eastAsia="SimSun"/>
          <w:color w:val="000000"/>
          <w:sz w:val="24"/>
          <w:szCs w:val="24"/>
        </w:rPr>
        <w:t xml:space="preserve">Trois chantiers d'intégration accroissent la valeur opérationnelle. Les </w:t>
      </w:r>
      <w:r>
        <w:rPr>
          <w:rFonts w:ascii="Times New Roman" w:eastAsia="SimSun"/>
          <w:b/>
          <w:bCs/>
          <w:color w:val="000000"/>
          <w:sz w:val="24"/>
          <w:szCs w:val="24"/>
        </w:rPr>
        <w:t xml:space="preserve">connecteurs d'agrégation de paiement</w:t>
      </w:r>
      <w:r>
        <w:rPr>
          <w:rFonts w:ascii="Times New Roman" w:eastAsia="SimSun"/>
          <w:color w:val="000000"/>
          <w:sz w:val="24"/>
          <w:szCs w:val="24"/>
        </w:rPr>
        <w:t xml:space="preserve"> (CinetPay, Flutterwave) apportent l'ingestion temps réel des transactions mobile money en complément des passerelles directes, réduisant la dépendance aux uploads de preuves. Les </w:t>
      </w:r>
      <w:r>
        <w:rPr>
          <w:rFonts w:ascii="Times New Roman" w:eastAsia="SimSun"/>
          <w:b/>
          <w:bCs/>
          <w:color w:val="000000"/>
          <w:sz w:val="24"/>
          <w:szCs w:val="24"/>
        </w:rPr>
        <w:t xml:space="preserve">notifications multicanales</w:t>
      </w:r>
      <w:r>
        <w:rPr>
          <w:rFonts w:ascii="Times New Roman" w:eastAsia="SimSun"/>
          <w:color w:val="000000"/>
          <w:sz w:val="24"/>
          <w:szCs w:val="24"/>
        </w:rPr>
        <w:t xml:space="preserve"> étendent l'in-app actuel à WhatsApp Business (canal préféré des PME), SMS et e-mail : rappels d'impayés, alertes d'anomalie critique, rapports hebdomadaires du CFO virtuel, notifications de clôture de caisse. L'</w:t>
      </w:r>
      <w:r>
        <w:rPr>
          <w:rFonts w:ascii="Times New Roman" w:eastAsia="SimSun"/>
          <w:b/>
          <w:bCs/>
          <w:color w:val="000000"/>
          <w:sz w:val="24"/>
          <w:szCs w:val="24"/>
        </w:rPr>
        <w:t xml:space="preserve">infrastructure asynchrone</w:t>
      </w:r>
      <w:r>
        <w:rPr>
          <w:rFonts w:ascii="Times New Roman" w:eastAsia="SimSun"/>
          <w:color w:val="000000"/>
          <w:sz w:val="24"/>
          <w:szCs w:val="24"/>
        </w:rPr>
        <w:t xml:space="preserve"> Celery et Redis déporte les traitements lourds — précalcul des prévisions, génération des rapports, envois de masse, scans de fraude — hors du temps de réponse de l'API. Côté IA, TresorIA est enrichi des données de vente et de stock (questions du type produit le plus rentable, fin de stock prévue), l'assistant vocal gagne les langues complètes éwé et kabyé, et chaque réponse conserve sa traçabilité.</w:t>
      </w:r>
    </w:p>
    <w:p>
      <w:pPr>
        <w:pStyle w:val="Heading2"/>
        <w:spacing w:after="120" w:before="240" w:line="312"/>
      </w:pPr>
      <w:bookmarkStart w:id="100027" w:name="_Toc100027"/>
      <w:r>
        <w:rPr>
          <w:rFonts w:ascii="Times New Roman" w:eastAsia="SimHei"/>
          <w:b/>
          <w:bCs/>
          <w:color w:val="1A2330"/>
          <w:sz w:val="30"/>
          <w:szCs w:val="30"/>
        </w:rPr>
        <w:t xml:space="preserve">6.6 Sécurité, conformité et qualité</w:t>
      </w:r>
      <w:bookmarkEnd w:id="100027"/>
    </w:p>
    <w:p>
      <w:pPr>
        <w:spacing w:after="120" w:line="312"/>
        <w:jc w:val="left"/>
      </w:pPr>
      <w:r>
        <w:rPr>
          <w:rFonts w:ascii="Times New Roman" w:eastAsia="SimSun"/>
          <w:color w:val="000000"/>
          <w:sz w:val="24"/>
          <w:szCs w:val="24"/>
        </w:rPr>
        <w:t xml:space="preserve">Le volet sécurité applique les engagements initiaux au niveau production : double authentification TOTP imposée pour les comptes Comptable et Gérant, chiffrement des médias de preuve au repos, gestion centralisée des secrets par variables d'environnement, politique de rétention des textes bruts d'IA à quatre-vingt-dix jours avec droit à l'oubli et portabilité des données au titre du référentiel RGPD et de la réglementation togolaise. La qualité s'appuie sur l'existant (104 tests backend, 19 tests mobile) et le complète : tests de bout en bout Playwright sur le parcours d'encaissement, tests d'intégration Flutter sur le POS mobile, revue de sécurité avant mise en production et suivi d'erreurs Sentry opérationnel dès la phase 1.</w:t>
      </w:r>
    </w:p>
    <w:p>
      <w:pPr>
        <w:pStyle w:val="Heading1"/>
        <w:spacing w:after="160" w:before="360" w:line="312"/>
        <w:jc w:val="center"/>
      </w:pPr>
      <w:bookmarkStart w:id="100028" w:name="_Toc100028"/>
      <w:r>
        <w:rPr>
          <w:rFonts w:ascii="Times New Roman" w:eastAsia="SimHei"/>
          <w:b/>
          <w:bCs/>
          <w:color w:val="1A2330"/>
          <w:sz w:val="32"/>
          <w:szCs w:val="32"/>
        </w:rPr>
        <w:t xml:space="preserve">7. Architecture cible et exigences non fonctionnelles</w:t>
      </w:r>
      <w:bookmarkEnd w:id="100028"/>
    </w:p>
    <w:p>
      <w:pPr>
        <w:pStyle w:val="Heading2"/>
        <w:spacing w:after="120" w:before="240" w:line="312"/>
      </w:pPr>
      <w:bookmarkStart w:id="100029" w:name="_Toc100029"/>
      <w:r>
        <w:rPr>
          <w:rFonts w:ascii="Times New Roman" w:eastAsia="SimHei"/>
          <w:b/>
          <w:bCs/>
          <w:color w:val="1A2330"/>
          <w:sz w:val="30"/>
          <w:szCs w:val="30"/>
        </w:rPr>
        <w:t xml:space="preserve">7.1 Architecture technique cible</w:t>
      </w:r>
      <w:bookmarkEnd w:id="100029"/>
    </w:p>
    <w:p>
      <w:pPr>
        <w:spacing w:after="120" w:line="312"/>
        <w:jc w:val="left"/>
      </w:pPr>
      <w:r>
        <w:rPr>
          <w:rFonts w:ascii="Times New Roman" w:eastAsia="SimSun"/>
          <w:color w:val="000000"/>
          <w:sz w:val="24"/>
          <w:szCs w:val="24"/>
        </w:rPr>
        <w:t xml:space="preserve">L'architecture reste un </w:t>
      </w:r>
      <w:r>
        <w:rPr>
          <w:rFonts w:ascii="Times New Roman" w:eastAsia="SimSun"/>
          <w:b/>
          <w:bCs/>
          <w:color w:val="000000"/>
          <w:sz w:val="24"/>
          <w:szCs w:val="24"/>
        </w:rPr>
        <w:t xml:space="preserve">monolithe Django modulaire</w:t>
      </w:r>
      <w:r>
        <w:rPr>
          <w:rFonts w:ascii="Times New Roman" w:eastAsia="SimSun"/>
          <w:color w:val="000000"/>
          <w:sz w:val="24"/>
          <w:szCs w:val="24"/>
        </w:rPr>
        <w:t xml:space="preserve"> — le choix pragmatique validé depuis l'origine — enrichi de nouvelles applications pos, inventory et organisation, sans microservice injustifié à cette échelle. PostgreSQL 16 demeure la base unique à contraintes ACID ; Redis intervient comme cache et broker Celery ; gunicorn et WhiteNoise servent l'application derrière le pare-feu de l'hébergeur. L'API REST DRF est versionnée sous /api/v2 afin de préserver la compatibilité de l'application mobile existante pendant la transition. Les fichiers médias migrent progressivement vers un stockage objet compatible S3 pour la durabilité des preuves de paiement. Côté client, trois surfaces cohabitent : l'interface web administrative, l'application POS Android dédiée à l'encaissement et l'application mobile existante pour les rôles itinérants — les trois consomment la même API authentifiée par JWT.</w:t>
      </w:r>
    </w:p>
    <w:p>
      <w:pPr>
        <w:pStyle w:val="Heading2"/>
        <w:spacing w:after="120" w:before="240" w:line="312"/>
      </w:pPr>
      <w:bookmarkStart w:id="100030" w:name="_Toc100030"/>
      <w:r>
        <w:rPr>
          <w:rFonts w:ascii="Times New Roman" w:eastAsia="SimHei"/>
          <w:b/>
          <w:bCs/>
          <w:color w:val="1A2330"/>
          <w:sz w:val="30"/>
          <w:szCs w:val="30"/>
        </w:rPr>
        <w:t xml:space="preserve">7.2 Exigences non fonctionnelles</w:t>
      </w:r>
      <w:bookmarkEnd w:id="100030"/>
    </w:p>
    <w:p>
      <w:pPr>
        <w:spacing w:after="120" w:line="312"/>
        <w:jc w:val="left"/>
      </w:pPr>
      <w:r>
        <w:rPr>
          <w:rFonts w:ascii="Times New Roman" w:eastAsia="SimSun"/>
          <w:color w:val="000000"/>
          <w:sz w:val="24"/>
          <w:szCs w:val="24"/>
        </w:rPr>
        <w:t xml:space="preserve">Les exigences non fonctionnelles constituent des critères d'acceptation à part entière, vérifiés avant chaque mise en production. Elles couvrent la disponibilité, la performance, la sauvegarde, la sécurité, la traçabilité et l'accessibilité. Les valeurs suivantes ont été fixées avec réalisme pour une PME et seront mesurées en continu :</w:t>
      </w:r>
    </w:p>
    <w:p>
      <w:pPr>
        <w:pStyle w:val="ListParagraph"/>
        <w:numPr>
          <w:ilvl w:val="0"/>
          <w:numId w:val="1"/>
        </w:numPr>
        <w:spacing w:after="80" w:line="312"/>
        <w:jc w:val="left"/>
      </w:pPr>
      <w:r>
        <w:rPr>
          <w:rFonts w:ascii="Times New Roman" w:eastAsia="SimSun"/>
          <w:b/>
          <w:bCs/>
          <w:color w:val="000000"/>
          <w:sz w:val="24"/>
          <w:szCs w:val="24"/>
        </w:rPr>
        <w:t xml:space="preserve">RNF-01 Disponibilité</w:t>
      </w:r>
      <w:r>
        <w:rPr>
          <w:rFonts w:ascii="Times New Roman" w:eastAsia="SimSun"/>
          <w:color w:val="000000"/>
          <w:sz w:val="24"/>
          <w:szCs w:val="24"/>
        </w:rPr>
        <w:t xml:space="preserve"> : 99,5 % par mois civil, hors créneau de maintenance planifié et annoncé.</w:t>
      </w:r>
    </w:p>
    <w:p>
      <w:pPr>
        <w:pStyle w:val="ListParagraph"/>
        <w:numPr>
          <w:ilvl w:val="0"/>
          <w:numId w:val="1"/>
        </w:numPr>
        <w:spacing w:after="80" w:line="312"/>
        <w:jc w:val="left"/>
      </w:pPr>
      <w:r>
        <w:rPr>
          <w:rFonts w:ascii="Times New Roman" w:eastAsia="SimSun"/>
          <w:b/>
          <w:bCs/>
          <w:color w:val="000000"/>
          <w:sz w:val="24"/>
          <w:szCs w:val="24"/>
        </w:rPr>
        <w:t xml:space="preserve">RNF-02 Performance</w:t>
      </w:r>
      <w:r>
        <w:rPr>
          <w:rFonts w:ascii="Times New Roman" w:eastAsia="SimSun"/>
          <w:color w:val="000000"/>
          <w:sz w:val="24"/>
          <w:szCs w:val="24"/>
        </w:rPr>
        <w:t xml:space="preserve"> : latence p95 de l'API inférieure à 500 ms sous 50 utilisateurs simultanés ; encaissement local hors ligne inférieur à 2 s par vente.</w:t>
      </w:r>
    </w:p>
    <w:p>
      <w:pPr>
        <w:pStyle w:val="ListParagraph"/>
        <w:numPr>
          <w:ilvl w:val="0"/>
          <w:numId w:val="1"/>
        </w:numPr>
        <w:spacing w:after="80" w:line="312"/>
        <w:jc w:val="left"/>
      </w:pPr>
      <w:r>
        <w:rPr>
          <w:rFonts w:ascii="Times New Roman" w:eastAsia="SimSun"/>
          <w:b/>
          <w:bCs/>
          <w:color w:val="000000"/>
          <w:sz w:val="24"/>
          <w:szCs w:val="24"/>
        </w:rPr>
        <w:t xml:space="preserve">RNF-03 Sauvegardes</w:t>
      </w:r>
      <w:r>
        <w:rPr>
          <w:rFonts w:ascii="Times New Roman" w:eastAsia="SimSun"/>
          <w:color w:val="000000"/>
          <w:sz w:val="24"/>
          <w:szCs w:val="24"/>
        </w:rPr>
        <w:t xml:space="preserve"> : sauvegarde chiffrée quotidienne de la base et des médias, rétention trente jours, restauration complète testée chaque mois avec consignation.</w:t>
      </w:r>
    </w:p>
    <w:p>
      <w:pPr>
        <w:pStyle w:val="ListParagraph"/>
        <w:numPr>
          <w:ilvl w:val="0"/>
          <w:numId w:val="1"/>
        </w:numPr>
        <w:spacing w:after="80" w:line="312"/>
        <w:jc w:val="left"/>
      </w:pPr>
      <w:r>
        <w:rPr>
          <w:rFonts w:ascii="Times New Roman" w:eastAsia="SimSun"/>
          <w:b/>
          <w:bCs/>
          <w:color w:val="000000"/>
          <w:sz w:val="24"/>
          <w:szCs w:val="24"/>
        </w:rPr>
        <w:t xml:space="preserve">RNF-04 Reprise</w:t>
      </w:r>
      <w:r>
        <w:rPr>
          <w:rFonts w:ascii="Times New Roman" w:eastAsia="SimSun"/>
          <w:color w:val="000000"/>
          <w:sz w:val="24"/>
          <w:szCs w:val="24"/>
        </w:rPr>
        <w:t xml:space="preserve"> : RPO de 24 heures et RTO de 4 heures sur perte totale de l'environnement de production.</w:t>
      </w:r>
    </w:p>
    <w:p>
      <w:pPr>
        <w:pStyle w:val="ListParagraph"/>
        <w:numPr>
          <w:ilvl w:val="0"/>
          <w:numId w:val="1"/>
        </w:numPr>
        <w:spacing w:after="80" w:line="312"/>
        <w:jc w:val="left"/>
      </w:pPr>
      <w:r>
        <w:rPr>
          <w:rFonts w:ascii="Times New Roman" w:eastAsia="SimSun"/>
          <w:b/>
          <w:bCs/>
          <w:color w:val="000000"/>
          <w:sz w:val="24"/>
          <w:szCs w:val="24"/>
        </w:rPr>
        <w:t xml:space="preserve">RNF-05 Supervision</w:t>
      </w:r>
      <w:r>
        <w:rPr>
          <w:rFonts w:ascii="Times New Roman" w:eastAsia="SimSun"/>
          <w:color w:val="000000"/>
          <w:sz w:val="24"/>
          <w:szCs w:val="24"/>
        </w:rPr>
        <w:t xml:space="preserve"> : suivi Sentry des erreurs, tableau Grafana des indicateurs (requêtes par minute, latence, taux de succès du matching IA, file Celery) avec alertes vers l'équipe technique.</w:t>
      </w:r>
    </w:p>
    <w:p>
      <w:pPr>
        <w:pStyle w:val="ListParagraph"/>
        <w:numPr>
          <w:ilvl w:val="0"/>
          <w:numId w:val="1"/>
        </w:numPr>
        <w:spacing w:after="80" w:line="312"/>
        <w:jc w:val="left"/>
      </w:pPr>
      <w:r>
        <w:rPr>
          <w:rFonts w:ascii="Times New Roman" w:eastAsia="SimSun"/>
          <w:b/>
          <w:bCs/>
          <w:color w:val="000000"/>
          <w:sz w:val="24"/>
          <w:szCs w:val="24"/>
        </w:rPr>
        <w:t xml:space="preserve">RNF-06 Sécurité</w:t>
      </w:r>
      <w:r>
        <w:rPr>
          <w:rFonts w:ascii="Times New Roman" w:eastAsia="SimSun"/>
          <w:color w:val="000000"/>
          <w:sz w:val="24"/>
          <w:szCs w:val="24"/>
        </w:rPr>
        <w:t xml:space="preserve"> : TLS obligatoire, secrets exclusivement en variables d'environnement, 2FA imposée Comptable et Gérant, journal d'audit immuable maintenu et vérifiable.</w:t>
      </w:r>
    </w:p>
    <w:p>
      <w:pPr>
        <w:pStyle w:val="ListParagraph"/>
        <w:numPr>
          <w:ilvl w:val="0"/>
          <w:numId w:val="1"/>
        </w:numPr>
        <w:spacing w:after="80" w:line="312"/>
        <w:jc w:val="left"/>
      </w:pPr>
      <w:r>
        <w:rPr>
          <w:rFonts w:ascii="Times New Roman" w:eastAsia="SimSun"/>
          <w:b/>
          <w:bCs/>
          <w:color w:val="000000"/>
          <w:sz w:val="24"/>
          <w:szCs w:val="24"/>
        </w:rPr>
        <w:t xml:space="preserve">RNF-07 Conformité données</w:t>
      </w:r>
      <w:r>
        <w:rPr>
          <w:rFonts w:ascii="Times New Roman" w:eastAsia="SimSun"/>
          <w:color w:val="000000"/>
          <w:sz w:val="24"/>
          <w:szCs w:val="24"/>
        </w:rPr>
        <w:t xml:space="preserve"> : rétention des textes bruts IA à 90 jours, droit à l'oubli, portabilité, conformité au référentiel RGPD et à la réglementation togolaise sur les données personnelles.</w:t>
      </w:r>
    </w:p>
    <w:p>
      <w:pPr>
        <w:pStyle w:val="ListParagraph"/>
        <w:numPr>
          <w:ilvl w:val="0"/>
          <w:numId w:val="1"/>
        </w:numPr>
        <w:spacing w:after="80" w:line="312"/>
        <w:jc w:val="left"/>
      </w:pPr>
      <w:r>
        <w:rPr>
          <w:rFonts w:ascii="Times New Roman" w:eastAsia="SimSun"/>
          <w:b/>
          <w:bCs/>
          <w:color w:val="000000"/>
          <w:sz w:val="24"/>
          <w:szCs w:val="24"/>
        </w:rPr>
        <w:t xml:space="preserve">RNF-08 Accessibilité</w:t>
      </w:r>
      <w:r>
        <w:rPr>
          <w:rFonts w:ascii="Times New Roman" w:eastAsia="SimSun"/>
          <w:color w:val="000000"/>
          <w:sz w:val="24"/>
          <w:szCs w:val="24"/>
        </w:rPr>
        <w:t xml:space="preserve"> : contraste et navigation clavier conformes WCAG 2.1 AA sur les écrans web ; lisibilité POS en ambiance de comptoir.</w:t>
      </w:r>
    </w:p>
    <w:p>
      <w:pPr>
        <w:pStyle w:val="ListParagraph"/>
        <w:numPr>
          <w:ilvl w:val="0"/>
          <w:numId w:val="1"/>
        </w:numPr>
        <w:spacing w:after="80" w:line="312"/>
        <w:jc w:val="left"/>
      </w:pPr>
      <w:r>
        <w:rPr>
          <w:rFonts w:ascii="Times New Roman" w:eastAsia="SimSun"/>
          <w:b/>
          <w:bCs/>
          <w:color w:val="000000"/>
          <w:sz w:val="24"/>
          <w:szCs w:val="24"/>
        </w:rPr>
        <w:t xml:space="preserve">RNF-09 Qualité</w:t>
      </w:r>
      <w:r>
        <w:rPr>
          <w:rFonts w:ascii="Times New Roman" w:eastAsia="SimSun"/>
          <w:color w:val="000000"/>
          <w:sz w:val="24"/>
          <w:szCs w:val="24"/>
        </w:rPr>
        <w:t xml:space="preserve"> : suite de régression backend et mobile au vert avant toute livraison ; couverture cible 80 % sur les modules POS et stock.</w:t>
      </w:r>
    </w:p>
    <w:p>
      <w:pPr>
        <w:pStyle w:val="ListParagraph"/>
        <w:numPr>
          <w:ilvl w:val="0"/>
          <w:numId w:val="1"/>
        </w:numPr>
        <w:spacing w:after="80" w:line="312"/>
        <w:jc w:val="left"/>
      </w:pPr>
      <w:r>
        <w:rPr>
          <w:rFonts w:ascii="Times New Roman" w:eastAsia="SimSun"/>
          <w:b/>
          <w:bCs/>
          <w:color w:val="000000"/>
          <w:sz w:val="24"/>
          <w:szCs w:val="24"/>
        </w:rPr>
        <w:t xml:space="preserve">RNF-10 Traçabilité IA</w:t>
      </w:r>
      <w:r>
        <w:rPr>
          <w:rFonts w:ascii="Times New Roman" w:eastAsia="SimSun"/>
          <w:color w:val="000000"/>
          <w:sz w:val="24"/>
          <w:szCs w:val="24"/>
        </w:rPr>
        <w:t xml:space="preserve"> : 100 % des décisions IA conservent texte brut, score de confiance et méthode d'appariement.</w:t>
      </w:r>
    </w:p>
    <w:p>
      <w:pPr>
        <w:pStyle w:val="Heading2"/>
        <w:spacing w:after="120" w:before="240" w:line="312"/>
      </w:pPr>
      <w:bookmarkStart w:id="100031" w:name="_Toc100031"/>
      <w:r>
        <w:rPr>
          <w:rFonts w:ascii="Times New Roman" w:eastAsia="SimHei"/>
          <w:b/>
          <w:bCs/>
          <w:color w:val="1A2330"/>
          <w:sz w:val="30"/>
          <w:szCs w:val="30"/>
        </w:rPr>
        <w:t xml:space="preserve">7.3 Environnements et chaîne de livraison</w:t>
      </w:r>
      <w:bookmarkEnd w:id="100031"/>
    </w:p>
    <w:p>
      <w:pPr>
        <w:spacing w:after="120" w:line="312"/>
        <w:jc w:val="left"/>
      </w:pPr>
      <w:r>
        <w:rPr>
          <w:rFonts w:ascii="Times New Roman" w:eastAsia="SimSun"/>
          <w:color w:val="000000"/>
          <w:sz w:val="24"/>
          <w:szCs w:val="24"/>
        </w:rPr>
        <w:t xml:space="preserve">Trois environnements sont maintenus : développement, staging alimenté par la branche principale et production. La chaîne CI/CD GitHub Actions existante est étendue : tests backend et mobile à chaque proposition de fusion, analyse statique, image Docker versionnée, déploiement staging automatique et déploiement production sur validation manuelle. L'hébergement de lancement reste la plateforme PaaS déjà outillée (Railway ou équivalent avec PostgreSQL managé), avec une trajectoire de migration documentée vers un VPS ou un cloud managé si le volume le justifie. Chaque mise en production s'accompagne d'un plan de retour arrière simple : restauration de l'image précédente et de la sauvegarde de base.</w:t>
      </w:r>
    </w:p>
    <w:p>
      <w:pPr>
        <w:pStyle w:val="Heading1"/>
        <w:spacing w:after="160" w:before="360" w:line="312"/>
        <w:jc w:val="center"/>
      </w:pPr>
      <w:bookmarkStart w:id="100032" w:name="_Toc100032"/>
      <w:r>
        <w:rPr>
          <w:rFonts w:ascii="Times New Roman" w:eastAsia="SimHei"/>
          <w:b/>
          <w:bCs/>
          <w:color w:val="1A2330"/>
          <w:sz w:val="32"/>
          <w:szCs w:val="32"/>
        </w:rPr>
        <w:t xml:space="preserve">8. Roadmap de mise en œuvre</w:t>
      </w:r>
      <w:bookmarkEnd w:id="100032"/>
    </w:p>
    <w:p>
      <w:pPr>
        <w:pStyle w:val="Heading2"/>
        <w:spacing w:after="120" w:before="240" w:line="312"/>
      </w:pPr>
      <w:bookmarkStart w:id="100033" w:name="_Toc100033"/>
      <w:r>
        <w:rPr>
          <w:rFonts w:ascii="Times New Roman" w:eastAsia="SimHei"/>
          <w:b/>
          <w:bCs/>
          <w:color w:val="1A2330"/>
          <w:sz w:val="30"/>
          <w:szCs w:val="30"/>
        </w:rPr>
        <w:t xml:space="preserve">8.1 Phasage général</w:t>
      </w:r>
      <w:bookmarkEnd w:id="100033"/>
    </w:p>
    <w:p>
      <w:pPr>
        <w:spacing w:after="120" w:line="312"/>
        <w:jc w:val="left"/>
      </w:pPr>
      <w:r>
        <w:rPr>
          <w:rFonts w:ascii="Times New Roman" w:eastAsia="SimSun"/>
          <w:color w:val="000000"/>
          <w:sz w:val="24"/>
          <w:szCs w:val="24"/>
        </w:rPr>
        <w:t xml:space="preserve">Le programme s'étend sur douze mois en trois phases et six lots, ordonnés par valeur et par dépendance technique. La </w:t>
      </w:r>
      <w:r>
        <w:rPr>
          <w:rFonts w:ascii="Times New Roman" w:eastAsia="SimSun"/>
          <w:b/>
          <w:bCs/>
          <w:color w:val="000000"/>
          <w:sz w:val="24"/>
          <w:szCs w:val="24"/>
        </w:rPr>
        <w:t xml:space="preserve">phase 1 (mois 1 à 4)</w:t>
      </w:r>
      <w:r>
        <w:rPr>
          <w:rFonts w:ascii="Times New Roman" w:eastAsia="SimSun"/>
          <w:color w:val="000000"/>
          <w:sz w:val="24"/>
          <w:szCs w:val="24"/>
        </w:rPr>
        <w:t xml:space="preserve"> traite le cœur de la demande : le lot 0 d'industrialisation (asynchrone, supervision, sauvegardes, 2FA imposée) et les lots 1 et 2 du POS (catalogue, vente, tickets, sessions et clôtures, stock minimal). La </w:t>
      </w:r>
      <w:r>
        <w:rPr>
          <w:rFonts w:ascii="Times New Roman" w:eastAsia="SimSun"/>
          <w:b/>
          <w:bCs/>
          <w:color w:val="000000"/>
          <w:sz w:val="24"/>
          <w:szCs w:val="24"/>
        </w:rPr>
        <w:t xml:space="preserve">phase 2 (mois 5 à 8)</w:t>
      </w:r>
      <w:r>
        <w:rPr>
          <w:rFonts w:ascii="Times New Roman" w:eastAsia="SimSun"/>
          <w:color w:val="000000"/>
          <w:sz w:val="24"/>
          <w:szCs w:val="24"/>
        </w:rPr>
        <w:t xml:space="preserve"> porte l'expérience au niveau terrain : POS mobile offline et outillage matériel (lot 3), puis multi-boutiques et multi-devise (lot 4) et notifications multicanales. La </w:t>
      </w:r>
      <w:r>
        <w:rPr>
          <w:rFonts w:ascii="Times New Roman" w:eastAsia="SimSun"/>
          <w:b/>
          <w:bCs/>
          <w:color w:val="000000"/>
          <w:sz w:val="24"/>
          <w:szCs w:val="24"/>
        </w:rPr>
        <w:t xml:space="preserve">phase 3 (mois 9 à 12)</w:t>
      </w:r>
      <w:r>
        <w:rPr>
          <w:rFonts w:ascii="Times New Roman" w:eastAsia="SimSun"/>
          <w:color w:val="000000"/>
          <w:sz w:val="24"/>
          <w:szCs w:val="24"/>
        </w:rPr>
        <w:t xml:space="preserve"> finalise la conformité et l'ouverture : exports SYSCOHADA complets, analytics avancé, API publique en version bêta (lot 5). Chaque phase se termine par une mise en production validée et une formation des utilisateurs pilotes.</w:t>
      </w:r>
    </w:p>
    <w:p>
      <w:pPr>
        <w:keepNext/>
        <w:spacing w:after="80" w:before="160" w:line="312"/>
        <w:jc w:val="left"/>
      </w:pPr>
      <w:r>
        <w:rPr>
          <w:rFonts w:ascii="Times New Roman" w:eastAsia="SimSun"/>
          <w:b/>
          <w:bCs/>
          <w:color w:val="1A2330"/>
          <w:sz w:val="21"/>
          <w:szCs w:val="21"/>
        </w:rPr>
        <w:t xml:space="preserve">Figure 1 : effort estimé par lot fonctionnel (estimation indicative, en jours-homme)</w:t>
      </w:r>
    </w:p>
    <w:p>
      <w:pPr>
        <w:spacing w:after="40" w:before="8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pStyle w:val="Heading2"/>
        <w:spacing w:after="120" w:before="240" w:line="312"/>
      </w:pPr>
      <w:bookmarkStart w:id="100034" w:name="_Toc100034"/>
      <w:r>
        <w:rPr>
          <w:rFonts w:ascii="Times New Roman" w:eastAsia="SimHei"/>
          <w:b/>
          <w:bCs/>
          <w:color w:val="1A2330"/>
          <w:sz w:val="30"/>
          <w:szCs w:val="30"/>
        </w:rPr>
        <w:t xml:space="preserve">8.2 Jalons et critères de sortie</w:t>
      </w:r>
      <w:bookmarkEnd w:id="100034"/>
    </w:p>
    <w:p>
      <w:pPr>
        <w:keepNext/>
        <w:spacing w:after="80" w:before="160" w:line="312"/>
        <w:jc w:val="left"/>
      </w:pPr>
      <w:r>
        <w:rPr>
          <w:rFonts w:ascii="Times New Roman" w:eastAsia="SimSun"/>
          <w:b/>
          <w:bCs/>
          <w:color w:val="1A2330"/>
          <w:sz w:val="21"/>
          <w:szCs w:val="21"/>
        </w:rPr>
        <w:t xml:space="preserve">Tableau 4 : jalons de validation du programme</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20%"/>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Jalon</w:t>
            </w:r>
          </w:p>
        </w:tc>
        <w:tc>
          <w:tcPr>
            <w:tcW w:type="pct" w:w="10%"/>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Échéance</w:t>
            </w:r>
          </w:p>
        </w:tc>
        <w:tc>
          <w:tcPr>
            <w:tcW w:type="pct" w:w="36%"/>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Contenu livré</w:t>
            </w:r>
          </w:p>
        </w:tc>
        <w:tc>
          <w:tcPr>
            <w:tcW w:type="pct" w:w="34%"/>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Critères de sortie</w:t>
            </w:r>
          </w:p>
        </w:tc>
      </w:tr>
      <w:tr>
        <w:trPr>
          <w:cantSplit/>
        </w:trPr>
        <w:tc>
          <w:tcPr>
            <w:tcW w:type="pct" w:w="2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J1 — POS cœur en staging</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Fin M2</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Catalogue, écran de vente, tickets, sessions de caisse (lots 0-1 en staging)</w:t>
            </w:r>
          </w:p>
        </w:tc>
        <w:tc>
          <w:tcPr>
            <w:tcW w:type="pct" w:w="3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Parcours PC1 complet sans blocage ; tests POS au vert ; démo gérants pilotes</w:t>
            </w:r>
          </w:p>
        </w:tc>
      </w:tr>
      <w:tr>
        <w:trPr>
          <w:cantSplit/>
        </w:trPr>
        <w:tc>
          <w:tcPr>
            <w:tcW w:type="pct" w:w="2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J2 — Pilote réel</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Fin M4</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Clôtures anti-fraude, stock minimal, supervision, sauvegardes (lot 2)</w:t>
            </w:r>
          </w:p>
        </w:tc>
        <w:tc>
          <w:tcPr>
            <w:tcW w:type="pct" w:w="3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 PME pilotes encaissent en conditions réelles pendant 2 semaines ; RNF-01 à RNF-04 mesurés</w:t>
            </w:r>
          </w:p>
        </w:tc>
      </w:tr>
      <w:tr>
        <w:trPr>
          <w:cantSplit/>
        </w:trPr>
        <w:tc>
          <w:tcPr>
            <w:tcW w:type="pct" w:w="2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J3 — Terrain complet</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Fin M8</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 mobile offline, matériel certifié, multi-boutiques, multi-devise, WhatsApp (lots 3-4)</w:t>
            </w:r>
          </w:p>
        </w:tc>
        <w:tc>
          <w:tcPr>
            <w:tcW w:type="pct" w:w="3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Une boutique multi-caisses opère 1 mois sans incident bloquant ; ventes hors ligne rejouées sans doublon</w:t>
            </w:r>
          </w:p>
        </w:tc>
      </w:tr>
      <w:tr>
        <w:trPr>
          <w:cantSplit/>
        </w:trPr>
        <w:tc>
          <w:tcPr>
            <w:tcW w:type="pct" w:w="2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J4 — Disponibilité générale</w:t>
            </w:r>
          </w:p>
        </w:tc>
        <w:tc>
          <w:tcPr>
            <w:tcW w:type="pct" w:w="1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Fin M12</w:t>
            </w:r>
          </w:p>
        </w:tc>
        <w:tc>
          <w:tcPr>
            <w:tcW w:type="pct" w:w="3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SYSCOHADA complet, analytics, API publique bêta (lot 5)</w:t>
            </w:r>
          </w:p>
        </w:tc>
        <w:tc>
          <w:tcPr>
            <w:tcW w:type="pct" w:w="3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Exports validés par un expert-comptable partenaire ; documentation exploitation complète</w:t>
            </w:r>
          </w:p>
        </w:tc>
      </w:tr>
    </w:tbl>
    <w:p>
      <w:pPr>
        <w:pStyle w:val="Heading2"/>
        <w:spacing w:after="120" w:before="240" w:line="312"/>
      </w:pPr>
      <w:bookmarkStart w:id="100035" w:name="_Toc100035"/>
      <w:r>
        <w:rPr>
          <w:rFonts w:ascii="Times New Roman" w:eastAsia="SimHei"/>
          <w:b/>
          <w:bCs/>
          <w:color w:val="1A2330"/>
          <w:sz w:val="30"/>
          <w:szCs w:val="30"/>
        </w:rPr>
        <w:t xml:space="preserve">8.3 Gestion des changements</w:t>
      </w:r>
      <w:bookmarkEnd w:id="100035"/>
    </w:p>
    <w:p>
      <w:pPr>
        <w:spacing w:after="120" w:line="312"/>
        <w:jc w:val="left"/>
      </w:pPr>
      <w:r>
        <w:rPr>
          <w:rFonts w:ascii="Times New Roman" w:eastAsia="SimSun"/>
          <w:color w:val="000000"/>
          <w:sz w:val="24"/>
          <w:szCs w:val="24"/>
        </w:rPr>
        <w:t xml:space="preserve">Le périmètre de chaque lot est gelé à son démarrage ; toute demande d'évolution est instruite par le comité de pilotage mensuel et arbitrée en impact-coût-délai, les urgences de sécurité et de conformité faisant seules exception. Les livraisons suivent une définition de done uniforme : fonctionnalité testée (backend, mobile, bout en bout), revue de code validée, documentation utilisateur et technique à jour, migration de données réversible lorsque nécessaire. Une communication produit bimestrielle informe les PME pilotes des nouveautés et collecte leurs retours structurés.</w:t>
      </w:r>
    </w:p>
    <w:p>
      <w:pPr>
        <w:pStyle w:val="Heading1"/>
        <w:spacing w:after="160" w:before="360" w:line="312"/>
        <w:jc w:val="center"/>
      </w:pPr>
      <w:bookmarkStart w:id="100036" w:name="_Toc100036"/>
      <w:r>
        <w:rPr>
          <w:rFonts w:ascii="Times New Roman" w:eastAsia="SimHei"/>
          <w:b/>
          <w:bCs/>
          <w:color w:val="1A2330"/>
          <w:sz w:val="32"/>
          <w:szCs w:val="32"/>
        </w:rPr>
        <w:t xml:space="preserve">9. Ressources, organisation et budget</w:t>
      </w:r>
      <w:bookmarkEnd w:id="100036"/>
    </w:p>
    <w:p>
      <w:pPr>
        <w:pStyle w:val="Heading2"/>
        <w:spacing w:after="120" w:before="240" w:line="312"/>
      </w:pPr>
      <w:bookmarkStart w:id="100037" w:name="_Toc100037"/>
      <w:r>
        <w:rPr>
          <w:rFonts w:ascii="Times New Roman" w:eastAsia="SimHei"/>
          <w:b/>
          <w:bCs/>
          <w:color w:val="1A2330"/>
          <w:sz w:val="30"/>
          <w:szCs w:val="30"/>
        </w:rPr>
        <w:t xml:space="preserve">9.1 Équipe et effort estimé</w:t>
      </w:r>
      <w:bookmarkEnd w:id="100037"/>
    </w:p>
    <w:p>
      <w:pPr>
        <w:spacing w:after="120" w:line="312"/>
        <w:jc w:val="left"/>
      </w:pPr>
      <w:r>
        <w:rPr>
          <w:rFonts w:ascii="Times New Roman" w:eastAsia="SimSun"/>
          <w:color w:val="000000"/>
          <w:sz w:val="24"/>
          <w:szCs w:val="24"/>
        </w:rPr>
        <w:t xml:space="preserve">L'équipe de réalisation cible comprend un </w:t>
      </w:r>
      <w:r>
        <w:rPr>
          <w:rFonts w:ascii="Times New Roman" w:eastAsia="SimSun"/>
          <w:b/>
          <w:bCs/>
          <w:color w:val="000000"/>
          <w:sz w:val="24"/>
          <w:szCs w:val="24"/>
        </w:rPr>
        <w:t xml:space="preserve">développeur backend Django senior</w:t>
      </w:r>
      <w:r>
        <w:rPr>
          <w:rFonts w:ascii="Times New Roman" w:eastAsia="SimSun"/>
          <w:color w:val="000000"/>
          <w:sz w:val="24"/>
          <w:szCs w:val="24"/>
        </w:rPr>
        <w:t xml:space="preserve"> (architecture POS, passerelles, conformité), un </w:t>
      </w:r>
      <w:r>
        <w:rPr>
          <w:rFonts w:ascii="Times New Roman" w:eastAsia="SimSun"/>
          <w:b/>
          <w:bCs/>
          <w:color w:val="000000"/>
          <w:sz w:val="24"/>
          <w:szCs w:val="24"/>
        </w:rPr>
        <w:t xml:space="preserve">développeur mobile Flutter</w:t>
      </w:r>
      <w:r>
        <w:rPr>
          <w:rFonts w:ascii="Times New Roman" w:eastAsia="SimSun"/>
          <w:color w:val="000000"/>
          <w:sz w:val="24"/>
          <w:szCs w:val="24"/>
        </w:rPr>
        <w:t xml:space="preserve"> (application POS, offline, matériel), un </w:t>
      </w:r>
      <w:r>
        <w:rPr>
          <w:rFonts w:ascii="Times New Roman" w:eastAsia="SimSun"/>
          <w:b/>
          <w:bCs/>
          <w:color w:val="000000"/>
          <w:sz w:val="24"/>
          <w:szCs w:val="24"/>
        </w:rPr>
        <w:t xml:space="preserve">développeur web front-end</w:t>
      </w:r>
      <w:r>
        <w:rPr>
          <w:rFonts w:ascii="Times New Roman" w:eastAsia="SimSun"/>
          <w:color w:val="000000"/>
          <w:sz w:val="24"/>
          <w:szCs w:val="24"/>
        </w:rPr>
        <w:t xml:space="preserve"> (écrans d'administration, dashboards, exports) et un profil </w:t>
      </w:r>
      <w:r>
        <w:rPr>
          <w:rFonts w:ascii="Times New Roman" w:eastAsia="SimSun"/>
          <w:b/>
          <w:bCs/>
          <w:color w:val="000000"/>
          <w:sz w:val="24"/>
          <w:szCs w:val="24"/>
        </w:rPr>
        <w:t xml:space="preserve">qualité et DevOps</w:t>
      </w:r>
      <w:r>
        <w:rPr>
          <w:rFonts w:ascii="Times New Roman" w:eastAsia="SimSun"/>
          <w:color w:val="000000"/>
          <w:sz w:val="24"/>
          <w:szCs w:val="24"/>
        </w:rPr>
        <w:t xml:space="preserve"> partagé (tests de bout en bout, CI/CD, supervision, sauvegardes), sous la coordination d'un </w:t>
      </w:r>
      <w:r>
        <w:rPr>
          <w:rFonts w:ascii="Times New Roman" w:eastAsia="SimSun"/>
          <w:b/>
          <w:bCs/>
          <w:color w:val="000000"/>
          <w:sz w:val="24"/>
          <w:szCs w:val="24"/>
        </w:rPr>
        <w:t xml:space="preserve">chef de projet à temps partiel</w:t>
      </w:r>
      <w:r>
        <w:rPr>
          <w:rFonts w:ascii="Times New Roman" w:eastAsia="SimSun"/>
          <w:color w:val="000000"/>
          <w:sz w:val="24"/>
          <w:szCs w:val="24"/>
        </w:rPr>
        <w:t xml:space="preserve">. L'effort total estimé s'établit à environ 140 jours-homme, avec une incertitude de plus ou moins 20 % absorbée par le fonds de réserve de capacité ; la répartition par lot est présentée à la figure 1. Les profils existants de l'équipe hackathon couvrent l'essentiel de ces rôles, complétés au besoin par un renfort front-end en phase 2.</w:t>
      </w:r>
    </w:p>
    <w:p>
      <w:pPr>
        <w:pStyle w:val="Heading2"/>
        <w:spacing w:after="120" w:before="240" w:line="312"/>
      </w:pPr>
      <w:bookmarkStart w:id="100038" w:name="_Toc100038"/>
      <w:r>
        <w:rPr>
          <w:rFonts w:ascii="Times New Roman" w:eastAsia="SimHei"/>
          <w:b/>
          <w:bCs/>
          <w:color w:val="1A2330"/>
          <w:sz w:val="30"/>
          <w:szCs w:val="30"/>
        </w:rPr>
        <w:t xml:space="preserve">9.2 Organisation projet</w:t>
      </w:r>
      <w:bookmarkEnd w:id="100038"/>
    </w:p>
    <w:p>
      <w:pPr>
        <w:spacing w:after="120" w:line="312"/>
        <w:jc w:val="left"/>
      </w:pPr>
      <w:r>
        <w:rPr>
          <w:rFonts w:ascii="Times New Roman" w:eastAsia="SimSun"/>
          <w:color w:val="000000"/>
          <w:sz w:val="24"/>
          <w:szCs w:val="24"/>
        </w:rPr>
        <w:t xml:space="preserve">Le fonctionnement adopte des </w:t>
      </w:r>
      <w:r>
        <w:rPr>
          <w:rFonts w:ascii="Times New Roman" w:eastAsia="SimSun"/>
          <w:b/>
          <w:bCs/>
          <w:color w:val="000000"/>
          <w:sz w:val="24"/>
          <w:szCs w:val="24"/>
        </w:rPr>
        <w:t xml:space="preserve">sprints de deux semaines</w:t>
      </w:r>
      <w:r>
        <w:rPr>
          <w:rFonts w:ascii="Times New Roman" w:eastAsia="SimSun"/>
          <w:color w:val="000000"/>
          <w:sz w:val="24"/>
          <w:szCs w:val="24"/>
        </w:rPr>
        <w:t xml:space="preserve"> avec planification, revue de démonstration et rétrospective. Chaque livraison passe par la chaîne CI/CD vers staging ; la promotion en production est validée par le chef de projet et le développeur backend sur vérification des critères de sortie. Le comité de pilotage mensuel — gérant produit, chef de projet, représentant des PME pilotes — arbitre les évolutions et valide les jalons. La documentation d'exploitation (runbook, plan de sauvegarde et de restauration, procédure de retour arrière) est tenue à jour comme un livrable de premier rang, au même titre que le code.</w:t>
      </w:r>
    </w:p>
    <w:p>
      <w:pPr>
        <w:pStyle w:val="Heading2"/>
        <w:spacing w:after="120" w:before="240" w:line="312"/>
      </w:pPr>
      <w:bookmarkStart w:id="100039" w:name="_Toc100039"/>
      <w:r>
        <w:rPr>
          <w:rFonts w:ascii="Times New Roman" w:eastAsia="SimHei"/>
          <w:b/>
          <w:bCs/>
          <w:color w:val="1A2330"/>
          <w:sz w:val="30"/>
          <w:szCs w:val="30"/>
        </w:rPr>
        <w:t xml:space="preserve">9.3 Budget et coûts associés</w:t>
      </w:r>
      <w:bookmarkEnd w:id="100039"/>
    </w:p>
    <w:p>
      <w:pPr>
        <w:spacing w:after="120" w:line="312"/>
        <w:jc w:val="left"/>
      </w:pPr>
      <w:r>
        <w:rPr>
          <w:rFonts w:ascii="Times New Roman" w:eastAsia="SimSun"/>
          <w:color w:val="000000"/>
          <w:sz w:val="24"/>
          <w:szCs w:val="24"/>
        </w:rPr>
        <w:t xml:space="preserve">La stack logicielle reste open source (Django, PostgreSQL, Redis, Flutter) : aucune licence logicielle obligatoire n'est requise. Les postes de coût à chiffrer en phase de préparation sont les suivants : </w:t>
      </w:r>
      <w:r>
        <w:rPr>
          <w:rFonts w:ascii="Times New Roman" w:eastAsia="SimSun"/>
          <w:b/>
          <w:bCs/>
          <w:color w:val="000000"/>
          <w:sz w:val="24"/>
          <w:szCs w:val="24"/>
        </w:rPr>
        <w:t xml:space="preserve">infrastructure d'hébergement</w:t>
      </w:r>
      <w:r>
        <w:rPr>
          <w:rFonts w:ascii="Times New Roman" w:eastAsia="SimSun"/>
          <w:color w:val="000000"/>
          <w:sz w:val="24"/>
          <w:szCs w:val="24"/>
        </w:rPr>
        <w:t xml:space="preserve"> (PaaS avec PostgreSQL managé, stockage objet, Sentry), </w:t>
      </w:r>
      <w:r>
        <w:rPr>
          <w:rFonts w:ascii="Times New Roman" w:eastAsia="SimSun"/>
          <w:b/>
          <w:bCs/>
          <w:color w:val="000000"/>
          <w:sz w:val="24"/>
          <w:szCs w:val="24"/>
        </w:rPr>
        <w:t xml:space="preserve">redevances opérateurs et agrégateurs</w:t>
      </w:r>
      <w:r>
        <w:rPr>
          <w:rFonts w:ascii="Times New Roman" w:eastAsia="SimSun"/>
          <w:color w:val="000000"/>
          <w:sz w:val="24"/>
          <w:szCs w:val="24"/>
        </w:rPr>
        <w:t xml:space="preserve"> pour la collecte Mobile Money en production (accords commerciaux à instruire avec T-Money, Moov, Flooz et un agrégateur type CinetPay), </w:t>
      </w:r>
      <w:r>
        <w:rPr>
          <w:rFonts w:ascii="Times New Roman" w:eastAsia="SimSun"/>
          <w:b/>
          <w:bCs/>
          <w:color w:val="000000"/>
          <w:sz w:val="24"/>
          <w:szCs w:val="24"/>
        </w:rPr>
        <w:t xml:space="preserve">matériel POS des pilotes</w:t>
      </w:r>
      <w:r>
        <w:rPr>
          <w:rFonts w:ascii="Times New Roman" w:eastAsia="SimSun"/>
          <w:color w:val="000000"/>
          <w:sz w:val="24"/>
          <w:szCs w:val="24"/>
        </w:rPr>
        <w:t xml:space="preserve"> (tablettes, imprimantes thermiques, tiroirs-caisses, lecteurs), </w:t>
      </w:r>
      <w:r>
        <w:rPr>
          <w:rFonts w:ascii="Times New Roman" w:eastAsia="SimSun"/>
          <w:b/>
          <w:bCs/>
          <w:color w:val="000000"/>
          <w:sz w:val="24"/>
          <w:szCs w:val="24"/>
        </w:rPr>
        <w:t xml:space="preserve">clés d'API d'intelligence artificielle</w:t>
      </w:r>
      <w:r>
        <w:rPr>
          <w:rFonts w:ascii="Times New Roman" w:eastAsia="SimSun"/>
          <w:color w:val="000000"/>
          <w:sz w:val="24"/>
          <w:szCs w:val="24"/>
        </w:rPr>
        <w:t xml:space="preserve"> (LLM vision et texte) et </w:t>
      </w:r>
      <w:r>
        <w:rPr>
          <w:rFonts w:ascii="Times New Roman" w:eastAsia="SimSun"/>
          <w:b/>
          <w:bCs/>
          <w:color w:val="000000"/>
          <w:sz w:val="24"/>
          <w:szCs w:val="24"/>
        </w:rPr>
        <w:t xml:space="preserve">formation des utilisateurs pilotes</w:t>
      </w:r>
      <w:r>
        <w:rPr>
          <w:rFonts w:ascii="Times New Roman" w:eastAsia="SimSun"/>
          <w:color w:val="000000"/>
          <w:sz w:val="24"/>
          <w:szCs w:val="24"/>
        </w:rPr>
        <w:t xml:space="preserve">. Montants : 【à chiffrer par le comité de pilotage sur la base des devis fournisseurs】. Le modèle de revenus envisagé — abonnement mensuel par entreprise et par boutique, Palier POS inclus — sera calibré sur ces coûts réels en phase 2.</w:t>
      </w:r>
    </w:p>
    <w:p>
      <w:pPr>
        <w:pStyle w:val="Heading1"/>
        <w:spacing w:after="160" w:before="360" w:line="312"/>
        <w:jc w:val="center"/>
      </w:pPr>
      <w:bookmarkStart w:id="100040" w:name="_Toc100040"/>
      <w:r>
        <w:rPr>
          <w:rFonts w:ascii="Times New Roman" w:eastAsia="SimHei"/>
          <w:b/>
          <w:bCs/>
          <w:color w:val="1A2330"/>
          <w:sz w:val="32"/>
          <w:szCs w:val="32"/>
        </w:rPr>
        <w:t xml:space="preserve">10. Risques et mitigation</w:t>
      </w:r>
      <w:bookmarkEnd w:id="100040"/>
    </w:p>
    <w:p>
      <w:pPr>
        <w:spacing w:after="120" w:line="312"/>
        <w:jc w:val="left"/>
      </w:pPr>
      <w:r>
        <w:rPr>
          <w:rFonts w:ascii="Times New Roman" w:eastAsia="SimSun"/>
          <w:color w:val="000000"/>
          <w:sz w:val="24"/>
          <w:szCs w:val="24"/>
        </w:rPr>
        <w:t xml:space="preserve">Les risques majeurs ont été identifiés dès la conception et portent chacun une action de réduction explicite, sous la responsabilité du chef de projet avec revue trimestrielle. Le tableau suivant les classe par sévérité attendue ; tout risque materialisé déclenche une fiche d'incident et une révision du plan.</w:t>
      </w:r>
    </w:p>
    <w:p>
      <w:pPr>
        <w:keepNext/>
        <w:spacing w:after="80" w:before="160" w:line="312"/>
        <w:jc w:val="left"/>
      </w:pPr>
      <w:r>
        <w:rPr>
          <w:rFonts w:ascii="Times New Roman" w:eastAsia="SimSun"/>
          <w:b/>
          <w:bCs/>
          <w:color w:val="1A2330"/>
          <w:sz w:val="21"/>
          <w:szCs w:val="21"/>
        </w:rPr>
        <w:t xml:space="preserve">Tableau 5 : registre des risques principaux</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34%"/>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Risque</w:t>
            </w:r>
          </w:p>
        </w:tc>
        <w:tc>
          <w:tcPr>
            <w:tcW w:type="pct" w:w="9%"/>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Prob.</w:t>
            </w:r>
          </w:p>
        </w:tc>
        <w:tc>
          <w:tcPr>
            <w:tcW w:type="pct" w:w="9%"/>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Impact</w:t>
            </w:r>
          </w:p>
        </w:tc>
        <w:tc>
          <w:tcPr>
            <w:tcW w:type="pct" w:w="48%"/>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Mitigation</w:t>
            </w:r>
          </w:p>
        </w:tc>
      </w:tr>
      <w:tr>
        <w:trPr>
          <w:cantSplit/>
        </w:trPr>
        <w:tc>
          <w:tcPr>
            <w:tcW w:type="pct" w:w="3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Hétérogénéité des imprimantes et lecteurs ESC/POS du terrain</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Élevée</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Moyen</w:t>
            </w:r>
          </w:p>
        </w:tc>
        <w:tc>
          <w:tcPr>
            <w:tcW w:type="pct" w:w="4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Liste de matériel certifié en phase pilote ; couche d'abstraction d'impression ; repli PDF/WhatsApp</w:t>
            </w:r>
          </w:p>
        </w:tc>
      </w:tr>
      <w:tr>
        <w:trPr>
          <w:cantSplit/>
        </w:trPr>
        <w:tc>
          <w:tcPr>
            <w:tcW w:type="pct" w:w="3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Conflits de synchronisation offline (ventes rejouées, stocks)</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Moyenne</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Élevé</w:t>
            </w:r>
          </w:p>
        </w:tc>
        <w:tc>
          <w:tcPr>
            <w:tcW w:type="pct" w:w="4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Identifiant unique de vente idempotent ; file chiffrée éprouvée ; résolution côté serveur et tests de charge sync</w:t>
            </w:r>
          </w:p>
        </w:tc>
      </w:tr>
      <w:tr>
        <w:trPr>
          <w:cantSplit/>
        </w:trPr>
        <w:tc>
          <w:tcPr>
            <w:tcW w:type="pct" w:w="3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Adoption insuffisante par les vendeurs (résistance, formation)</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Moyenne</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Élevé</w:t>
            </w:r>
          </w:p>
        </w:tc>
        <w:tc>
          <w:tcPr>
            <w:tcW w:type="pct" w:w="4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Interface à deux gestes, formation d'une demi-journée, période en parallèle du cahier manuel, référent PME pilote</w:t>
            </w:r>
          </w:p>
        </w:tc>
      </w:tr>
      <w:tr>
        <w:trPr>
          <w:cantSplit/>
        </w:trPr>
        <w:tc>
          <w:tcPr>
            <w:tcW w:type="pct" w:w="3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Dépendance aux passerelles opérateurs (accréditations lentes)</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Élevée</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Moyen</w:t>
            </w:r>
          </w:p>
        </w:tc>
        <w:tc>
          <w:tcPr>
            <w:tcW w:type="pct" w:w="4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Mode sandbox déterministe déjà opérationnel ; agrégateur alternatif CinetPay/Flutterwave ; saisie manuelle de repli</w:t>
            </w:r>
          </w:p>
        </w:tc>
      </w:tr>
      <w:tr>
        <w:trPr>
          <w:cantSplit/>
        </w:trPr>
        <w:tc>
          <w:tcPr>
            <w:tcW w:type="pct" w:w="3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Pics de charge fin de mois (clôtures, reporting)</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Moyenne</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Moyen</w:t>
            </w:r>
          </w:p>
        </w:tc>
        <w:tc>
          <w:tcPr>
            <w:tcW w:type="pct" w:w="4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Traitement asynchrone Celery, précalcul des KPIs, tests de charge à 50 utilisateurs simultanés</w:t>
            </w:r>
          </w:p>
        </w:tc>
      </w:tr>
      <w:tr>
        <w:trPr>
          <w:cantSplit/>
        </w:trPr>
        <w:tc>
          <w:tcPr>
            <w:tcW w:type="pct" w:w="3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Fuite ou perte de données de caisse</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Faible</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Élevé</w:t>
            </w:r>
          </w:p>
        </w:tc>
        <w:tc>
          <w:tcPr>
            <w:tcW w:type="pct" w:w="4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Chiffrement des médias et sauvegardes, RBAC strict, audit immuable, exercice mensuel de restauration</w:t>
            </w:r>
          </w:p>
        </w:tc>
      </w:tr>
      <w:tr>
        <w:trPr>
          <w:cantSplit/>
        </w:trPr>
        <w:tc>
          <w:tcPr>
            <w:tcW w:type="pct" w:w="3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Dérive du périmètre (demandes pilotes)</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Élevée</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Moyen</w:t>
            </w:r>
          </w:p>
        </w:tc>
        <w:tc>
          <w:tcPr>
            <w:tcW w:type="pct" w:w="4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Gel de lot, comité mensuel, backlog Could formalisé, fonds de réserve de capacité</w:t>
            </w:r>
          </w:p>
        </w:tc>
      </w:tr>
      <w:tr>
        <w:trPr>
          <w:cantSplit/>
        </w:trPr>
        <w:tc>
          <w:tcPr>
            <w:tcW w:type="pct" w:w="34%"/>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Indisponibilité des clés d'API LLM (coût, quotas)</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Moyenne</w:t>
            </w:r>
          </w:p>
        </w:tc>
        <w:tc>
          <w:tcPr>
            <w:tcW w:type="pct" w:w="9%"/>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Faible</w:t>
            </w:r>
          </w:p>
        </w:tc>
        <w:tc>
          <w:tcPr>
            <w:tcW w:type="pct" w:w="4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Chaîne de dégradation à 3 niveaux déjà en place : LLM, OCR local, parseur déterministe</w:t>
            </w:r>
          </w:p>
        </w:tc>
      </w:tr>
    </w:tbl>
    <w:p>
      <w:pPr>
        <w:pStyle w:val="Heading1"/>
        <w:spacing w:after="160" w:before="360" w:line="312"/>
        <w:jc w:val="center"/>
      </w:pPr>
      <w:bookmarkStart w:id="100041" w:name="_Toc100041"/>
      <w:r>
        <w:rPr>
          <w:rFonts w:ascii="Times New Roman" w:eastAsia="SimHei"/>
          <w:b/>
          <w:bCs/>
          <w:color w:val="1A2330"/>
          <w:sz w:val="32"/>
          <w:szCs w:val="32"/>
        </w:rPr>
        <w:t xml:space="preserve">11. Bénéfices attendus et indicateurs de succès</w:t>
      </w:r>
      <w:bookmarkEnd w:id="100041"/>
    </w:p>
    <w:p>
      <w:pPr>
        <w:pStyle w:val="Heading2"/>
        <w:spacing w:after="120" w:before="240" w:line="312"/>
      </w:pPr>
      <w:bookmarkStart w:id="100042" w:name="_Toc100042"/>
      <w:r>
        <w:rPr>
          <w:rFonts w:ascii="Times New Roman" w:eastAsia="SimHei"/>
          <w:b/>
          <w:bCs/>
          <w:color w:val="1A2330"/>
          <w:sz w:val="30"/>
          <w:szCs w:val="30"/>
        </w:rPr>
        <w:t xml:space="preserve">11.1 Bénéfices par partie prenante</w:t>
      </w:r>
      <w:bookmarkEnd w:id="100042"/>
    </w:p>
    <w:p>
      <w:pPr>
        <w:spacing w:after="120" w:line="312"/>
        <w:jc w:val="left"/>
      </w:pPr>
      <w:r>
        <w:rPr>
          <w:rFonts w:ascii="Times New Roman" w:eastAsia="SimSun"/>
          <w:color w:val="000000"/>
          <w:sz w:val="24"/>
          <w:szCs w:val="24"/>
        </w:rPr>
        <w:t xml:space="preserve">Pour le </w:t>
      </w:r>
      <w:r>
        <w:rPr>
          <w:rFonts w:ascii="Times New Roman" w:eastAsia="SimSun"/>
          <w:b/>
          <w:bCs/>
          <w:color w:val="000000"/>
          <w:sz w:val="24"/>
          <w:szCs w:val="24"/>
        </w:rPr>
        <w:t xml:space="preserve">gérant</w:t>
      </w:r>
      <w:r>
        <w:rPr>
          <w:rFonts w:ascii="Times New Roman" w:eastAsia="SimSun"/>
          <w:color w:val="000000"/>
          <w:sz w:val="24"/>
          <w:szCs w:val="24"/>
        </w:rPr>
        <w:t xml:space="preserve">, la plateforme apporte la maîtrise du comptoir : chaque vente est sécurisée à la source, les écarts de caisse sont détectés le jour même, la trésorerie consolidée des boutiques est visible en temps réel et les alertes de tension conservent leur avance de dix-huit jours. Pour le </w:t>
      </w:r>
      <w:r>
        <w:rPr>
          <w:rFonts w:ascii="Times New Roman" w:eastAsia="SimSun"/>
          <w:b/>
          <w:bCs/>
          <w:color w:val="000000"/>
          <w:sz w:val="24"/>
          <w:szCs w:val="24"/>
        </w:rPr>
        <w:t xml:space="preserve">comptable</w:t>
      </w:r>
      <w:r>
        <w:rPr>
          <w:rFonts w:ascii="Times New Roman" w:eastAsia="SimSun"/>
          <w:color w:val="000000"/>
          <w:sz w:val="24"/>
          <w:szCs w:val="24"/>
        </w:rPr>
        <w:t xml:space="preserve">, la charge de réconciliation s'effondre : les paiements sont appariés automatiquement, le rapprochement bancaire reste intégré et les livrables SYSCOHADA sortent prêts pour l'expert-comptable. Pour le </w:t>
      </w:r>
      <w:r>
        <w:rPr>
          <w:rFonts w:ascii="Times New Roman" w:eastAsia="SimSun"/>
          <w:b/>
          <w:bCs/>
          <w:color w:val="000000"/>
          <w:sz w:val="24"/>
          <w:szCs w:val="24"/>
        </w:rPr>
        <w:t xml:space="preserve">vendeur</w:t>
      </w:r>
      <w:r>
        <w:rPr>
          <w:rFonts w:ascii="Times New Roman" w:eastAsia="SimSun"/>
          <w:color w:val="000000"/>
          <w:sz w:val="24"/>
          <w:szCs w:val="24"/>
        </w:rPr>
        <w:t xml:space="preserve">, l'encaissement devient plus rapide et moins risqué que le cahier manuel, avec un ticket systématique et une clôture simplifiée. Pour la </w:t>
      </w:r>
      <w:r>
        <w:rPr>
          <w:rFonts w:ascii="Times New Roman" w:eastAsia="SimSun"/>
          <w:b/>
          <w:bCs/>
          <w:color w:val="000000"/>
          <w:sz w:val="24"/>
          <w:szCs w:val="24"/>
        </w:rPr>
        <w:t xml:space="preserve">PME cliente</w:t>
      </w:r>
      <w:r>
        <w:rPr>
          <w:rFonts w:ascii="Times New Roman" w:eastAsia="SimSun"/>
          <w:color w:val="000000"/>
          <w:sz w:val="24"/>
          <w:szCs w:val="24"/>
        </w:rPr>
        <w:t xml:space="preserve"> enfin, MoneXa outille la formalisation : pièces justificatives propres, TVA tracée, historique client et fiabilité mesurée — autant d'arguments d'accès au crédit et aux marchés formels.</w:t>
      </w:r>
    </w:p>
    <w:p>
      <w:pPr>
        <w:pStyle w:val="Heading2"/>
        <w:spacing w:after="120" w:before="240" w:line="312"/>
      </w:pPr>
      <w:bookmarkStart w:id="100043" w:name="_Toc100043"/>
      <w:r>
        <w:rPr>
          <w:rFonts w:ascii="Times New Roman" w:eastAsia="SimHei"/>
          <w:b/>
          <w:bCs/>
          <w:color w:val="1A2330"/>
          <w:sz w:val="30"/>
          <w:szCs w:val="30"/>
        </w:rPr>
        <w:t xml:space="preserve">11.2 Indicateurs de succès mesurables</w:t>
      </w:r>
      <w:bookmarkEnd w:id="100043"/>
    </w:p>
    <w:p>
      <w:pPr>
        <w:spacing w:after="120" w:line="312"/>
        <w:jc w:val="left"/>
      </w:pPr>
      <w:r>
        <w:rPr>
          <w:rFonts w:ascii="Times New Roman" w:eastAsia="SimSun"/>
          <w:color w:val="000000"/>
          <w:sz w:val="24"/>
          <w:szCs w:val="24"/>
        </w:rPr>
        <w:t xml:space="preserve">Six indicateurs, mesurables directement dans la plateforme, valident l'atteinte des objectifs à chaque jalon :</w:t>
      </w:r>
    </w:p>
    <w:p>
      <w:pPr>
        <w:pStyle w:val="ListParagraph"/>
        <w:numPr>
          <w:ilvl w:val="0"/>
          <w:numId w:val="1"/>
        </w:numPr>
        <w:spacing w:after="80" w:line="312"/>
        <w:jc w:val="left"/>
      </w:pPr>
      <w:r>
        <w:rPr>
          <w:rFonts w:ascii="Times New Roman" w:eastAsia="SimSun"/>
          <w:color w:val="000000"/>
          <w:sz w:val="24"/>
          <w:szCs w:val="24"/>
        </w:rPr>
        <w:t xml:space="preserve">Temps moyen d'encaissement POS inférieur à 30 secondes (mesuré par la plateforme, cible J2).</w:t>
      </w:r>
    </w:p>
    <w:p>
      <w:pPr>
        <w:pStyle w:val="ListParagraph"/>
        <w:numPr>
          <w:ilvl w:val="0"/>
          <w:numId w:val="1"/>
        </w:numPr>
        <w:spacing w:after="80" w:line="312"/>
        <w:jc w:val="left"/>
      </w:pPr>
      <w:r>
        <w:rPr>
          <w:rFonts w:ascii="Times New Roman" w:eastAsia="SimSun"/>
          <w:color w:val="000000"/>
          <w:sz w:val="24"/>
          <w:szCs w:val="24"/>
        </w:rPr>
        <w:t xml:space="preserve">Au moins 90 % des paiements mobile money réconciliés automatiquement sans intervention humaine.</w:t>
      </w:r>
    </w:p>
    <w:p>
      <w:pPr>
        <w:pStyle w:val="ListParagraph"/>
        <w:numPr>
          <w:ilvl w:val="0"/>
          <w:numId w:val="1"/>
        </w:numPr>
        <w:spacing w:after="80" w:line="312"/>
        <w:jc w:val="left"/>
      </w:pPr>
      <w:r>
        <w:rPr>
          <w:rFonts w:ascii="Times New Roman" w:eastAsia="SimSun"/>
          <w:color w:val="000000"/>
          <w:sz w:val="24"/>
          <w:szCs w:val="24"/>
        </w:rPr>
        <w:t xml:space="preserve">100 % des écarts de caisse au-delà du seuil flaggés en anomalie sous 24 heures avec trace d'audit.</w:t>
      </w:r>
    </w:p>
    <w:p>
      <w:pPr>
        <w:pStyle w:val="ListParagraph"/>
        <w:numPr>
          <w:ilvl w:val="0"/>
          <w:numId w:val="1"/>
        </w:numPr>
        <w:spacing w:after="80" w:line="312"/>
        <w:jc w:val="left"/>
      </w:pPr>
      <w:r>
        <w:rPr>
          <w:rFonts w:ascii="Times New Roman" w:eastAsia="SimSun"/>
          <w:color w:val="000000"/>
          <w:sz w:val="24"/>
          <w:szCs w:val="24"/>
        </w:rPr>
        <w:t xml:space="preserve">Disponibilité production d'au moins 99,5 % par mois sur les douze mois du programme.</w:t>
      </w:r>
    </w:p>
    <w:p>
      <w:pPr>
        <w:pStyle w:val="ListParagraph"/>
        <w:numPr>
          <w:ilvl w:val="0"/>
          <w:numId w:val="1"/>
        </w:numPr>
        <w:spacing w:after="80" w:line="312"/>
        <w:jc w:val="left"/>
      </w:pPr>
      <w:r>
        <w:rPr>
          <w:rFonts w:ascii="Times New Roman" w:eastAsia="SimSun"/>
          <w:color w:val="000000"/>
          <w:sz w:val="24"/>
          <w:szCs w:val="24"/>
        </w:rPr>
        <w:t xml:space="preserve">Moins de 5 % de tickets d'assistance liés à l'impression après formation (cible J3).</w:t>
      </w:r>
    </w:p>
    <w:p>
      <w:pPr>
        <w:pStyle w:val="ListParagraph"/>
        <w:numPr>
          <w:ilvl w:val="0"/>
          <w:numId w:val="1"/>
        </w:numPr>
        <w:spacing w:after="80" w:line="312"/>
        <w:jc w:val="left"/>
      </w:pPr>
      <w:r>
        <w:rPr>
          <w:rFonts w:ascii="Times New Roman" w:eastAsia="SimSun"/>
          <w:color w:val="000000"/>
          <w:sz w:val="24"/>
          <w:szCs w:val="24"/>
        </w:rPr>
        <w:t xml:space="preserve">Au moins 3 PME pilotes actives quotidiennement sur 4 semaines consécutives à la disponibilité générale.</w:t>
      </w:r>
    </w:p>
    <w:p>
      <w:pPr>
        <w:pStyle w:val="Heading2"/>
        <w:spacing w:after="120" w:before="240" w:line="312"/>
      </w:pPr>
      <w:bookmarkStart w:id="100044" w:name="_Toc100044"/>
      <w:r>
        <w:rPr>
          <w:rFonts w:ascii="Times New Roman" w:eastAsia="SimHei"/>
          <w:b/>
          <w:bCs/>
          <w:color w:val="1A2330"/>
          <w:sz w:val="30"/>
          <w:szCs w:val="30"/>
        </w:rPr>
        <w:t xml:space="preserve">11.3 Critères d'acceptation globaux du programme</w:t>
      </w:r>
      <w:bookmarkEnd w:id="100044"/>
    </w:p>
    <w:p>
      <w:pPr>
        <w:spacing w:after="120" w:line="312"/>
        <w:jc w:val="left"/>
      </w:pPr>
      <w:r>
        <w:rPr>
          <w:rFonts w:ascii="Times New Roman" w:eastAsia="SimSun"/>
          <w:color w:val="000000"/>
          <w:sz w:val="24"/>
          <w:szCs w:val="24"/>
        </w:rPr>
        <w:t xml:space="preserve">Le programme est déclaré réussi au jalon J4 lorsque les conditions cumulées suivantes sont réunies : l'intégralité des exigences Must du tableau 3 et des exigences non fonctionnelles du chapitre 7 est livrée et vérifiée ; les trois PME pilotes opèrent MoneXa comme système de caisse principal sans incident bloquant pendant quatre semaines ; les livrables comptables sont validés par un expert-comptable partenaire ; la documentation d'exploitation, de sécurité et utilisateur est complète et à jour ; et la chaîne de sauvegarde-restauration a été éprouvée en conditions réelles. Au-delà du programme, la trajectoire produit se poursuit sur les axes Could : fidélité, marketplace de services financiers, extension régionale au Sénégal, en Côte d'Ivoire et au Burkina Faso, en réutilisant le socle multi-boutiques et multi-devise livré ici.</w:t>
      </w:r>
    </w:p>
    <w:p>
      <w:pPr>
        <w:pStyle w:val="Heading1"/>
        <w:spacing w:after="160" w:before="360" w:line="312"/>
        <w:jc w:val="center"/>
      </w:pPr>
      <w:bookmarkStart w:id="100045" w:name="_Toc100045"/>
      <w:r>
        <w:rPr>
          <w:rFonts w:ascii="Times New Roman" w:eastAsia="SimHei"/>
          <w:b/>
          <w:bCs/>
          <w:color w:val="1A2330"/>
          <w:sz w:val="32"/>
          <w:szCs w:val="32"/>
        </w:rPr>
        <w:t xml:space="preserve">Annexe A — Matrice des habilitations cible</w:t>
      </w:r>
      <w:bookmarkEnd w:id="100045"/>
    </w:p>
    <w:p>
      <w:pPr>
        <w:spacing w:after="120" w:line="312"/>
        <w:jc w:val="left"/>
      </w:pPr>
      <w:r>
        <w:rPr>
          <w:rFonts w:ascii="Times New Roman" w:eastAsia="SimSun"/>
          <w:color w:val="000000"/>
          <w:sz w:val="24"/>
          <w:szCs w:val="24"/>
        </w:rPr>
        <w:t xml:space="preserve">La matrice ci-dessous étend le modèle RBAC existant aux quatre rôles cibles. La règle de lecture est : V désigne le Vendeur/Caissier, C le Comptable, G le Gérant et A l'Administrateur plateforme ; la mention « — » indique un accès interdit. Les habilitations actuelles (Caissier, Comptable, Gérant) sont conservées et mappées sans rupture.</w:t>
      </w:r>
    </w:p>
    <w:p>
      <w:pPr>
        <w:keepNext/>
        <w:spacing w:after="80" w:before="160" w:line="312"/>
        <w:jc w:val="left"/>
      </w:pPr>
      <w:r>
        <w:rPr>
          <w:rFonts w:ascii="Times New Roman" w:eastAsia="SimSun"/>
          <w:b/>
          <w:bCs/>
          <w:color w:val="1A2330"/>
          <w:sz w:val="21"/>
          <w:szCs w:val="21"/>
        </w:rPr>
        <w:t xml:space="preserve">Tableau A-1 : matrice des habilitations par rôle</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gridCol w:w="100"/>
      </w:tblGrid>
      <w:tr>
        <w:trPr>
          <w:cantSplit/>
          <w:tblHeader/>
        </w:trPr>
        <w:tc>
          <w:tcPr>
            <w:tcW w:type="pct" w:w="46%"/>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Fonctionnalité</w:t>
            </w:r>
          </w:p>
        </w:tc>
        <w:tc>
          <w:tcPr>
            <w:tcW w:type="pct" w:w="13%"/>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V</w:t>
            </w:r>
          </w:p>
        </w:tc>
        <w:tc>
          <w:tcPr>
            <w:tcW w:type="pct" w:w="13%"/>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w:t>
            </w:r>
          </w:p>
        </w:tc>
        <w:tc>
          <w:tcPr>
            <w:tcW w:type="pct" w:w="13%"/>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G</w:t>
            </w:r>
          </w:p>
        </w:tc>
        <w:tc>
          <w:tcPr>
            <w:tcW w:type="pct" w:w="15%"/>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A</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Encaisser une vente POS et imprimer le ticket</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Ouvrir / clôturer sa session de caisse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Consulter les rapports X/Z de sa boutique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Session</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Valider / rejeter un paiement à contrôler</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Rapprochement bancaire et passerelles</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Créer / modifier le catalogue produits</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Gestion du stock et inventaires</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Consult.</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Dépenses et fournisseurs</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Saisie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Exports CSV/Excel/PDF et SYSCOHADA</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Tableau de bord consolidé multi-boutiques</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Multi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Anomalies et fraude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Lecture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Journal d'audit immuable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Sur traçabilité</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Paramétrage entreprise, boutiques, habilitations</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2FA et gestion des comptes utilisateurs</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Son compte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Création d'entreprises clientes (SaaS)</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r>
      <w:tr>
        <w:trPr>
          <w:cantSplit/>
        </w:trPr>
        <w:tc>
          <w:tcPr>
            <w:tcW w:type="pct" w:w="46%"/>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TresorIA (assistant IA)</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3%"/>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Oui</w:t>
            </w:r>
          </w:p>
        </w:tc>
        <w:tc>
          <w:tcPr>
            <w:tcW w:type="pct" w:w="15%"/>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bl>
    <w:p>
      <w:pPr>
        <w:pStyle w:val="Heading1"/>
        <w:spacing w:after="160" w:before="360" w:line="312"/>
        <w:jc w:val="center"/>
      </w:pPr>
      <w:bookmarkStart w:id="100046" w:name="_Toc100046"/>
      <w:r>
        <w:rPr>
          <w:rFonts w:ascii="Times New Roman" w:eastAsia="SimHei"/>
          <w:b/>
          <w:bCs/>
          <w:color w:val="1A2330"/>
          <w:sz w:val="32"/>
          <w:szCs w:val="32"/>
        </w:rPr>
        <w:t xml:space="preserve">Annexe B — Glossaire</w:t>
      </w:r>
      <w:bookmarkEnd w:id="100046"/>
    </w:p>
    <w:p>
      <w:pPr>
        <w:keepNext/>
        <w:spacing w:after="80" w:before="160" w:line="312"/>
        <w:jc w:val="left"/>
      </w:pPr>
      <w:r>
        <w:rPr>
          <w:rFonts w:ascii="Times New Roman" w:eastAsia="SimSun"/>
          <w:b/>
          <w:bCs/>
          <w:color w:val="1A2330"/>
          <w:sz w:val="21"/>
          <w:szCs w:val="21"/>
        </w:rPr>
        <w:t xml:space="preserve">Tableau B-1 : définitions des termes techniques utilisés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tblGrid>
      <w:tr>
        <w:trPr>
          <w:cantSplit/>
          <w:tblHeader/>
        </w:trPr>
        <w:tc>
          <w:tcPr>
            <w:tcW w:type="pct" w:w="18%"/>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Terme</w:t>
            </w:r>
          </w:p>
        </w:tc>
        <w:tc>
          <w:tcPr>
            <w:tcW w:type="pct" w:w="82%"/>
            <w:shd w:fill="D4875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Définition</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POS</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Point of sale : système de caisse permettant d'enregistrer, encaisser et tracer les ventes au comptoir.</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ESC/POS</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Langage de commande des imprimantes thermiques de ticket, formats papier 58 et 80 mm.</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Rapport X / Z</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État intermédiaire de caisse (X) et clôture définitive de journée (Z) avec totalisation par moyen de paiement.</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Fond de caisse</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Montant d'espèces présent en début de session, déclaré à l'ouverture et comparé à la clôture.</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Mobile money</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Portefeuille électronique sur téléphone ; opérateurs visés : T-Money, Moov Money, Flooz.</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Agrégateur</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Prestataire unifiant les paiements de plusieurs opérateurs mobile money (ex. CinetPay, Flutterwave).</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SYSCOHADA</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Système comptable OHADA, référentiel comptable des pays membres dont le Togo.</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TVA</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Taxe sur la valeur ajoutée ; taux standard togolais de 18 % appliqué par défaut au catalogue.</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MoSCoW</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Méthode de priorisation : Must have, Should have, Could have, Won't have (pour cette édition).</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RBAC</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Role-Based Access Control : permissions accordées par rôle plutôt qu'individuellement.</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JWT</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JSON Web Token : jeton d'authentification court terme utilisé par l'API et les applications mobiles.</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HMAC</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Hash-based Message Authentication Code : signature d'intégrité des webhooks passerelles.</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Offline-first</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Architecture où l'application fonctionne d'abord localement puis se synchronise avec le serveur.</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Idempotence</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Propriété garantissant qu'un même message rejoué plusieurs fois n'entraîne qu'un seul effet.</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CMUP</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Coût moyen unitaire pondéré : méthode de valorisation du stock après chaque entrée.</w:t>
            </w:r>
          </w:p>
        </w:tc>
      </w:tr>
      <w:tr>
        <w:trPr>
          <w:cantSplit/>
        </w:trPr>
        <w:tc>
          <w:tcPr>
            <w:tcW w:type="pct" w:w="18%"/>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JH</w:t>
            </w:r>
          </w:p>
        </w:tc>
        <w:tc>
          <w:tcPr>
            <w:tcW w:type="pct" w:w="82%"/>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Jour-homme : unité de charge de travail d'une personne pendant une journée.</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MoneXa — Cahier des charges · Édition Entreprise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30"/>
      <w:szCs w:val="30"/>
    </w:rPr>
  </w:style>
  <w:style w:type="paragraph" w:styleId="Heading3">
    <w:name w:val="Heading 3"/>
    <w:basedOn w:val="Normal"/>
    <w:next w:val="Normal"/>
    <w:qFormat/>
    <w:pPr>
      <w:spacing w:after="100" w:before="200" w:line="312"/>
      <w:outlineLvl w:val="2"/>
    </w:pPr>
    <w:rPr>
      <w:rFonts w:ascii="Times New Roman" w:eastAsia="SimHei"/>
      <w:b/>
      <w:bCs/>
      <w:color w:val="1A233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70c6216c6cab9271f15e8da847a54dc7db8ba47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MoneXa — Cahier des charges Édition Entreprise v3.0</dc:title>
  <dc:creator>Équipe MoneXa</dc:creator>
  <dc:description>Spécification produit entreprise : trésorerie, système de caisse (POS) et croissance</dc:description>
  <cp:lastModifiedBy>Un-named</cp:lastModifiedBy>
  <cp:revision>1</cp:revision>
  <dcterms:created xsi:type="dcterms:W3CDTF">2026-09-27T22:28:51.575Z</dcterms:created>
  <dcterms:modified xsi:type="dcterms:W3CDTF">2026-09-27T22:28:51.575Z</dcterms:modified>
</cp:coreProperties>
</file>

<file path=docProps/custom.xml><?xml version="1.0" encoding="utf-8"?>
<Properties xmlns="http://schemas.openxmlformats.org/officeDocument/2006/custom-properties" xmlns:vt="http://schemas.openxmlformats.org/officeDocument/2006/docPropsVTypes"/>
</file>