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left"/>
        <w:rPr/>
      </w:pPr>
      <w:r>
        <w:rPr>
          <w:rFonts w:ascii="Arial" w:hAnsi="Arial"/>
          <w:b/>
          <w:color w:val="000000"/>
          <w:sz w:val="46"/>
        </w:rPr>
        <w:t xml:space="preserve">Week 1: miRNA-mRNA </w:t>
      </w:r>
      <w:r>
        <w:rPr>
          <w:rFonts w:ascii="Arial" w:hAnsi="Arial"/>
          <w:b/>
          <w:color w:val="000000"/>
          <w:sz w:val="46"/>
        </w:rPr>
        <w:t xml:space="preserve">human – chimp </w:t>
      </w:r>
      <w:r>
        <w:rPr>
          <w:rFonts w:ascii="Arial" w:hAnsi="Arial"/>
          <w:b/>
          <w:color w:val="000000"/>
          <w:sz w:val="46"/>
        </w:rPr>
        <w:t xml:space="preserve">brain development </w:t>
      </w:r>
    </w:p>
    <w:p>
      <w:pPr>
        <w:pStyle w:val="Normal"/>
        <w:rPr/>
      </w:pPr>
      <w:r>
        <w:rPr>
          <w:b/>
          <w:bCs/>
          <w:color w:val="000000"/>
          <w:sz w:val="22"/>
        </w:rPr>
        <w:t xml:space="preserve">Goals: </w:t>
      </w:r>
      <w:r>
        <w:rPr>
          <w:color w:val="000000"/>
          <w:sz w:val="22"/>
        </w:rPr>
        <w:t xml:space="preserve"> 1.)  assemble the core PFC expression and metadata resources</w:t>
      </w:r>
    </w:p>
    <w:p>
      <w:pPr>
        <w:pStyle w:val="Normal"/>
        <w:rPr/>
      </w:pPr>
      <w:r>
        <w:rPr>
          <w:color w:val="000000"/>
          <w:sz w:val="22"/>
        </w:rPr>
        <w:t xml:space="preserve">            </w:t>
      </w:r>
      <w:r>
        <w:rPr>
          <w:color w:val="000000"/>
          <w:sz w:val="22"/>
        </w:rPr>
        <w:t>2.)  confirm the matched subjects</w:t>
      </w:r>
    </w:p>
    <w:p>
      <w:pPr>
        <w:pStyle w:val="Normal"/>
        <w:rPr/>
      </w:pPr>
      <w:r>
        <w:rPr>
          <w:color w:val="000000"/>
          <w:sz w:val="22"/>
        </w:rPr>
        <w:t xml:space="preserve">            </w:t>
      </w:r>
      <w:r>
        <w:rPr>
          <w:color w:val="000000"/>
          <w:sz w:val="22"/>
        </w:rPr>
        <w:t>3.)  build small test datasets</w:t>
      </w:r>
    </w:p>
    <w:p>
      <w:pPr>
        <w:pStyle w:val="Normal"/>
        <w:rPr>
          <w:rFonts w:ascii="Arial" w:hAnsi="Arial"/>
          <w:color w:val="000000"/>
          <w:sz w:val="22"/>
        </w:rPr>
      </w:pPr>
      <w:r>
        <w:rPr>
          <w:color w:val="000000"/>
          <w:sz w:val="22"/>
        </w:rPr>
      </w:r>
    </w:p>
    <w:p>
      <w:pPr>
        <w:pStyle w:val="Title"/>
        <w:spacing w:before="0" w:after="160"/>
        <w:contextualSpacing/>
        <w:rPr>
          <w:sz w:val="30"/>
          <w:szCs w:val="30"/>
        </w:rPr>
      </w:pPr>
      <w:r>
        <w:rPr>
          <w:rFonts w:ascii="Liberation Sans" w:hAnsi="Liberation Sans"/>
          <w:b/>
          <w:i w:val="false"/>
          <w:color w:val="000000"/>
          <w:sz w:val="30"/>
          <w:szCs w:val="30"/>
        </w:rPr>
        <w:t>1.) PFC dataset summary</w:t>
      </w:r>
    </w:p>
    <w:p>
      <w:pPr>
        <w:pStyle w:val="Normal"/>
        <w:spacing w:lineRule="auto" w:line="259" w:before="0" w:after="200"/>
        <w:rPr/>
      </w:pPr>
      <w:r>
        <w:rPr>
          <w:rFonts w:ascii="Liberation Sans" w:hAnsi="Liberation Sans"/>
          <w:b w:val="false"/>
          <w:i w:val="false"/>
          <w:color w:val="000000"/>
          <w:sz w:val="22"/>
        </w:rPr>
        <w:t>Prefrontal cortex sample sizes and retained expression features in the human, chimpanzee and rhesus macaque comparison.</w:t>
      </w:r>
    </w:p>
    <w:tbl>
      <w:tblPr>
        <w:tblW w:w="10224" w:type="dxa"/>
        <w:jc w:val="center"/>
        <w:tblInd w:w="0" w:type="dxa"/>
        <w:tblLayout w:type="fixed"/>
        <w:tblCellMar>
          <w:top w:w="110" w:type="dxa"/>
          <w:left w:w="110" w:type="dxa"/>
          <w:bottom w:w="110" w:type="dxa"/>
          <w:right w:w="110" w:type="dxa"/>
        </w:tblCellMar>
        <w:tblLook w:val="04a0" w:noHBand="0" w:noVBand="1" w:firstColumn="1" w:lastRow="0" w:lastColumn="0" w:firstRow="1"/>
      </w:tblPr>
      <w:tblGrid>
        <w:gridCol w:w="1704"/>
        <w:gridCol w:w="1703"/>
        <w:gridCol w:w="1705"/>
        <w:gridCol w:w="1704"/>
        <w:gridCol w:w="1703"/>
        <w:gridCol w:w="1704"/>
      </w:tblGrid>
      <w:tr>
        <w:trPr/>
        <w:tc>
          <w:tcPr>
            <w:tcW w:w="1704" w:type="dxa"/>
            <w:tcBorders>
              <w:top w:val="single" w:sz="6" w:space="0" w:color="D9D9D9"/>
              <w:left w:val="single" w:sz="6" w:space="0" w:color="D9D9D9"/>
              <w:bottom w:val="single" w:sz="6" w:space="0" w:color="D9D9D9"/>
              <w:right w:val="single" w:sz="6" w:space="0" w:color="D9D9D9"/>
            </w:tcBorders>
            <w:shd w:fill="243B53"/>
            <w:vAlign w:val="center"/>
          </w:tcPr>
          <w:p>
            <w:pPr>
              <w:pStyle w:val="Normal"/>
              <w:spacing w:before="0" w:after="0"/>
              <w:rPr/>
            </w:pPr>
            <w:r>
              <w:rPr>
                <w:rFonts w:ascii="Liberation Sans" w:hAnsi="Liberation Sans"/>
                <w:b/>
                <w:i w:val="false"/>
                <w:color w:val="FFFFFF"/>
                <w:sz w:val="18"/>
              </w:rPr>
              <w:t>Dataset</w:t>
            </w:r>
          </w:p>
        </w:tc>
        <w:tc>
          <w:tcPr>
            <w:tcW w:w="1703" w:type="dxa"/>
            <w:tcBorders>
              <w:top w:val="single" w:sz="6" w:space="0" w:color="D9D9D9"/>
              <w:left w:val="single" w:sz="6" w:space="0" w:color="D9D9D9"/>
              <w:bottom w:val="single" w:sz="6" w:space="0" w:color="D9D9D9"/>
              <w:right w:val="single" w:sz="6" w:space="0" w:color="D9D9D9"/>
            </w:tcBorders>
            <w:shd w:fill="243B53"/>
            <w:vAlign w:val="center"/>
          </w:tcPr>
          <w:p>
            <w:pPr>
              <w:pStyle w:val="Normal"/>
              <w:spacing w:before="0" w:after="0"/>
              <w:jc w:val="center"/>
              <w:rPr/>
            </w:pPr>
            <w:r>
              <w:rPr>
                <w:rFonts w:ascii="Liberation Sans" w:hAnsi="Liberation Sans"/>
                <w:b/>
                <w:i w:val="false"/>
                <w:color w:val="FFFFFF"/>
                <w:sz w:val="18"/>
              </w:rPr>
              <w:t>Human n</w:t>
            </w:r>
          </w:p>
        </w:tc>
        <w:tc>
          <w:tcPr>
            <w:tcW w:w="1705" w:type="dxa"/>
            <w:tcBorders>
              <w:top w:val="single" w:sz="6" w:space="0" w:color="D9D9D9"/>
              <w:left w:val="single" w:sz="6" w:space="0" w:color="D9D9D9"/>
              <w:bottom w:val="single" w:sz="6" w:space="0" w:color="D9D9D9"/>
              <w:right w:val="single" w:sz="6" w:space="0" w:color="D9D9D9"/>
            </w:tcBorders>
            <w:shd w:fill="243B53"/>
            <w:vAlign w:val="center"/>
          </w:tcPr>
          <w:p>
            <w:pPr>
              <w:pStyle w:val="Normal"/>
              <w:spacing w:before="0" w:after="0"/>
              <w:jc w:val="center"/>
              <w:rPr/>
            </w:pPr>
            <w:r>
              <w:rPr>
                <w:rFonts w:ascii="Liberation Sans" w:hAnsi="Liberation Sans"/>
                <w:b/>
                <w:i w:val="false"/>
                <w:color w:val="FFFFFF"/>
                <w:sz w:val="18"/>
              </w:rPr>
              <w:t>Chimpanzee n</w:t>
            </w:r>
          </w:p>
        </w:tc>
        <w:tc>
          <w:tcPr>
            <w:tcW w:w="1704" w:type="dxa"/>
            <w:tcBorders>
              <w:top w:val="single" w:sz="6" w:space="0" w:color="D9D9D9"/>
              <w:left w:val="single" w:sz="6" w:space="0" w:color="D9D9D9"/>
              <w:bottom w:val="single" w:sz="6" w:space="0" w:color="D9D9D9"/>
              <w:right w:val="single" w:sz="6" w:space="0" w:color="D9D9D9"/>
            </w:tcBorders>
            <w:shd w:fill="243B53"/>
            <w:vAlign w:val="center"/>
          </w:tcPr>
          <w:p>
            <w:pPr>
              <w:pStyle w:val="Normal"/>
              <w:spacing w:before="0" w:after="0"/>
              <w:jc w:val="center"/>
              <w:rPr/>
            </w:pPr>
            <w:r>
              <w:rPr>
                <w:rFonts w:ascii="Liberation Sans" w:hAnsi="Liberation Sans"/>
                <w:b/>
                <w:i w:val="false"/>
                <w:color w:val="FFFFFF"/>
                <w:sz w:val="18"/>
              </w:rPr>
              <w:t>Macaque n</w:t>
            </w:r>
          </w:p>
        </w:tc>
        <w:tc>
          <w:tcPr>
            <w:tcW w:w="1703" w:type="dxa"/>
            <w:tcBorders>
              <w:top w:val="single" w:sz="6" w:space="0" w:color="D9D9D9"/>
              <w:left w:val="single" w:sz="6" w:space="0" w:color="D9D9D9"/>
              <w:bottom w:val="single" w:sz="6" w:space="0" w:color="D9D9D9"/>
              <w:right w:val="single" w:sz="6" w:space="0" w:color="D9D9D9"/>
            </w:tcBorders>
            <w:shd w:fill="243B53"/>
            <w:vAlign w:val="center"/>
          </w:tcPr>
          <w:p>
            <w:pPr>
              <w:pStyle w:val="Normal"/>
              <w:spacing w:before="0" w:after="0"/>
              <w:jc w:val="center"/>
              <w:rPr/>
            </w:pPr>
            <w:r>
              <w:rPr>
                <w:rFonts w:ascii="Liberation Sans" w:hAnsi="Liberation Sans"/>
                <w:b/>
                <w:i w:val="false"/>
                <w:color w:val="FFFFFF"/>
                <w:sz w:val="18"/>
              </w:rPr>
              <w:t>Total n</w:t>
            </w:r>
          </w:p>
        </w:tc>
        <w:tc>
          <w:tcPr>
            <w:tcW w:w="1704" w:type="dxa"/>
            <w:tcBorders>
              <w:top w:val="single" w:sz="6" w:space="0" w:color="D9D9D9"/>
              <w:left w:val="single" w:sz="6" w:space="0" w:color="D9D9D9"/>
              <w:bottom w:val="single" w:sz="6" w:space="0" w:color="D9D9D9"/>
              <w:right w:val="single" w:sz="6" w:space="0" w:color="D9D9D9"/>
            </w:tcBorders>
            <w:shd w:fill="243B53"/>
            <w:vAlign w:val="center"/>
          </w:tcPr>
          <w:p>
            <w:pPr>
              <w:pStyle w:val="Normal"/>
              <w:spacing w:before="0" w:after="0"/>
              <w:rPr/>
            </w:pPr>
            <w:r>
              <w:rPr>
                <w:rFonts w:ascii="Liberation Sans" w:hAnsi="Liberation Sans"/>
                <w:b/>
                <w:i w:val="false"/>
                <w:color w:val="FFFFFF"/>
                <w:sz w:val="18"/>
              </w:rPr>
              <w:t>Retained PFC features</w:t>
            </w:r>
          </w:p>
        </w:tc>
      </w:tr>
      <w:tr>
        <w:trPr/>
        <w:tc>
          <w:tcPr>
            <w:tcW w:w="1704"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7" w:before="0" w:after="0"/>
              <w:rPr/>
            </w:pPr>
            <w:r>
              <w:rPr>
                <w:rFonts w:ascii="Liberation Sans" w:hAnsi="Liberation Sans"/>
                <w:b w:val="false"/>
                <w:i w:val="false"/>
                <w:color w:val="000000"/>
                <w:sz w:val="19"/>
              </w:rPr>
              <w:t>mRNA microarray</w:t>
            </w:r>
          </w:p>
        </w:tc>
        <w:tc>
          <w:tcPr>
            <w:tcW w:w="1703"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7" w:before="0" w:after="0"/>
              <w:jc w:val="center"/>
              <w:rPr/>
            </w:pPr>
            <w:r>
              <w:rPr>
                <w:rFonts w:ascii="Liberation Sans" w:hAnsi="Liberation Sans"/>
                <w:b w:val="false"/>
                <w:i w:val="false"/>
                <w:color w:val="000000"/>
                <w:sz w:val="19"/>
              </w:rPr>
              <w:t>22</w:t>
            </w:r>
          </w:p>
        </w:tc>
        <w:tc>
          <w:tcPr>
            <w:tcW w:w="1705"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7" w:before="0" w:after="0"/>
              <w:jc w:val="center"/>
              <w:rPr/>
            </w:pPr>
            <w:r>
              <w:rPr>
                <w:rFonts w:ascii="Liberation Sans" w:hAnsi="Liberation Sans"/>
                <w:b w:val="false"/>
                <w:i w:val="false"/>
                <w:color w:val="000000"/>
                <w:sz w:val="19"/>
              </w:rPr>
              <w:t>12</w:t>
            </w:r>
          </w:p>
        </w:tc>
        <w:tc>
          <w:tcPr>
            <w:tcW w:w="1704"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7" w:before="0" w:after="0"/>
              <w:jc w:val="center"/>
              <w:rPr/>
            </w:pPr>
            <w:r>
              <w:rPr>
                <w:rFonts w:ascii="Liberation Sans" w:hAnsi="Liberation Sans"/>
                <w:b w:val="false"/>
                <w:i w:val="false"/>
                <w:color w:val="000000"/>
                <w:sz w:val="19"/>
              </w:rPr>
              <w:t>24</w:t>
            </w:r>
          </w:p>
        </w:tc>
        <w:tc>
          <w:tcPr>
            <w:tcW w:w="1703"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7" w:before="0" w:after="0"/>
              <w:jc w:val="center"/>
              <w:rPr/>
            </w:pPr>
            <w:r>
              <w:rPr>
                <w:rFonts w:ascii="Liberation Sans" w:hAnsi="Liberation Sans"/>
                <w:b w:val="false"/>
                <w:i w:val="false"/>
                <w:color w:val="000000"/>
                <w:sz w:val="19"/>
              </w:rPr>
              <w:t>58</w:t>
            </w:r>
          </w:p>
        </w:tc>
        <w:tc>
          <w:tcPr>
            <w:tcW w:w="1704"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7" w:before="0" w:after="0"/>
              <w:rPr/>
            </w:pPr>
            <w:r>
              <w:rPr>
                <w:rFonts w:ascii="Liberation Sans" w:hAnsi="Liberation Sans"/>
                <w:b w:val="false"/>
                <w:i w:val="false"/>
                <w:color w:val="000000"/>
                <w:sz w:val="19"/>
              </w:rPr>
              <w:t>12,447 expressed genes</w:t>
            </w:r>
          </w:p>
        </w:tc>
      </w:tr>
      <w:tr>
        <w:trPr/>
        <w:tc>
          <w:tcPr>
            <w:tcW w:w="1704" w:type="dxa"/>
            <w:tcBorders>
              <w:top w:val="single" w:sz="6" w:space="0" w:color="D9D9D9"/>
              <w:left w:val="single" w:sz="6" w:space="0" w:color="D9D9D9"/>
              <w:bottom w:val="single" w:sz="6" w:space="0" w:color="D9D9D9"/>
              <w:right w:val="single" w:sz="6" w:space="0" w:color="D9D9D9"/>
            </w:tcBorders>
            <w:shd w:fill="EAF2F8"/>
            <w:vAlign w:val="center"/>
          </w:tcPr>
          <w:p>
            <w:pPr>
              <w:pStyle w:val="Normal"/>
              <w:spacing w:lineRule="auto" w:line="247" w:before="0" w:after="0"/>
              <w:rPr/>
            </w:pPr>
            <w:r>
              <w:rPr>
                <w:rFonts w:ascii="Liberation Sans" w:hAnsi="Liberation Sans"/>
                <w:b w:val="false"/>
                <w:i w:val="false"/>
                <w:color w:val="000000"/>
                <w:sz w:val="19"/>
              </w:rPr>
              <w:t>miRNA microarray</w:t>
            </w:r>
          </w:p>
        </w:tc>
        <w:tc>
          <w:tcPr>
            <w:tcW w:w="1703" w:type="dxa"/>
            <w:tcBorders>
              <w:top w:val="single" w:sz="6" w:space="0" w:color="D9D9D9"/>
              <w:left w:val="single" w:sz="6" w:space="0" w:color="D9D9D9"/>
              <w:bottom w:val="single" w:sz="6" w:space="0" w:color="D9D9D9"/>
              <w:right w:val="single" w:sz="6" w:space="0" w:color="D9D9D9"/>
            </w:tcBorders>
            <w:shd w:fill="EAF2F8"/>
            <w:vAlign w:val="center"/>
          </w:tcPr>
          <w:p>
            <w:pPr>
              <w:pStyle w:val="Normal"/>
              <w:spacing w:lineRule="auto" w:line="247" w:before="0" w:after="0"/>
              <w:jc w:val="center"/>
              <w:rPr/>
            </w:pPr>
            <w:r>
              <w:rPr>
                <w:rFonts w:ascii="Liberation Sans" w:hAnsi="Liberation Sans"/>
                <w:b w:val="false"/>
                <w:i w:val="false"/>
                <w:color w:val="000000"/>
                <w:sz w:val="19"/>
              </w:rPr>
              <w:t>8</w:t>
            </w:r>
          </w:p>
        </w:tc>
        <w:tc>
          <w:tcPr>
            <w:tcW w:w="1705" w:type="dxa"/>
            <w:tcBorders>
              <w:top w:val="single" w:sz="6" w:space="0" w:color="D9D9D9"/>
              <w:left w:val="single" w:sz="6" w:space="0" w:color="D9D9D9"/>
              <w:bottom w:val="single" w:sz="6" w:space="0" w:color="D9D9D9"/>
              <w:right w:val="single" w:sz="6" w:space="0" w:color="D9D9D9"/>
            </w:tcBorders>
            <w:shd w:fill="EAF2F8"/>
            <w:vAlign w:val="center"/>
          </w:tcPr>
          <w:p>
            <w:pPr>
              <w:pStyle w:val="Normal"/>
              <w:spacing w:lineRule="auto" w:line="247" w:before="0" w:after="0"/>
              <w:jc w:val="center"/>
              <w:rPr/>
            </w:pPr>
            <w:r>
              <w:rPr>
                <w:rFonts w:ascii="Liberation Sans" w:hAnsi="Liberation Sans"/>
                <w:b w:val="false"/>
                <w:i w:val="false"/>
                <w:color w:val="000000"/>
                <w:sz w:val="19"/>
              </w:rPr>
              <w:t>11</w:t>
            </w:r>
          </w:p>
        </w:tc>
        <w:tc>
          <w:tcPr>
            <w:tcW w:w="1704" w:type="dxa"/>
            <w:tcBorders>
              <w:top w:val="single" w:sz="6" w:space="0" w:color="D9D9D9"/>
              <w:left w:val="single" w:sz="6" w:space="0" w:color="D9D9D9"/>
              <w:bottom w:val="single" w:sz="6" w:space="0" w:color="D9D9D9"/>
              <w:right w:val="single" w:sz="6" w:space="0" w:color="D9D9D9"/>
            </w:tcBorders>
            <w:shd w:fill="EAF2F8"/>
            <w:vAlign w:val="center"/>
          </w:tcPr>
          <w:p>
            <w:pPr>
              <w:pStyle w:val="Normal"/>
              <w:spacing w:lineRule="auto" w:line="247" w:before="0" w:after="0"/>
              <w:jc w:val="center"/>
              <w:rPr/>
            </w:pPr>
            <w:r>
              <w:rPr>
                <w:rFonts w:ascii="Liberation Sans" w:hAnsi="Liberation Sans"/>
                <w:b w:val="false"/>
                <w:i w:val="false"/>
                <w:color w:val="000000"/>
                <w:sz w:val="19"/>
              </w:rPr>
              <w:t>8</w:t>
            </w:r>
          </w:p>
        </w:tc>
        <w:tc>
          <w:tcPr>
            <w:tcW w:w="1703" w:type="dxa"/>
            <w:tcBorders>
              <w:top w:val="single" w:sz="6" w:space="0" w:color="D9D9D9"/>
              <w:left w:val="single" w:sz="6" w:space="0" w:color="D9D9D9"/>
              <w:bottom w:val="single" w:sz="6" w:space="0" w:color="D9D9D9"/>
              <w:right w:val="single" w:sz="6" w:space="0" w:color="D9D9D9"/>
            </w:tcBorders>
            <w:shd w:fill="EAF2F8"/>
            <w:vAlign w:val="center"/>
          </w:tcPr>
          <w:p>
            <w:pPr>
              <w:pStyle w:val="Normal"/>
              <w:spacing w:lineRule="auto" w:line="247" w:before="0" w:after="0"/>
              <w:jc w:val="center"/>
              <w:rPr/>
            </w:pPr>
            <w:r>
              <w:rPr>
                <w:rFonts w:ascii="Liberation Sans" w:hAnsi="Liberation Sans"/>
                <w:b w:val="false"/>
                <w:i w:val="false"/>
                <w:color w:val="000000"/>
                <w:sz w:val="19"/>
              </w:rPr>
              <w:t>27</w:t>
            </w:r>
          </w:p>
        </w:tc>
        <w:tc>
          <w:tcPr>
            <w:tcW w:w="1704" w:type="dxa"/>
            <w:tcBorders>
              <w:top w:val="single" w:sz="6" w:space="0" w:color="D9D9D9"/>
              <w:left w:val="single" w:sz="6" w:space="0" w:color="D9D9D9"/>
              <w:bottom w:val="single" w:sz="6" w:space="0" w:color="D9D9D9"/>
              <w:right w:val="single" w:sz="6" w:space="0" w:color="D9D9D9"/>
            </w:tcBorders>
            <w:shd w:fill="EAF2F8"/>
            <w:vAlign w:val="center"/>
          </w:tcPr>
          <w:p>
            <w:pPr>
              <w:pStyle w:val="Normal"/>
              <w:spacing w:lineRule="auto" w:line="247" w:before="0" w:after="0"/>
              <w:rPr/>
            </w:pPr>
            <w:r>
              <w:rPr>
                <w:rFonts w:ascii="Liberation Sans" w:hAnsi="Liberation Sans"/>
                <w:b w:val="false"/>
                <w:i w:val="false"/>
                <w:color w:val="000000"/>
                <w:sz w:val="19"/>
              </w:rPr>
              <w:t>198 detected miRNAs</w:t>
            </w:r>
          </w:p>
        </w:tc>
      </w:tr>
    </w:tbl>
    <w:p>
      <w:pPr>
        <w:pStyle w:val="Normal"/>
        <w:spacing w:before="240" w:after="80"/>
        <w:rPr/>
      </w:pPr>
      <w:r>
        <w:rPr>
          <w:rFonts w:ascii="Liberation Sans" w:hAnsi="Liberation Sans"/>
          <w:b/>
          <w:i w:val="false"/>
          <w:color w:val="000000"/>
          <w:sz w:val="26"/>
        </w:rPr>
        <w:t>Selection notes</w:t>
      </w:r>
    </w:p>
    <w:p>
      <w:pPr>
        <w:pStyle w:val="ListBullet"/>
        <w:numPr>
          <w:ilvl w:val="0"/>
          <w:numId w:val="1"/>
        </w:numPr>
        <w:spacing w:lineRule="auto" w:line="252" w:before="0" w:after="80"/>
        <w:contextualSpacing/>
        <w:rPr/>
      </w:pPr>
      <w:r>
        <w:rPr>
          <w:rFonts w:ascii="Liberation Sans" w:hAnsi="Liberation Sans"/>
          <w:b w:val="false"/>
          <w:i w:val="false"/>
          <w:color w:val="000000"/>
          <w:sz w:val="20"/>
        </w:rPr>
        <w:t>mRNA: probes were restricted to sequences matching the human, chimpanzee and macaque genomes perfectly and uniquely; 12,447 genes were expressed in the PFC dataset.</w:t>
      </w:r>
    </w:p>
    <w:p>
      <w:pPr>
        <w:pStyle w:val="ListBullet"/>
        <w:numPr>
          <w:ilvl w:val="0"/>
          <w:numId w:val="1"/>
        </w:numPr>
        <w:spacing w:lineRule="auto" w:line="252" w:before="0" w:after="80"/>
        <w:contextualSpacing/>
        <w:rPr/>
      </w:pPr>
      <w:r>
        <w:rPr>
          <w:rFonts w:ascii="Liberation Sans" w:hAnsi="Liberation Sans"/>
          <w:b w:val="false"/>
          <w:i w:val="false"/>
          <w:color w:val="000000"/>
          <w:sz w:val="20"/>
        </w:rPr>
        <w:t>miRNA: 866 array features were reduced to 500 mature miRNAs conserved across all three species and then to 198 miRNAs detected in the PFC after expression filtering.</w:t>
      </w:r>
    </w:p>
    <w:p>
      <w:pPr>
        <w:pStyle w:val="ListBullet"/>
        <w:numPr>
          <w:ilvl w:val="0"/>
          <w:numId w:val="1"/>
        </w:numPr>
        <w:spacing w:lineRule="auto" w:line="252" w:before="0" w:after="80"/>
        <w:contextualSpacing/>
        <w:rPr/>
      </w:pPr>
      <w:r>
        <w:rPr>
          <w:rFonts w:ascii="Liberation Sans" w:hAnsi="Liberation Sans"/>
          <w:b w:val="false"/>
          <w:i w:val="false"/>
          <w:color w:val="000000"/>
          <w:sz w:val="20"/>
        </w:rPr>
        <w:t>The mRNA and miRNA experiments used different, only partially overlapping sets of individuals and should not be treated as a completely paired cohort.</w:t>
      </w:r>
    </w:p>
    <w:p>
      <w:pPr>
        <w:pStyle w:val="Normal"/>
        <w:spacing w:before="160" w:after="0"/>
        <w:rPr>
          <w:rFonts w:ascii="Arial" w:hAnsi="Arial"/>
          <w:b w:val="false"/>
          <w:i w:val="false"/>
          <w:i w:val="false"/>
          <w:color w:val="000000"/>
          <w:sz w:val="22"/>
        </w:rPr>
      </w:pPr>
      <w:r>
        <w:rPr>
          <w:b w:val="false"/>
          <w:i w:val="false"/>
          <w:color w:val="000000"/>
          <w:sz w:val="22"/>
        </w:rPr>
      </w:r>
    </w:p>
    <w:p>
      <w:pPr>
        <w:pStyle w:val="Heading1"/>
        <w:rPr/>
      </w:pPr>
      <w:r>
        <w:rPr/>
        <w:t>Data to download</w:t>
      </w:r>
    </w:p>
    <w:tbl>
      <w:tblPr>
        <w:tblW w:w="9993" w:type="dxa"/>
        <w:jc w:val="center"/>
        <w:tblInd w:w="0" w:type="dxa"/>
        <w:tblLayout w:type="fixed"/>
        <w:tblCellMar>
          <w:top w:w="110" w:type="dxa"/>
          <w:left w:w="120" w:type="dxa"/>
          <w:bottom w:w="110" w:type="dxa"/>
          <w:right w:w="120" w:type="dxa"/>
        </w:tblCellMar>
        <w:tblLook w:val="04a0" w:noHBand="0" w:noVBand="1" w:firstColumn="1" w:lastRow="0" w:lastColumn="0" w:firstRow="1"/>
      </w:tblPr>
      <w:tblGrid>
        <w:gridCol w:w="3331"/>
        <w:gridCol w:w="3331"/>
        <w:gridCol w:w="3331"/>
      </w:tblGrid>
      <w:tr>
        <w:trPr>
          <w:tblHeader w:val="true"/>
        </w:trPr>
        <w:tc>
          <w:tcPr>
            <w:tcW w:w="3331" w:type="dxa"/>
            <w:tcBorders>
              <w:top w:val="single" w:sz="6" w:space="0" w:color="D9D9D9"/>
              <w:left w:val="single" w:sz="6" w:space="0" w:color="D9D9D9"/>
              <w:bottom w:val="single" w:sz="6" w:space="0" w:color="D9D9D9"/>
              <w:right w:val="single" w:sz="6" w:space="0" w:color="D9D9D9"/>
            </w:tcBorders>
            <w:shd w:fill="255A7E"/>
            <w:vAlign w:val="center"/>
          </w:tcPr>
          <w:p>
            <w:pPr>
              <w:pStyle w:val="Normal"/>
              <w:spacing w:before="0" w:after="0"/>
              <w:jc w:val="center"/>
              <w:rPr/>
            </w:pPr>
            <w:r>
              <w:rPr>
                <w:b/>
                <w:color w:val="FFFFFF"/>
                <w:sz w:val="20"/>
              </w:rPr>
              <w:t>Source</w:t>
            </w:r>
          </w:p>
        </w:tc>
        <w:tc>
          <w:tcPr>
            <w:tcW w:w="3331" w:type="dxa"/>
            <w:tcBorders>
              <w:top w:val="single" w:sz="6" w:space="0" w:color="D9D9D9"/>
              <w:left w:val="single" w:sz="6" w:space="0" w:color="D9D9D9"/>
              <w:bottom w:val="single" w:sz="6" w:space="0" w:color="D9D9D9"/>
              <w:right w:val="single" w:sz="6" w:space="0" w:color="D9D9D9"/>
            </w:tcBorders>
            <w:shd w:fill="255A7E"/>
            <w:vAlign w:val="center"/>
          </w:tcPr>
          <w:p>
            <w:pPr>
              <w:pStyle w:val="Normal"/>
              <w:spacing w:before="0" w:after="0"/>
              <w:jc w:val="center"/>
              <w:rPr/>
            </w:pPr>
            <w:r>
              <w:rPr>
                <w:b/>
                <w:color w:val="FFFFFF"/>
                <w:sz w:val="20"/>
              </w:rPr>
              <w:t>Download</w:t>
            </w:r>
          </w:p>
        </w:tc>
        <w:tc>
          <w:tcPr>
            <w:tcW w:w="3331" w:type="dxa"/>
            <w:tcBorders>
              <w:top w:val="single" w:sz="6" w:space="0" w:color="D9D9D9"/>
              <w:left w:val="single" w:sz="6" w:space="0" w:color="D9D9D9"/>
              <w:bottom w:val="single" w:sz="6" w:space="0" w:color="D9D9D9"/>
              <w:right w:val="single" w:sz="6" w:space="0" w:color="D9D9D9"/>
            </w:tcBorders>
            <w:shd w:fill="255A7E"/>
            <w:vAlign w:val="center"/>
          </w:tcPr>
          <w:p>
            <w:pPr>
              <w:pStyle w:val="Normal"/>
              <w:spacing w:before="0" w:after="0"/>
              <w:jc w:val="center"/>
              <w:rPr/>
            </w:pPr>
            <w:r>
              <w:rPr>
                <w:b/>
                <w:color w:val="FFFFFF"/>
                <w:sz w:val="20"/>
              </w:rPr>
              <w:t>Decscription</w:t>
            </w:r>
          </w:p>
        </w:tc>
      </w:tr>
      <w:tr>
        <w:trPr/>
        <w:tc>
          <w:tcPr>
            <w:tcW w:w="3331"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0"/>
              <w:jc w:val="center"/>
              <w:rPr/>
            </w:pPr>
            <w:r>
              <w:rPr>
                <w:b/>
                <w:color w:val="000000"/>
                <w:sz w:val="19"/>
              </w:rPr>
              <w:t>GSE29356</w:t>
            </w:r>
          </w:p>
        </w:tc>
        <w:tc>
          <w:tcPr>
            <w:tcW w:w="3331"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0"/>
              <w:jc w:val="left"/>
              <w:rPr/>
            </w:pPr>
            <w:r>
              <w:rPr>
                <w:b w:val="false"/>
                <w:color w:val="000000"/>
                <w:sz w:val="19"/>
              </w:rPr>
              <w:t>Processed PFC miRNA file and series metadata</w:t>
            </w:r>
          </w:p>
        </w:tc>
        <w:tc>
          <w:tcPr>
            <w:tcW w:w="3331"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0"/>
              <w:jc w:val="left"/>
              <w:rPr/>
            </w:pPr>
            <w:r>
              <w:rPr>
                <w:b w:val="false"/>
                <w:color w:val="000000"/>
                <w:sz w:val="19"/>
              </w:rPr>
              <w:t>Processed PFC miRNA expression.</w:t>
            </w:r>
          </w:p>
          <w:p>
            <w:pPr>
              <w:pStyle w:val="Normal"/>
              <w:spacing w:before="0" w:after="0"/>
              <w:jc w:val="left"/>
              <w:rPr/>
            </w:pPr>
            <w:r>
              <w:rPr>
                <w:b w:val="false"/>
                <w:color w:val="000000"/>
                <w:sz w:val="19"/>
              </w:rPr>
              <w:t xml:space="preserve"> </w:t>
            </w:r>
            <w:r>
              <w:rPr>
                <w:b w:val="false"/>
                <w:color w:val="000000"/>
                <w:sz w:val="19"/>
              </w:rPr>
              <w:t>198 detected in PFC</w:t>
            </w:r>
          </w:p>
        </w:tc>
      </w:tr>
      <w:tr>
        <w:trPr/>
        <w:tc>
          <w:tcPr>
            <w:tcW w:w="3331" w:type="dxa"/>
            <w:tcBorders>
              <w:top w:val="single" w:sz="6" w:space="0" w:color="D9D9D9"/>
              <w:left w:val="single" w:sz="6" w:space="0" w:color="D9D9D9"/>
              <w:bottom w:val="single" w:sz="6" w:space="0" w:color="D9D9D9"/>
              <w:right w:val="single" w:sz="6" w:space="0" w:color="D9D9D9"/>
            </w:tcBorders>
            <w:shd w:fill="EEF4F8"/>
            <w:vAlign w:val="center"/>
          </w:tcPr>
          <w:p>
            <w:pPr>
              <w:pStyle w:val="Normal"/>
              <w:spacing w:before="0" w:after="0"/>
              <w:jc w:val="center"/>
              <w:rPr/>
            </w:pPr>
            <w:r>
              <w:rPr>
                <w:b/>
                <w:color w:val="000000"/>
                <w:sz w:val="19"/>
              </w:rPr>
              <w:t>GSE22521</w:t>
            </w:r>
          </w:p>
        </w:tc>
        <w:tc>
          <w:tcPr>
            <w:tcW w:w="3331" w:type="dxa"/>
            <w:tcBorders>
              <w:top w:val="single" w:sz="6" w:space="0" w:color="D9D9D9"/>
              <w:left w:val="single" w:sz="6" w:space="0" w:color="D9D9D9"/>
              <w:bottom w:val="single" w:sz="6" w:space="0" w:color="D9D9D9"/>
              <w:right w:val="single" w:sz="6" w:space="0" w:color="D9D9D9"/>
            </w:tcBorders>
            <w:shd w:fill="EEF4F8"/>
            <w:vAlign w:val="center"/>
          </w:tcPr>
          <w:p>
            <w:pPr>
              <w:pStyle w:val="Normal"/>
              <w:spacing w:before="0" w:after="0"/>
              <w:jc w:val="left"/>
              <w:rPr/>
            </w:pPr>
            <w:r>
              <w:rPr>
                <w:b w:val="false"/>
                <w:color w:val="000000"/>
                <w:sz w:val="19"/>
              </w:rPr>
              <w:t>Processed PFC mRNA expression or series matrix</w:t>
            </w:r>
          </w:p>
        </w:tc>
        <w:tc>
          <w:tcPr>
            <w:tcW w:w="3331" w:type="dxa"/>
            <w:tcBorders>
              <w:top w:val="single" w:sz="6" w:space="0" w:color="D9D9D9"/>
              <w:left w:val="single" w:sz="6" w:space="0" w:color="D9D9D9"/>
              <w:bottom w:val="single" w:sz="6" w:space="0" w:color="D9D9D9"/>
              <w:right w:val="single" w:sz="6" w:space="0" w:color="D9D9D9"/>
            </w:tcBorders>
            <w:shd w:fill="EEF4F8"/>
            <w:vAlign w:val="center"/>
          </w:tcPr>
          <w:p>
            <w:pPr>
              <w:pStyle w:val="Normal"/>
              <w:spacing w:before="0" w:after="0"/>
              <w:jc w:val="left"/>
              <w:rPr/>
            </w:pPr>
            <w:r>
              <w:rPr>
                <w:b w:val="false"/>
                <w:color w:val="000000"/>
                <w:sz w:val="19"/>
              </w:rPr>
              <w:t>PFC mRNA expression. 12447 genes expressed in PFC</w:t>
            </w:r>
          </w:p>
        </w:tc>
      </w:tr>
      <w:tr>
        <w:trPr/>
        <w:tc>
          <w:tcPr>
            <w:tcW w:w="3331"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0"/>
              <w:jc w:val="center"/>
              <w:rPr/>
            </w:pPr>
            <w:r>
              <w:rPr>
                <w:b/>
                <w:color w:val="000000"/>
                <w:sz w:val="19"/>
              </w:rPr>
              <w:t>GPL6244</w:t>
            </w:r>
          </w:p>
        </w:tc>
        <w:tc>
          <w:tcPr>
            <w:tcW w:w="3331"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0"/>
              <w:jc w:val="left"/>
              <w:rPr/>
            </w:pPr>
            <w:r>
              <w:rPr>
                <w:b w:val="false"/>
                <w:color w:val="000000"/>
                <w:sz w:val="19"/>
              </w:rPr>
              <w:t>Platform annotation table</w:t>
            </w:r>
          </w:p>
        </w:tc>
        <w:tc>
          <w:tcPr>
            <w:tcW w:w="3331"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0"/>
              <w:jc w:val="left"/>
              <w:rPr/>
            </w:pPr>
            <w:r>
              <w:rPr>
                <w:b w:val="false"/>
                <w:color w:val="000000"/>
                <w:sz w:val="19"/>
              </w:rPr>
              <w:t>Map Affymetrix probes to genes</w:t>
            </w:r>
          </w:p>
        </w:tc>
      </w:tr>
      <w:tr>
        <w:trPr/>
        <w:tc>
          <w:tcPr>
            <w:tcW w:w="3331" w:type="dxa"/>
            <w:tcBorders>
              <w:top w:val="single" w:sz="6" w:space="0" w:color="D9D9D9"/>
              <w:left w:val="single" w:sz="6" w:space="0" w:color="D9D9D9"/>
              <w:bottom w:val="single" w:sz="6" w:space="0" w:color="D9D9D9"/>
              <w:right w:val="single" w:sz="6" w:space="0" w:color="D9D9D9"/>
            </w:tcBorders>
            <w:shd w:fill="EEF4F8"/>
            <w:vAlign w:val="center"/>
          </w:tcPr>
          <w:p>
            <w:pPr>
              <w:pStyle w:val="Normal"/>
              <w:spacing w:before="0" w:after="0"/>
              <w:jc w:val="center"/>
              <w:rPr/>
            </w:pPr>
            <w:r>
              <w:rPr>
                <w:b/>
                <w:color w:val="000000"/>
                <w:sz w:val="19"/>
              </w:rPr>
              <w:t>Somel et al.</w:t>
            </w:r>
          </w:p>
        </w:tc>
        <w:tc>
          <w:tcPr>
            <w:tcW w:w="3331" w:type="dxa"/>
            <w:tcBorders>
              <w:top w:val="single" w:sz="6" w:space="0" w:color="D9D9D9"/>
              <w:left w:val="single" w:sz="6" w:space="0" w:color="D9D9D9"/>
              <w:bottom w:val="single" w:sz="6" w:space="0" w:color="D9D9D9"/>
              <w:right w:val="single" w:sz="6" w:space="0" w:color="D9D9D9"/>
            </w:tcBorders>
            <w:shd w:fill="EEF4F8"/>
            <w:vAlign w:val="center"/>
          </w:tcPr>
          <w:p>
            <w:pPr>
              <w:pStyle w:val="Normal"/>
              <w:spacing w:before="0" w:after="0"/>
              <w:jc w:val="left"/>
              <w:rPr/>
            </w:pPr>
            <w:r>
              <w:rPr>
                <w:b w:val="false"/>
                <w:color w:val="000000"/>
                <w:sz w:val="19"/>
              </w:rPr>
              <w:t>Table S1 and Text S1</w:t>
            </w:r>
          </w:p>
        </w:tc>
        <w:tc>
          <w:tcPr>
            <w:tcW w:w="3331" w:type="dxa"/>
            <w:tcBorders>
              <w:top w:val="single" w:sz="6" w:space="0" w:color="D9D9D9"/>
              <w:left w:val="single" w:sz="6" w:space="0" w:color="D9D9D9"/>
              <w:bottom w:val="single" w:sz="6" w:space="0" w:color="D9D9D9"/>
              <w:right w:val="single" w:sz="6" w:space="0" w:color="D9D9D9"/>
            </w:tcBorders>
            <w:shd w:fill="EEF4F8"/>
            <w:vAlign w:val="center"/>
          </w:tcPr>
          <w:p>
            <w:pPr>
              <w:pStyle w:val="Normal"/>
              <w:spacing w:before="0" w:after="0"/>
              <w:jc w:val="left"/>
              <w:rPr/>
            </w:pPr>
            <w:r>
              <w:rPr>
                <w:b w:val="false"/>
                <w:color w:val="000000"/>
                <w:sz w:val="19"/>
              </w:rPr>
              <w:t>Sample metadata and detailed methods</w:t>
            </w:r>
          </w:p>
        </w:tc>
      </w:tr>
    </w:tbl>
    <w:p>
      <w:pPr>
        <w:pStyle w:val="Normal"/>
        <w:spacing w:before="140" w:after="120"/>
        <w:rPr/>
      </w:pPr>
      <w:r>
        <w:rPr>
          <w:b/>
          <w:color w:val="000000"/>
          <w:sz w:val="21"/>
        </w:rPr>
        <w:t xml:space="preserve">Naming note. </w:t>
      </w:r>
      <w:r>
        <w:rPr>
          <w:color w:val="000000"/>
          <w:sz w:val="21"/>
        </w:rPr>
        <w:t>The article cites GSE22570, the complete mRNA data. GSE22521 is its PFC component and is therefore the appropriate starting dataset for the PFC-only analysis.</w:t>
      </w:r>
    </w:p>
    <w:p>
      <w:pPr>
        <w:pStyle w:val="Normal"/>
        <w:rPr/>
      </w:pPr>
      <w:r>
        <w:rPr>
          <w:b/>
          <w:color w:val="000000"/>
          <w:sz w:val="21"/>
        </w:rPr>
        <w:t xml:space="preserve">Normalization note. </w:t>
      </w:r>
      <w:r>
        <w:rPr>
          <w:color w:val="000000"/>
          <w:sz w:val="21"/>
        </w:rPr>
        <w:t>The authors' processed expression values were log2 transformed and quantile normalized. They are suitable for learning and for reproducing downstream analyses without beginning with raw microarray preprocessing.</w:t>
      </w:r>
    </w:p>
    <w:p>
      <w:pPr>
        <w:pStyle w:val="Heading1"/>
        <w:rPr/>
      </w:pPr>
      <w:r>
        <w:rPr/>
        <w:t>Create two test datasets</w:t>
      </w:r>
    </w:p>
    <w:p>
      <w:pPr>
        <w:pStyle w:val="ListNumber"/>
        <w:numPr>
          <w:ilvl w:val="0"/>
          <w:numId w:val="4"/>
        </w:numPr>
        <w:spacing w:lineRule="auto" w:line="259" w:before="0" w:after="60"/>
        <w:contextualSpacing/>
        <w:rPr/>
      </w:pPr>
      <w:r>
        <w:rPr>
          <w:b/>
          <w:color w:val="000000"/>
          <w:sz w:val="21"/>
        </w:rPr>
        <w:t xml:space="preserve">Check set: </w:t>
      </w:r>
      <w:r>
        <w:rPr>
          <w:color w:val="000000"/>
          <w:sz w:val="21"/>
        </w:rPr>
        <w:t>Use nine artificial subjects representing three species at three ages, four miRNAs, eight mRNAs, and approximately eight known edges. Construct several deliberately negative miRNA-mRNA relationships. This dataset verifies score direction, summary calculations, and regression code.</w:t>
      </w:r>
    </w:p>
    <w:p>
      <w:pPr>
        <w:pStyle w:val="ListNumber"/>
        <w:numPr>
          <w:ilvl w:val="0"/>
          <w:numId w:val="0"/>
        </w:numPr>
        <w:spacing w:lineRule="auto" w:line="259" w:before="0" w:after="60"/>
        <w:ind w:hanging="0" w:left="360"/>
        <w:contextualSpacing/>
        <w:rPr>
          <w:color w:val="000000"/>
          <w:sz w:val="21"/>
        </w:rPr>
      </w:pPr>
      <w:r>
        <w:rPr>
          <w:color w:val="000000"/>
          <w:sz w:val="21"/>
        </w:rPr>
      </w:r>
    </w:p>
    <w:p>
      <w:pPr>
        <w:pStyle w:val="ListNumber"/>
        <w:numPr>
          <w:ilvl w:val="0"/>
          <w:numId w:val="4"/>
        </w:numPr>
        <w:spacing w:lineRule="auto" w:line="259" w:before="0" w:after="60"/>
        <w:contextualSpacing/>
        <w:rPr/>
      </w:pPr>
      <w:r>
        <w:rPr>
          <w:b/>
          <w:color w:val="000000"/>
          <w:sz w:val="21"/>
        </w:rPr>
        <w:t xml:space="preserve">Debugging set. </w:t>
      </w:r>
      <w:r>
        <w:rPr>
          <w:color w:val="000000"/>
          <w:sz w:val="21"/>
        </w:rPr>
        <w:t>Retain all 26 matched PFC subjects, but initially use approximately 20 miRNAs, 200 targeted genes, and 500 to 1,000 interactions. Keeping every subject preserves the species and age structure needed for developmental models.</w:t>
      </w:r>
    </w:p>
    <w:p>
      <w:pPr>
        <w:pStyle w:val="ListNumber"/>
        <w:numPr>
          <w:ilvl w:val="0"/>
          <w:numId w:val="4"/>
        </w:numPr>
        <w:spacing w:lineRule="auto" w:line="259" w:before="0" w:after="60"/>
        <w:contextualSpacing/>
        <w:rPr>
          <w:color w:val="000000"/>
          <w:sz w:val="21"/>
        </w:rPr>
      </w:pPr>
      <w:r>
        <w:rPr/>
      </w:r>
    </w:p>
    <w:p>
      <w:pPr>
        <w:pStyle w:val="Normal"/>
        <w:rPr>
          <w:b/>
          <w:bCs/>
          <w:sz w:val="24"/>
          <w:szCs w:val="24"/>
        </w:rPr>
      </w:pPr>
      <w:r>
        <w:rPr>
          <w:b/>
          <w:bCs/>
          <w:color w:val="000000"/>
          <w:sz w:val="24"/>
          <w:szCs w:val="24"/>
        </w:rPr>
        <w:t>Purpose / Idea</w:t>
      </w:r>
    </w:p>
    <w:p>
      <w:pPr>
        <w:pStyle w:val="BodyText"/>
        <w:numPr>
          <w:ilvl w:val="0"/>
          <w:numId w:val="7"/>
        </w:numPr>
        <w:tabs>
          <w:tab w:val="clear" w:pos="720"/>
          <w:tab w:val="left" w:pos="0" w:leader="none"/>
        </w:tabs>
        <w:spacing w:before="0" w:after="0"/>
        <w:ind w:hanging="283" w:left="720"/>
        <w:rPr/>
      </w:pPr>
      <w:r>
        <w:rPr>
          <w:rStyle w:val="Strong"/>
          <w:color w:val="000000"/>
          <w:sz w:val="21"/>
        </w:rPr>
        <w:t>Check set:</w:t>
      </w:r>
      <w:r>
        <w:rPr>
          <w:color w:val="000000"/>
          <w:sz w:val="21"/>
        </w:rPr>
        <w:t xml:space="preserve"> verify calculations against known answers.</w:t>
      </w:r>
    </w:p>
    <w:p>
      <w:pPr>
        <w:pStyle w:val="BodyText"/>
        <w:numPr>
          <w:ilvl w:val="0"/>
          <w:numId w:val="8"/>
        </w:numPr>
        <w:tabs>
          <w:tab w:val="clear" w:pos="720"/>
          <w:tab w:val="left" w:pos="0" w:leader="none"/>
        </w:tabs>
        <w:spacing w:before="0" w:after="0"/>
        <w:ind w:hanging="283" w:left="720"/>
        <w:rPr/>
      </w:pPr>
      <w:r>
        <w:rPr>
          <w:rStyle w:val="Strong"/>
        </w:rPr>
        <w:t>Debugging set:</w:t>
      </w:r>
      <w:r>
        <w:rPr/>
        <w:t xml:space="preserve"> </w:t>
      </w:r>
      <w:r>
        <w:rPr/>
        <w:t>For debugging only. V</w:t>
      </w:r>
      <w:r>
        <w:rPr/>
        <w:t xml:space="preserve">erify the pipeline using all 26 individuals but fewer molecular features. </w:t>
      </w:r>
      <w:r>
        <w:rPr>
          <w:color w:val="000000"/>
          <w:sz w:val="21"/>
        </w:rPr>
        <w:t>Biological conclusions must be based on the full dataset.</w:t>
      </w:r>
    </w:p>
    <w:p>
      <w:pPr>
        <w:pStyle w:val="BodyText"/>
        <w:numPr>
          <w:ilvl w:val="0"/>
          <w:numId w:val="0"/>
        </w:numPr>
        <w:tabs>
          <w:tab w:val="clear" w:pos="720"/>
          <w:tab w:val="left" w:pos="0" w:leader="none"/>
        </w:tabs>
        <w:spacing w:before="0" w:after="0"/>
        <w:ind w:hanging="0" w:left="720"/>
        <w:rPr>
          <w:color w:val="000000"/>
          <w:sz w:val="21"/>
        </w:rPr>
      </w:pPr>
      <w:r>
        <w:rPr/>
      </w:r>
    </w:p>
    <w:p>
      <w:pPr>
        <w:pStyle w:val="BodyText"/>
        <w:tabs>
          <w:tab w:val="clear" w:pos="720"/>
          <w:tab w:val="left" w:pos="0" w:leader="none"/>
        </w:tabs>
        <w:ind w:hanging="0" w:left="720"/>
        <w:rPr/>
      </w:pPr>
      <w:r>
        <w:rPr/>
      </w:r>
    </w:p>
    <w:p>
      <w:pPr>
        <w:pStyle w:val="Heading1"/>
        <w:rPr/>
      </w:pPr>
      <w:r>
        <w:rPr/>
        <w:t>Sources</w:t>
      </w:r>
    </w:p>
    <w:p>
      <w:pPr>
        <w:pStyle w:val="Normal"/>
        <w:spacing w:before="0" w:after="60"/>
        <w:ind w:hanging="317" w:left="317"/>
        <w:rPr/>
      </w:pPr>
      <w:r>
        <w:rPr>
          <w:color w:val="000000"/>
          <w:sz w:val="18"/>
        </w:rPr>
        <w:t>1.  Somel M et al. MicroRNA-Driven Developmental Remodeling in the Brain Distinguishes Humans from Other Primates. PLOS Biology 9(12): e1001214. https://doi.org/10.1371/journal.pbio.1001214</w:t>
      </w:r>
    </w:p>
    <w:p>
      <w:pPr>
        <w:pStyle w:val="Normal"/>
        <w:spacing w:before="0" w:after="60"/>
        <w:ind w:hanging="317" w:left="317"/>
        <w:rPr/>
      </w:pPr>
      <w:r>
        <w:rPr>
          <w:color w:val="000000"/>
          <w:sz w:val="18"/>
        </w:rPr>
        <w:t>2.  NCBI Gene Expression Omnibus GSE29356. https://www.ncbi.nlm.nih.gov/geo/query/acc.cgi?acc=GSE29356</w:t>
      </w:r>
    </w:p>
    <w:p>
      <w:pPr>
        <w:pStyle w:val="Normal"/>
        <w:spacing w:before="0" w:after="60"/>
        <w:ind w:hanging="317" w:left="317"/>
        <w:rPr/>
      </w:pPr>
      <w:r>
        <w:rPr>
          <w:color w:val="000000"/>
          <w:sz w:val="18"/>
        </w:rPr>
        <w:t>3.  NCBI Gene Expression Omnibus GSE22521. https://www.ncbi.nlm.nih.gov/geo/query/acc.cgi?acc=GSE22521</w:t>
      </w:r>
    </w:p>
    <w:p>
      <w:pPr>
        <w:pStyle w:val="Normal"/>
        <w:spacing w:before="0" w:after="60"/>
        <w:ind w:hanging="317" w:left="317"/>
        <w:rPr/>
      </w:pPr>
      <w:r>
        <w:rPr>
          <w:color w:val="000000"/>
          <w:sz w:val="18"/>
        </w:rPr>
        <w:t>4.  NCBI Gene Expression Omnibus GPL6244. https://www.ncbi.nlm.nih.gov/geo/query/acc.cgi?acc=GPL6244</w:t>
      </w:r>
    </w:p>
    <w:p>
      <w:pPr>
        <w:pStyle w:val="Normal"/>
        <w:spacing w:before="0" w:after="60"/>
        <w:ind w:hanging="317" w:left="317"/>
        <w:rPr/>
      </w:pPr>
      <w:r>
        <w:rPr>
          <w:color w:val="000000"/>
          <w:sz w:val="18"/>
        </w:rPr>
        <w:t>5.  TargetScanHuman Release 8.0 data download. https://www.targetscan.org/cgi-bin/targetscan/data_download.vert80.cgi</w:t>
      </w:r>
    </w:p>
    <w:sectPr>
      <w:footerReference w:type="even" r:id="rId2"/>
      <w:footerReference w:type="default" r:id="rId3"/>
      <w:footerReference w:type="first" r:id="rId4"/>
      <w:type w:val="nextPage"/>
      <w:pgSz w:w="12240" w:h="15840"/>
      <w:pgMar w:left="1123" w:right="1123" w:gutter="0" w:header="0" w:top="1037" w:footer="720"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66666"/>
        <w:sz w:val="17"/>
      </w:rPr>
      <w:t xml:space="preserve">miRNA mRNA Project Data Starting Report   </w:t>
    </w: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66666"/>
        <w:sz w:val="17"/>
      </w:rPr>
      <w:t xml:space="preserve">miRNA mRNA Project Data Starting Report   </w:t>
    </w:r>
    <w:r>
      <w:rPr/>
      <w:fldChar w:fldCharType="begin"/>
    </w:r>
    <w:r>
      <w:rPr/>
      <w:instrText xml:space="preserve"> PAGE </w:instrText>
    </w:r>
    <w:r>
      <w:rPr/>
      <w:fldChar w:fldCharType="separate"/>
    </w:r>
    <w:r>
      <w:rPr/>
      <w:t>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20"/>
      <w:jc w:val="left"/>
    </w:pPr>
    <w:rPr>
      <w:rFonts w:ascii="Arial" w:hAnsi="Arial" w:eastAsia="ＭＳ 明朝" w:cs=""/>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00"/>
      <w:outlineLvl w:val="0"/>
    </w:pPr>
    <w:rPr>
      <w:rFonts w:ascii="Calibri" w:hAnsi="Calibri" w:eastAsia="" w:cs="" w:asciiTheme="majorHAnsi" w:cstheme="majorBidi" w:eastAsiaTheme="majorEastAsia" w:hAnsiTheme="majorHAnsi"/>
      <w:b/>
      <w:bCs/>
      <w:color w:val="000000"/>
      <w:sz w:val="30"/>
      <w:szCs w:val="28"/>
    </w:rPr>
  </w:style>
  <w:style w:type="paragraph" w:styleId="Heading2">
    <w:name w:val="Heading 2"/>
    <w:basedOn w:val="Normal"/>
    <w:next w:val="Normal"/>
    <w:link w:val="Heading2Char"/>
    <w:uiPriority w:val="9"/>
    <w:unhideWhenUsed/>
    <w:qFormat/>
    <w:rsid w:val="00fc693f"/>
    <w:pPr>
      <w:keepNext w:val="true"/>
      <w:keepLines/>
      <w:spacing w:before="160" w:after="60"/>
      <w:outlineLvl w:val="1"/>
    </w:pPr>
    <w:rPr>
      <w:rFonts w:ascii="Calibri" w:hAnsi="Calibri" w:eastAsia=""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240"/>
      <w:contextualSpacing/>
    </w:pPr>
    <w:rPr>
      <w:rFonts w:ascii="Calibri" w:hAnsi="Calibri" w:eastAsia="" w:cs="" w:asciiTheme="majorHAnsi" w:cstheme="majorBidi" w:eastAsiaTheme="majorEastAsia" w:hAnsiTheme="majorHAnsi"/>
      <w:b/>
      <w:color w:val="000000"/>
      <w:spacing w:val="5"/>
      <w:kern w:val="2"/>
      <w:sz w:val="46"/>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Application>LibreOffice/24.2.7.2$Linux_X86_64 LibreOffice_project/420$Build-2</Application>
  <AppVersion>15.0000</AppVersion>
  <Pages>2</Pages>
  <Words>453</Words>
  <Characters>2854</Characters>
  <CharactersWithSpaces>3276</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miRNA mRNA primate brain data plan</cp:keywords>
  <dc:language>en-US</dc:language>
  <cp:lastModifiedBy/>
  <dcterms:modified xsi:type="dcterms:W3CDTF">2026-10-05T14:13:13Z</dcterms:modified>
  <cp:revision>8</cp:revision>
  <dc:subject>Initial data downloads and test datasets</dc:subject>
  <dc:title>Starting the miRNA mRNA Brain Development Project</dc:title>
</cp:coreProperties>
</file>

<file path=docProps/custom.xml><?xml version="1.0" encoding="utf-8"?>
<Properties xmlns="http://schemas.openxmlformats.org/officeDocument/2006/custom-properties" xmlns:vt="http://schemas.openxmlformats.org/officeDocument/2006/docPropsVTypes"/>
</file>