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sz w:val="30"/>
          <w:szCs w:val="30"/>
        </w:rPr>
        <w:t>NBA Head-to-Head Win Probability Prediction</w:t>
      </w:r>
    </w:p>
    <w:p>
      <w:pPr>
        <w:pStyle w:val="Normal"/>
        <w:spacing w:before="0" w:after="160"/>
        <w:jc w:val="center"/>
        <w:rPr>
          <w:i w:val="false"/>
          <w:iCs w:val="false"/>
        </w:rPr>
      </w:pPr>
      <w:r>
        <w:rPr>
          <w:i w:val="false"/>
          <w:iCs w:val="false"/>
          <w:sz w:val="18"/>
          <w:szCs w:val="18"/>
        </w:rPr>
        <w:t>Executive Summary — Erdős Institute Data Science Boot Camp, Summer 2026</w:t>
      </w:r>
    </w:p>
    <w:p>
      <w:pPr>
        <w:pStyle w:val="Normal"/>
        <w:pBdr>
          <w:bottom w:val="single" w:sz="4" w:space="2" w:color="000000"/>
        </w:pBdr>
        <w:spacing w:before="160" w:after="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Team: </w:t>
      </w:r>
      <w:r>
        <w:rPr>
          <w:b w:val="false"/>
          <w:bCs w:val="false"/>
          <w:sz w:val="20"/>
          <w:szCs w:val="20"/>
        </w:rPr>
        <w:t>Jason Qin, Marshall Scott, Pengfei Zhang</w:t>
      </w:r>
    </w:p>
    <w:p>
      <w:pPr>
        <w:pStyle w:val="Normal"/>
        <w:pBdr>
          <w:bottom w:val="single" w:sz="4" w:space="2" w:color="000000"/>
        </w:pBdr>
        <w:spacing w:before="160" w:after="60"/>
        <w:rPr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Project Mentor:</w:t>
      </w:r>
      <w:r>
        <w:rPr>
          <w:b w:val="false"/>
          <w:bCs w:val="false"/>
          <w:sz w:val="20"/>
          <w:szCs w:val="20"/>
        </w:rPr>
        <w:t xml:space="preserve"> Alec Traaseth</w:t>
      </w:r>
    </w:p>
    <w:p>
      <w:pPr>
        <w:pStyle w:val="Normal"/>
        <w:pBdr>
          <w:bottom w:val="single" w:sz="4" w:space="2" w:color="000000"/>
        </w:pBdr>
        <w:spacing w:before="160" w:after="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Objectives</w:t>
      </w:r>
    </w:p>
    <w:p>
      <w:pPr>
        <w:pStyle w:val="Normal"/>
        <w:spacing w:before="0" w:after="80"/>
        <w:rPr>
          <w:sz w:val="18"/>
          <w:szCs w:val="18"/>
        </w:rPr>
      </w:pPr>
      <w:r>
        <w:rPr>
          <w:sz w:val="18"/>
          <w:szCs w:val="18"/>
        </w:rPr>
        <w:t>Develop a machine learning system that predicts NBA head-to-head win probability using historical team-level win/loss records and rolling individual/team performance metrics.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  <w:sz w:val="20"/>
          <w:szCs w:val="20"/>
        </w:rPr>
        <w:t>Stakeholders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>Prediction markets, sport bettors and gamblers — all users who benefit from a data-driven probability of a team winning a given matchup.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  <w:sz w:val="20"/>
          <w:szCs w:val="20"/>
        </w:rPr>
        <w:t>Data Collection &amp; Cleaning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>Import the</w:t>
      </w:r>
      <w:r>
        <w:rPr>
          <w:sz w:val="18"/>
          <w:szCs w:val="18"/>
        </w:rPr>
        <w:t xml:space="preserve"> play-by-play and box-score data via the nba_api package and </w:t>
      </w:r>
      <w:r>
        <w:rPr>
          <w:sz w:val="18"/>
          <w:szCs w:val="18"/>
        </w:rPr>
        <w:t>open</w:t>
      </w:r>
      <w:r>
        <w:rPr>
          <w:sz w:val="18"/>
          <w:szCs w:val="18"/>
        </w:rPr>
        <w:t xml:space="preserve"> Kaggle datasets (historical box scores, player stats). Cleaned to remove non-competitive </w:t>
      </w:r>
      <w:r>
        <w:rPr>
          <w:sz w:val="18"/>
          <w:szCs w:val="18"/>
        </w:rPr>
        <w:t>games</w:t>
      </w:r>
      <w:r>
        <w:rPr>
          <w:sz w:val="18"/>
          <w:szCs w:val="18"/>
        </w:rPr>
        <w:t xml:space="preserve"> (All-Star Weekend </w:t>
      </w:r>
      <w:r>
        <w:rPr>
          <w:sz w:val="18"/>
          <w:szCs w:val="18"/>
        </w:rPr>
        <w:t>games</w:t>
      </w:r>
      <w:r>
        <w:rPr>
          <w:sz w:val="18"/>
          <w:szCs w:val="18"/>
        </w:rPr>
        <w:t xml:space="preserve">) while retaining legitimate international regular-season games. Verified team-ID stability across franchise renames. </w:t>
      </w:r>
      <w:r>
        <w:rPr>
          <w:sz w:val="18"/>
          <w:szCs w:val="18"/>
        </w:rPr>
        <w:t>S</w:t>
      </w:r>
      <w:r>
        <w:rPr>
          <w:sz w:val="18"/>
          <w:szCs w:val="18"/>
        </w:rPr>
        <w:t>plit data into Regular-Season-only and Regular+Playoff scopes for separate evaluation.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  <w:sz w:val="20"/>
          <w:szCs w:val="20"/>
        </w:rPr>
        <w:t>Exploratory Data Analysis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 xml:space="preserve">Computed scheduling context features (rest days, back-to-backs). Engineered home-minus-away differential features from rolling 10-game averages and exponentially-weighted (halflife=3) team statistics: scoring, shooting efficiency, rebounding, assists, turnovers, steals, blocks, plus-minus, and recent win-rate. </w:t>
      </w:r>
      <w:r>
        <w:rPr>
          <w:sz w:val="18"/>
          <w:szCs w:val="18"/>
        </w:rPr>
        <w:t>V</w:t>
      </w:r>
      <w:r>
        <w:rPr>
          <w:sz w:val="18"/>
          <w:szCs w:val="18"/>
        </w:rPr>
        <w:t>isualizations confirmed these differentials meaningfully separate wins from losses. Across every model family tested, plusMinusPoints consistently emerged as the single strongest predictor, with recent win-rate and shooting efficiency close behind; scheduling features (rest days, back-to-backs) carried comparatively little predictive weight.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  <w:sz w:val="20"/>
          <w:szCs w:val="20"/>
        </w:rPr>
        <w:t>Modeling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>Four model families were compared using season-by-season backtesting, and walk-forward cross-validation (rolling 5-year training window) across Regular Season and Combined datasets: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sz w:val="18"/>
          <w:szCs w:val="18"/>
        </w:rPr>
        <w:t>Logistic Regression (L1/LASSO) — interpretable baseline with directly calibrated probabilities.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Generalized Additive Models (GAMs) — spline + tensor-interaction terms to capture non-linear effects.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Random Forest &amp; Extra Trees — bagged ensembles for feature interactions and variance reduction.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XGBoost — gradient-boosted trees for sequential, loss-optimized predictions.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  <w:sz w:val="20"/>
          <w:szCs w:val="20"/>
        </w:rPr>
        <w:t>Final Results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>Logistic Regression reached 64.8% accuracy (ROC-AUC 0.699) on the combined regular-season-plus-playoff dataset using the full engineered feature set. The Generalized Additive Model performed comparably at 62.9% accuracy (ROC-AUC 0.667) on its held-out test split, confirming that the relationships in the data are close to linear rather than sharply non-linear. Tree-based ensembles matched this range: Random Forest reached 64.9% accuracy in its best validation season, and Extra Trees peaked at 65.7% accuracy in 2024. XGBoost achieved 63.3% accuracy (ROC-AUC 0.674, log loss 0.645) on its chronological holdout.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 xml:space="preserve">Taken together, all four model families converge to a similar ceiling of roughly 63–66% regular-season accuracy (ROC-AUC ≈ 0.65–0.71), pointing to an irreducible “any given night” noise floor in NBA outcomes rather than a modeling shortfall. </w:t>
      </w:r>
    </w:p>
    <w:p>
      <w:pPr>
        <w:pStyle w:val="Normal"/>
        <w:pBdr>
          <w:bottom w:val="single" w:sz="4" w:space="2" w:color="000000"/>
        </w:pBdr>
        <w:spacing w:before="160" w:after="60"/>
        <w:rPr/>
      </w:pPr>
      <w:r>
        <w:rPr>
          <w:b/>
          <w:bCs/>
          <w:sz w:val="20"/>
          <w:szCs w:val="20"/>
        </w:rPr>
        <w:t>Future Directions</w:t>
      </w:r>
    </w:p>
    <w:p>
      <w:pPr>
        <w:pStyle w:val="Normal"/>
        <w:spacing w:before="0" w:after="80"/>
        <w:rPr/>
      </w:pPr>
      <w:r>
        <w:rPr>
          <w:sz w:val="18"/>
          <w:szCs w:val="18"/>
        </w:rPr>
        <w:t>Several extensions could push predictive performance beyond the current ceiling: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Player-level statistics — incorporating individual player efficiency, usage rate, and matchup-specific performance rather than relying solely on team-level aggregates.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Injury reports — accounting for player availability and load management, which can shift a team's effective strength independent of its recent record.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Lineup and rotation data — modeling how specific five-man lineups perform together, rather than treating a team as a single averaged unit.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Betting market odds as a feature or benchmark — comparing model output against market-implied probabilities to gauge relative edge.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sz w:val="18"/>
          <w:szCs w:val="18"/>
        </w:rPr>
        <w:t>Richer playoff-specific modeling — given the high variance observed in postseason-only backtests, a dedicated playoff model (or series-aware features, such as prior head-to-head results within the same series) may generalize better than transferring regular-season models directly.</w:t>
      </w:r>
    </w:p>
    <w:sectPr>
      <w:type w:val="nextPage"/>
      <w:pgSz w:w="12240" w:h="15840"/>
      <w:pgMar w:left="700" w:right="70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SC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SC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SC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571</TotalTime>
  <Application>LibreOffice/26.2.4.2$Windows_X86_64 LibreOffice_project/0229ac93fcf0d7cbc6376066c6f35021cef002dc</Application>
  <AppVersion>15.0000</AppVersion>
  <Pages>1</Pages>
  <Words>521</Words>
  <Characters>3531</Characters>
  <CharactersWithSpaces>4025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2026-07-05T03:29:31Z</dcterms:created>
  <dc:creator>Un-named</dc:creator>
  <dc:description/>
  <dc:language>en-US</dc:language>
  <cp:lastModifiedBy/>
  <dcterms:modified xsi:type="dcterms:W3CDTF">2026-07-05T20:42:29Z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