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b/>
          <w:bCs/>
          <w:color w:val="1B2A4A"/>
          <w:sz w:val="52"/>
          <w:szCs w:val="52"/>
        </w:rPr>
        <w:t xml:space="preserve">FINOPS FRAMEWORK</w:t>
      </w:r>
    </w:p>
    <w:p>
      <w:pPr>
        <w:spacing w:after="80"/>
        <w:jc w:val="center"/>
      </w:pPr>
      <w:r>
        <w:rPr>
          <w:rFonts w:ascii="Georgia" w:cs="Georgia" w:eastAsia="Georgia" w:hAnsi="Georgia"/>
          <w:color w:val="2A7F8E"/>
          <w:sz w:val="36"/>
          <w:szCs w:val="36"/>
        </w:rPr>
        <w:t xml:space="preserve">FOR LLM &amp; AI AGENT COST ESTIMATION</w:t>
      </w:r>
    </w:p>
    <w:p>
      <w:pPr>
        <w:pBdr>
          <w:bottom w:val="single" w:color="D4A843" w:sz="6" w:space="1"/>
        </w:pBdr>
        <w:spacing w:after="400"/>
        <w:jc w:val="center"/>
      </w:pPr>
    </w:p>
    <w:p>
      <w:pPr>
        <w:spacing w:after="80"/>
        <w:jc w:val="center"/>
      </w:pPr>
      <w:r>
        <w:rPr>
          <w:rFonts w:ascii="Arial" w:cs="Arial" w:eastAsia="Arial" w:hAnsi="Arial"/>
          <w:color w:val="2D2D2D"/>
          <w:sz w:val="24"/>
          <w:szCs w:val="24"/>
        </w:rPr>
        <w:t xml:space="preserve">An Organisational Template for Planning, Tracking,</w:t>
      </w:r>
    </w:p>
    <w:p>
      <w:pPr>
        <w:spacing w:after="80"/>
        <w:jc w:val="center"/>
      </w:pPr>
      <w:r>
        <w:rPr>
          <w:rFonts w:ascii="Arial" w:cs="Arial" w:eastAsia="Arial" w:hAnsi="Arial"/>
          <w:color w:val="2D2D2D"/>
          <w:sz w:val="24"/>
          <w:szCs w:val="24"/>
        </w:rPr>
        <w:t xml:space="preserve">and Optimising AI Infrastructure Spend</w:t>
      </w:r>
    </w:p>
    <w:p>
      <w:pPr>
        <w:spacing w:before="600"/>
      </w:pPr>
    </w:p>
    <w:p>
      <w:pPr>
        <w:spacing w:after="60"/>
        <w:jc w:val="center"/>
      </w:pPr>
      <w:r>
        <w:rPr>
          <w:rFonts w:ascii="Arial" w:cs="Arial" w:eastAsia="Arial" w:hAnsi="Arial"/>
          <w:b/>
          <w:bCs/>
          <w:color w:val="1B2A4A"/>
          <w:sz w:val="22"/>
          <w:szCs w:val="22"/>
        </w:rPr>
        <w:t xml:space="preserve">[Organisation Name]</w:t>
      </w:r>
    </w:p>
    <w:p>
      <w:pPr>
        <w:spacing w:after="60"/>
        <w:jc w:val="center"/>
      </w:pPr>
      <w:r>
        <w:rPr>
          <w:rFonts w:ascii="Arial" w:cs="Arial" w:eastAsia="Arial" w:hAnsi="Arial"/>
          <w:color w:val="2D2D2D"/>
          <w:sz w:val="20"/>
          <w:szCs w:val="20"/>
        </w:rPr>
        <w:t xml:space="preserve">Version 1.0  |  [Date]</w:t>
      </w:r>
    </w:p>
    <w:p>
      <w:pPr>
        <w:jc w:val="center"/>
      </w:pPr>
      <w:r>
        <w:rPr>
          <w:rFonts w:ascii="Arial" w:cs="Arial" w:eastAsia="Arial" w:hAnsi="Arial"/>
          <w:color w:val="2D2D2D"/>
          <w:sz w:val="20"/>
          <w:szCs w:val="20"/>
        </w:rPr>
        <w:t xml:space="preserve">Prepared by: [FinOps Lead / AI Platform Team]</w:t>
      </w:r>
    </w:p>
    <w:p>
      <w:pPr>
        <w:sectPr>
          <w:pgSz w:w="11906" w:h="16838" w:orient="portrait"/>
          <w:pgMar w:top="1440" w:right="1440" w:bottom="1440" w:left="1440" w:header="708" w:footer="708" w:gutter="0"/>
          <w:pgNumType/>
          <w:docGrid w:linePitch="360"/>
        </w:sectPr>
      </w:pPr>
    </w:p>
    <w:p>
      <w:pPr>
        <w:pStyle w:val="Heading1"/>
        <w:spacing w:after="300"/>
      </w:pPr>
      <w:r>
        <w:rPr>
          <w:rFonts w:ascii="Georgia" w:cs="Georgia" w:eastAsia="Georgia" w:hAnsi="Georgia"/>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B2A4A"/>
          <w:sz w:val="32"/>
          <w:szCs w:val="32"/>
        </w:rPr>
        <w:t xml:space="preserve">1. Executive Summary</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This framework provides a structured, repeatable methodology for estimating, tracking, and optimising costs associated with Large Language Model (LLM) inference, fine-tuning, and autonomous AI agent operations. It is designed for use by FinOps practitioners, AI/ML platform teams, and financial controllers who need to bring the same rigour to AI spend that already exists for traditional cloud infrastructure.</w:t>
      </w:r>
    </w:p>
    <w:p>
      <w:pPr>
        <w:spacing w:after="120" w:line="276"/>
      </w:pPr>
      <w:r>
        <w:rPr>
          <w:rFonts w:ascii="Arial" w:cs="Arial" w:eastAsia="Arial" w:hAnsi="Arial"/>
          <w:color w:val="2D2D2D"/>
          <w:sz w:val="21"/>
          <w:szCs w:val="21"/>
        </w:rPr>
        <w:t xml:space="preserve">The framework covers five core areas: cost taxonomy and anatomy, estimation templates, governance and accountability structures, optimisation levers, and reporting cadences. Each section includes fillable templates that can be adapted to your organisation’s specific model portfolio, deployment topology, and business objectives.</w:t>
      </w:r>
    </w:p>
    <w:p>
      <w:pPr>
        <w:pStyle w:val="Heading2"/>
        <w:spacing w:after="160" w:before="240"/>
      </w:pPr>
      <w:r>
        <w:rPr>
          <w:rFonts w:ascii="Georgia" w:cs="Georgia" w:eastAsia="Georgia" w:hAnsi="Georgia"/>
          <w:b/>
          <w:bCs/>
          <w:color w:val="2A7F8E"/>
          <w:sz w:val="26"/>
          <w:szCs w:val="26"/>
        </w:rPr>
        <w:t xml:space="preserve">1.1 Who Should Use This Framework</w:t>
      </w:r>
    </w:p>
    <w:p>
      <w:pPr>
        <w:pStyle w:val="ListParagraph"/>
        <w:numPr>
          <w:ilvl w:val="0"/>
          <w:numId w:val="2"/>
        </w:numPr>
        <w:spacing w:after="60" w:line="276"/>
      </w:pPr>
      <w:r>
        <w:rPr>
          <w:rFonts w:ascii="Arial" w:cs="Arial" w:eastAsia="Arial" w:hAnsi="Arial"/>
          <w:color w:val="2D2D2D"/>
          <w:sz w:val="21"/>
          <w:szCs w:val="21"/>
        </w:rPr>
        <w:t xml:space="preserve">FinOps leads and cloud cost analysts responsible for AI infrastructure budgets</w:t>
      </w:r>
    </w:p>
    <w:p>
      <w:pPr>
        <w:pStyle w:val="ListParagraph"/>
        <w:numPr>
          <w:ilvl w:val="0"/>
          <w:numId w:val="2"/>
        </w:numPr>
        <w:spacing w:after="60" w:line="276"/>
      </w:pPr>
      <w:r>
        <w:rPr>
          <w:rFonts w:ascii="Arial" w:cs="Arial" w:eastAsia="Arial" w:hAnsi="Arial"/>
          <w:color w:val="2D2D2D"/>
          <w:sz w:val="21"/>
          <w:szCs w:val="21"/>
        </w:rPr>
        <w:t xml:space="preserve">AI/ML platform engineering teams provisioning inference and training infrastructure</w:t>
      </w:r>
    </w:p>
    <w:p>
      <w:pPr>
        <w:pStyle w:val="ListParagraph"/>
        <w:numPr>
          <w:ilvl w:val="0"/>
          <w:numId w:val="2"/>
        </w:numPr>
        <w:spacing w:after="60" w:line="276"/>
      </w:pPr>
      <w:r>
        <w:rPr>
          <w:rFonts w:ascii="Arial" w:cs="Arial" w:eastAsia="Arial" w:hAnsi="Arial"/>
          <w:color w:val="2D2D2D"/>
          <w:sz w:val="21"/>
          <w:szCs w:val="21"/>
        </w:rPr>
        <w:t xml:space="preserve">Product managers and business owners sponsoring AI-powered features</w:t>
      </w:r>
    </w:p>
    <w:p>
      <w:pPr>
        <w:pStyle w:val="ListParagraph"/>
        <w:numPr>
          <w:ilvl w:val="0"/>
          <w:numId w:val="2"/>
        </w:numPr>
        <w:spacing w:after="60" w:line="276"/>
      </w:pPr>
      <w:r>
        <w:rPr>
          <w:rFonts w:ascii="Arial" w:cs="Arial" w:eastAsia="Arial" w:hAnsi="Arial"/>
          <w:color w:val="2D2D2D"/>
          <w:sz w:val="21"/>
          <w:szCs w:val="21"/>
        </w:rPr>
        <w:t xml:space="preserve">CFOs and financial controllers needing visibility into AI unit economics</w:t>
      </w:r>
    </w:p>
    <w:p>
      <w:pPr>
        <w:pStyle w:val="ListParagraph"/>
        <w:numPr>
          <w:ilvl w:val="0"/>
          <w:numId w:val="2"/>
        </w:numPr>
        <w:spacing w:after="60" w:line="276"/>
      </w:pPr>
      <w:r>
        <w:rPr>
          <w:rFonts w:ascii="Arial" w:cs="Arial" w:eastAsia="Arial" w:hAnsi="Arial"/>
          <w:color w:val="2D2D2D"/>
          <w:sz w:val="21"/>
          <w:szCs w:val="21"/>
        </w:rPr>
        <w:t xml:space="preserve">Procurement teams negotiating model provider contracts and committed-use agreements</w:t>
      </w:r>
    </w:p>
    <w:p>
      <w:pPr>
        <w:pStyle w:val="Heading2"/>
        <w:spacing w:after="160" w:before="240"/>
      </w:pPr>
      <w:r>
        <w:rPr>
          <w:rFonts w:ascii="Georgia" w:cs="Georgia" w:eastAsia="Georgia" w:hAnsi="Georgia"/>
          <w:b/>
          <w:bCs/>
          <w:color w:val="2A7F8E"/>
          <w:sz w:val="26"/>
          <w:szCs w:val="26"/>
        </w:rPr>
        <w:t xml:space="preserve">1.2 Framework Scope</w:t>
      </w:r>
    </w:p>
    <w:p>
      <w:pPr>
        <w:spacing w:after="120" w:line="276"/>
      </w:pPr>
      <w:r>
        <w:rPr>
          <w:rFonts w:ascii="Arial" w:cs="Arial" w:eastAsia="Arial" w:hAnsi="Arial"/>
          <w:color w:val="2D2D2D"/>
          <w:sz w:val="21"/>
          <w:szCs w:val="21"/>
        </w:rPr>
        <w:t xml:space="preserve">This framework addresses costs across the full lifecycle of LLM and AI agent deployment, from initial experimentation through production scaling. It explicitly separates three cost domains that are often conflated: API-based inference costs (pay-per-token models from providers such as OpenAI, Anthropic, Google, and Cohere), self-hosted inference costs (GPU compute, storage, networking, and MLOps tooling for open-weight models), and AI agent orchestration costs (tool-call chains, memory and context management, retrieval-augmented generation infrastructure, and multi-step agentic loops).</w:t>
      </w:r>
    </w:p>
    <w:p>
      <w:r>
        <w:br w:type="page"/>
      </w:r>
    </w:p>
    <w:p>
      <w:pPr>
        <w:pStyle w:val="Heading1"/>
        <w:spacing w:after="200" w:before="360"/>
      </w:pPr>
      <w:r>
        <w:rPr>
          <w:rFonts w:ascii="Georgia" w:cs="Georgia" w:eastAsia="Georgia" w:hAnsi="Georgia"/>
          <w:b/>
          <w:bCs/>
          <w:color w:val="1B2A4A"/>
          <w:sz w:val="32"/>
          <w:szCs w:val="32"/>
        </w:rPr>
        <w:t xml:space="preserve">2. AI Cost Taxonomy</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Before estimating cost, you need a shared vocabulary. The taxonomy below classifies every line item that contributes to the total cost of ownership (TCO) for LLM and AI agent workloads. Use this as a checklist when building your organisation’s cost model.</w:t>
      </w:r>
    </w:p>
    <w:p>
      <w:pPr>
        <w:pStyle w:val="Heading2"/>
        <w:spacing w:after="160" w:before="240"/>
      </w:pPr>
      <w:r>
        <w:rPr>
          <w:rFonts w:ascii="Georgia" w:cs="Georgia" w:eastAsia="Georgia" w:hAnsi="Georgia"/>
          <w:b/>
          <w:bCs/>
          <w:color w:val="2A7F8E"/>
          <w:sz w:val="26"/>
          <w:szCs w:val="26"/>
        </w:rPr>
        <w:t xml:space="preserve">2.1 Direct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2826"/>
      </w:tblGrid>
      <w:tr>
        <w:tc>
          <w:tcPr>
            <w:tcW w:type="dxa" w:w="2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Category</w:t>
            </w:r>
          </w:p>
        </w:tc>
        <w:tc>
          <w:tcPr>
            <w:tcW w:type="dxa" w:w="2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Sub-Category</w:t>
            </w:r>
          </w:p>
        </w:tc>
        <w:tc>
          <w:tcPr>
            <w:tcW w:type="dxa" w:w="1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 of Measure</w:t>
            </w:r>
          </w:p>
        </w:tc>
        <w:tc>
          <w:tcPr>
            <w:tcW w:type="dxa" w:w="28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API Inference</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Input tokens</w:t>
            </w:r>
          </w:p>
        </w:tc>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1M tokens</w:t>
            </w:r>
          </w:p>
        </w:tc>
        <w:tc>
          <w:tcPr>
            <w:tcW w:type="dxa" w:w="2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Claude Sonnet input: $3/MTok</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API Inference</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Output tokens</w:t>
            </w:r>
          </w:p>
        </w:tc>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1M tokens</w:t>
            </w:r>
          </w:p>
        </w:tc>
        <w:tc>
          <w:tcPr>
            <w:tcW w:type="dxa" w:w="2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Claude Sonnet output: $15/MTok</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API Inference</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Cached / prompt-caching tokens</w:t>
            </w:r>
          </w:p>
        </w:tc>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1M tokens</w:t>
            </w:r>
          </w:p>
        </w:tc>
        <w:tc>
          <w:tcPr>
            <w:tcW w:type="dxa" w:w="2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50–90% discount on repeated prefixes</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API Inference</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Batch API processing</w:t>
            </w:r>
          </w:p>
        </w:tc>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1M tokens</w:t>
            </w:r>
          </w:p>
        </w:tc>
        <w:tc>
          <w:tcPr>
            <w:tcW w:type="dxa" w:w="2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Typically 50% of real-time pricing</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Self-Hosted Inference</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compute (on-demand)</w:t>
            </w:r>
          </w:p>
        </w:tc>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GPU-hour</w:t>
            </w:r>
          </w:p>
        </w:tc>
        <w:tc>
          <w:tcPr>
            <w:tcW w:type="dxa" w:w="2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H100 80GB: ~$3.50/hr (cloud)</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Self-Hosted Inference</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compute (reserved)</w:t>
            </w:r>
          </w:p>
        </w:tc>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GPU-month</w:t>
            </w:r>
          </w:p>
        </w:tc>
        <w:tc>
          <w:tcPr>
            <w:tcW w:type="dxa" w:w="2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1-yr reserved: ~30–40% discount</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Self-Hosted Inference</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Storage (model weights)</w:t>
            </w:r>
          </w:p>
        </w:tc>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GB-month</w:t>
            </w:r>
          </w:p>
        </w:tc>
        <w:tc>
          <w:tcPr>
            <w:tcW w:type="dxa" w:w="2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S3/GCS for model artefacts</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Self-Hosted Inference</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Networking / egress</w:t>
            </w:r>
          </w:p>
        </w:tc>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GB</w:t>
            </w:r>
          </w:p>
        </w:tc>
        <w:tc>
          <w:tcPr>
            <w:tcW w:type="dxa" w:w="2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Cross-region inference traffic</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Fine-Tuning</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Training compute</w:t>
            </w:r>
          </w:p>
        </w:tc>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GPU-hour</w:t>
            </w:r>
          </w:p>
        </w:tc>
        <w:tc>
          <w:tcPr>
            <w:tcW w:type="dxa" w:w="2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A100/H100 training runs</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Fine-Tuning</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Dataset preparation</w:t>
            </w:r>
          </w:p>
        </w:tc>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hour (labour)</w:t>
            </w:r>
          </w:p>
        </w:tc>
        <w:tc>
          <w:tcPr>
            <w:tcW w:type="dxa" w:w="2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Data labelling, curation, QA</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Embeddings</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Embedding generation</w:t>
            </w:r>
          </w:p>
        </w:tc>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1M tokens</w:t>
            </w:r>
          </w:p>
        </w:tc>
        <w:tc>
          <w:tcPr>
            <w:tcW w:type="dxa" w:w="2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text-embedding-3-small: $0.02/MTok</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Embeddings</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Vector DB hosting</w:t>
            </w:r>
          </w:p>
        </w:tc>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GB-month</w:t>
            </w:r>
          </w:p>
        </w:tc>
        <w:tc>
          <w:tcPr>
            <w:tcW w:type="dxa" w:w="2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Pinecone, Weaviate, Qdrant</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 Tooling</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Tool/API call execution</w:t>
            </w:r>
          </w:p>
        </w:tc>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call</w:t>
            </w:r>
          </w:p>
        </w:tc>
        <w:tc>
          <w:tcPr>
            <w:tcW w:type="dxa" w:w="2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Web search, code execution, DB queries</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 Tooling</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Orchestration compute</w:t>
            </w:r>
          </w:p>
        </w:tc>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per invocation</w:t>
            </w:r>
          </w:p>
        </w:tc>
        <w:tc>
          <w:tcPr>
            <w:tcW w:type="dxa" w:w="2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LangGraph / CrewAI / custom runtime</w:t>
            </w:r>
          </w:p>
        </w:tc>
      </w:tr>
    </w:tbl>
    <w:p>
      <w:pPr>
        <w:spacing w:after="200"/>
      </w:pPr>
    </w:p>
    <w:p>
      <w:pPr>
        <w:pStyle w:val="Heading2"/>
        <w:spacing w:after="160" w:before="240"/>
      </w:pPr>
      <w:r>
        <w:rPr>
          <w:rFonts w:ascii="Georgia" w:cs="Georgia" w:eastAsia="Georgia" w:hAnsi="Georgia"/>
          <w:b/>
          <w:bCs/>
          <w:color w:val="2A7F8E"/>
          <w:sz w:val="26"/>
          <w:szCs w:val="26"/>
        </w:rPr>
        <w:t xml:space="preserve">2.2 Indirect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26"/>
        <w:gridCol w:w="2600"/>
      </w:tblGrid>
      <w:tr>
        <w:tc>
          <w:tcPr>
            <w:tcW w:type="dxa" w:w="2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Category</w:t>
            </w:r>
          </w:p>
        </w:tc>
        <w:tc>
          <w:tcPr>
            <w:tcW w:type="dxa" w:w="40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Allocation</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MLOps Platform</w:t>
            </w:r>
          </w:p>
        </w:tc>
        <w:tc>
          <w:tcPr>
            <w:tcW w:type="dxa" w:w="4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Experiment tracking, model registry, CI/CD pipelines</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Shared across ML teams</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Observability</w:t>
            </w:r>
          </w:p>
        </w:tc>
        <w:tc>
          <w:tcPr>
            <w:tcW w:type="dxa" w:w="4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LLM tracing, latency monitoring, cost dashboards</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Per-workload or shared</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Guardrails &amp; Safety</w:t>
            </w:r>
          </w:p>
        </w:tc>
        <w:tc>
          <w:tcPr>
            <w:tcW w:type="dxa" w:w="4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Content filtering, PII detection, alignment testing</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Per-deployment</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Security &amp; Compliance</w:t>
            </w:r>
          </w:p>
        </w:tc>
        <w:tc>
          <w:tcPr>
            <w:tcW w:type="dxa" w:w="4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Data encryption, audit logging, SOC2/ISO controls</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Enterprise overhead</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Engineering Labour</w:t>
            </w:r>
          </w:p>
        </w:tc>
        <w:tc>
          <w:tcPr>
            <w:tcW w:type="dxa" w:w="4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Platform eng, prompt eng, MLOps, SRE</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Allocated by project or team</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Evaluation &amp; Testing</w:t>
            </w:r>
          </w:p>
        </w:tc>
        <w:tc>
          <w:tcPr>
            <w:tcW w:type="dxa" w:w="4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Benchmark suites, human evaluation, A/B testing infra</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Per-model or shared</w:t>
            </w:r>
          </w:p>
        </w:tc>
      </w:tr>
    </w:tbl>
    <w:p>
      <w:pPr>
        <w:spacing w:after="200"/>
      </w:pPr>
    </w:p>
    <w:p>
      <w:pPr>
        <w:pStyle w:val="Heading2"/>
        <w:spacing w:after="160" w:before="240"/>
      </w:pPr>
      <w:r>
        <w:rPr>
          <w:rFonts w:ascii="Georgia" w:cs="Georgia" w:eastAsia="Georgia" w:hAnsi="Georgia"/>
          <w:b/>
          <w:bCs/>
          <w:color w:val="2A7F8E"/>
          <w:sz w:val="26"/>
          <w:szCs w:val="26"/>
        </w:rPr>
        <w:t xml:space="preserve">2.3 Hidden and Often-Missed Costs</w:t>
      </w:r>
    </w:p>
    <w:p>
      <w:pPr>
        <w:pStyle w:val="ListParagraph"/>
        <w:numPr>
          <w:ilvl w:val="0"/>
          <w:numId w:val="3"/>
        </w:numPr>
        <w:spacing w:after="60" w:line="276"/>
      </w:pPr>
      <w:r>
        <w:rPr>
          <w:rFonts w:ascii="Arial" w:cs="Arial" w:eastAsia="Arial" w:hAnsi="Arial"/>
          <w:color w:val="2D2D2D"/>
          <w:sz w:val="21"/>
          <w:szCs w:val="21"/>
        </w:rPr>
        <w:t xml:space="preserve">Context window waste: sending unnecessary context inflates token counts by 20–60% in many deployments</w:t>
      </w:r>
    </w:p>
    <w:p>
      <w:pPr>
        <w:pStyle w:val="ListParagraph"/>
        <w:numPr>
          <w:ilvl w:val="0"/>
          <w:numId w:val="3"/>
        </w:numPr>
        <w:spacing w:after="60" w:line="276"/>
      </w:pPr>
      <w:r>
        <w:rPr>
          <w:rFonts w:ascii="Arial" w:cs="Arial" w:eastAsia="Arial" w:hAnsi="Arial"/>
          <w:color w:val="2D2D2D"/>
          <w:sz w:val="21"/>
          <w:szCs w:val="21"/>
        </w:rPr>
        <w:t xml:space="preserve">Retry and fallback costs: failed API calls that are retried, or primary-to-fallback model cascades</w:t>
      </w:r>
    </w:p>
    <w:p>
      <w:pPr>
        <w:pStyle w:val="ListParagraph"/>
        <w:numPr>
          <w:ilvl w:val="0"/>
          <w:numId w:val="3"/>
        </w:numPr>
        <w:spacing w:after="60" w:line="276"/>
      </w:pPr>
      <w:r>
        <w:rPr>
          <w:rFonts w:ascii="Arial" w:cs="Arial" w:eastAsia="Arial" w:hAnsi="Arial"/>
          <w:color w:val="2D2D2D"/>
          <w:sz w:val="21"/>
          <w:szCs w:val="21"/>
        </w:rPr>
        <w:t xml:space="preserve">Agentic loop amplification: a single user query may trigger 5–50 LLM calls within a multi-step agent</w:t>
      </w:r>
    </w:p>
    <w:p>
      <w:pPr>
        <w:pStyle w:val="ListParagraph"/>
        <w:numPr>
          <w:ilvl w:val="0"/>
          <w:numId w:val="3"/>
        </w:numPr>
        <w:spacing w:after="60" w:line="276"/>
      </w:pPr>
      <w:r>
        <w:rPr>
          <w:rFonts w:ascii="Arial" w:cs="Arial" w:eastAsia="Arial" w:hAnsi="Arial"/>
          <w:color w:val="2D2D2D"/>
          <w:sz w:val="21"/>
          <w:szCs w:val="21"/>
        </w:rPr>
        <w:t xml:space="preserve">Prompt iteration spend: development and staging environments running expensive frontier models for testing</w:t>
      </w:r>
    </w:p>
    <w:p>
      <w:pPr>
        <w:pStyle w:val="ListParagraph"/>
        <w:numPr>
          <w:ilvl w:val="0"/>
          <w:numId w:val="3"/>
        </w:numPr>
        <w:spacing w:after="60" w:line="276"/>
      </w:pPr>
      <w:r>
        <w:rPr>
          <w:rFonts w:ascii="Arial" w:cs="Arial" w:eastAsia="Arial" w:hAnsi="Arial"/>
          <w:color w:val="2D2D2D"/>
          <w:sz w:val="21"/>
          <w:szCs w:val="21"/>
        </w:rPr>
        <w:t xml:space="preserve">Data egress across regions or providers when orchestrating multi-model pipelines</w:t>
      </w:r>
    </w:p>
    <w:p>
      <w:pPr>
        <w:pStyle w:val="ListParagraph"/>
        <w:numPr>
          <w:ilvl w:val="0"/>
          <w:numId w:val="3"/>
        </w:numPr>
        <w:spacing w:after="60" w:line="276"/>
      </w:pPr>
      <w:r>
        <w:rPr>
          <w:rFonts w:ascii="Arial" w:cs="Arial" w:eastAsia="Arial" w:hAnsi="Arial"/>
          <w:color w:val="2D2D2D"/>
          <w:sz w:val="21"/>
          <w:szCs w:val="21"/>
        </w:rPr>
        <w:t xml:space="preserve">Idle GPU time for self-hosted models with uneven traffic patterns</w:t>
      </w:r>
    </w:p>
    <w:p>
      <w:r>
        <w:br w:type="page"/>
      </w:r>
    </w:p>
    <w:p>
      <w:pPr>
        <w:pStyle w:val="Heading1"/>
        <w:spacing w:after="200" w:before="360"/>
      </w:pPr>
      <w:r>
        <w:rPr>
          <w:rFonts w:ascii="Georgia" w:cs="Georgia" w:eastAsia="Georgia" w:hAnsi="Georgia"/>
          <w:b/>
          <w:bCs/>
          <w:color w:val="1B2A4A"/>
          <w:sz w:val="32"/>
          <w:szCs w:val="32"/>
        </w:rPr>
        <w:t xml:space="preserve">3. Cost Estimation Templates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The templates below should be completed for each AI workload or product feature. They separate API-based, self-hosted, and agentic workloads because the cost drivers differ fundamentally across these three patterns.</w:t>
      </w:r>
    </w:p>
    <w:p>
      <w:pPr>
        <w:pStyle w:val="Heading2"/>
        <w:spacing w:after="160" w:before="240"/>
      </w:pPr>
      <w:r>
        <w:rPr>
          <w:rFonts w:ascii="Georgia" w:cs="Georgia" w:eastAsia="Georgia" w:hAnsi="Georgia"/>
          <w:b/>
          <w:bCs/>
          <w:color w:val="2A7F8E"/>
          <w:sz w:val="26"/>
          <w:szCs w:val="26"/>
        </w:rPr>
        <w:t xml:space="preserve">3.1 Template A – API-Based LLM Workload</w:t>
      </w:r>
    </w:p>
    <w:p>
      <w:pPr>
        <w:spacing w:after="120" w:line="276"/>
      </w:pPr>
      <w:r>
        <w:rPr>
          <w:rFonts w:ascii="Arial" w:cs="Arial" w:eastAsia="Arial" w:hAnsi="Arial"/>
          <w:b/>
          <w:bCs/>
          <w:i/>
          <w:iCs/>
          <w:color w:val="2D2D2D"/>
          <w:sz w:val="21"/>
          <w:szCs w:val="21"/>
        </w:rPr>
        <w:t xml:space="preserve">Use this template for any workload calling a third-party LLM API (OpenAI, Anthropic, Google, Mistral, Cohere, etc.). Complete one row per model variant used.</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4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Source</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Workload Name</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e.g. Customer Support Chatbot</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Business Owner</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Product manager or feature lead</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Provider / Model ID</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e.g. Anthropic / claude-sonnet-4-20250514</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Avg. Input Tokens per Request</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Measure from logs or estimate from prompt length</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Avg. Output Tokens per Request</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Measure from logs or estimate from expected response</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Cacheable Prefix Tokens</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System prompt + static context tokens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Estimated Requests per Day</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Current or projected daily volume</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Monthly Growth Rate (%)</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Expected month-on-month traffic increase</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Input Token Price ($ per 1M)</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From provider pricing page</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Output Token Price ($ per 1M)</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From provider pricing page</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Cache Hit Rate (%)</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Estimated proportion of requests using cached prefix</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Cache Token Price ($ per 1M)</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Discounted rate for cached tokens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Retry Rate (%)</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Proportion of requests requiring retry</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Monthly Cost (Month 1)</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Calculated: see formula below</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Monthly Cost (Month 6)</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Apply growth rate projection</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Monthly Cost (Month 12)</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Apply growth rate projection</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Annual Estimate (Year 1)</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Sum of 12-month projection</w:t>
            </w:r>
          </w:p>
        </w:tc>
      </w:tr>
    </w:tbl>
    <w:p>
      <w:pPr>
        <w:spacing w:after="160"/>
      </w:pPr>
    </w:p>
    <w:p>
      <w:pPr>
        <w:pStyle w:val="Heading3"/>
        <w:spacing w:after="120" w:before="200"/>
      </w:pPr>
      <w:r>
        <w:rPr>
          <w:rFonts w:ascii="Georgia" w:cs="Georgia" w:eastAsia="Georgia" w:hAnsi="Georgia"/>
          <w:b/>
          <w:bCs/>
          <w:color w:val="1B2A4A"/>
          <w:sz w:val="22"/>
          <w:szCs w:val="22"/>
        </w:rPr>
        <w:t xml:space="preserve">Formula: Monthly API Cost</w:t>
      </w:r>
    </w:p>
    <w:p>
      <w:pPr>
        <w:spacing w:after="120" w:line="276"/>
      </w:pPr>
      <w:r>
        <w:rPr>
          <w:rFonts w:ascii="Arial" w:cs="Arial" w:eastAsia="Arial" w:hAnsi="Arial"/>
          <w:color w:val="2D2D2D"/>
          <w:sz w:val="21"/>
          <w:szCs w:val="21"/>
        </w:rPr>
        <w:t xml:space="preserve">Monthly Cost = (Daily Requests × 30) × [(Input Tokens × Input Price / 1M) + (Output Tokens × Output Price / 1M) – (Cacheable Tokens × Cache Hit Rate × (Input Price – Cache Price) / 1M)] × (1 + Retry Rate)</w:t>
      </w:r>
    </w:p>
    <w:p>
      <w:r>
        <w:br w:type="page"/>
      </w:r>
    </w:p>
    <w:p>
      <w:pPr>
        <w:pStyle w:val="Heading2"/>
        <w:spacing w:after="160" w:before="240"/>
      </w:pPr>
      <w:r>
        <w:rPr>
          <w:rFonts w:ascii="Georgia" w:cs="Georgia" w:eastAsia="Georgia" w:hAnsi="Georgia"/>
          <w:b/>
          <w:bCs/>
          <w:color w:val="2A7F8E"/>
          <w:sz w:val="26"/>
          <w:szCs w:val="26"/>
        </w:rPr>
        <w:t xml:space="preserve">3.2 Template B – Self-Hosted LLM Workload</w:t>
      </w:r>
    </w:p>
    <w:p>
      <w:pPr>
        <w:spacing w:after="120" w:line="276"/>
      </w:pPr>
      <w:r>
        <w:rPr>
          <w:rFonts w:ascii="Arial" w:cs="Arial" w:eastAsia="Arial" w:hAnsi="Arial"/>
          <w:b/>
          <w:bCs/>
          <w:i/>
          <w:iCs/>
          <w:color w:val="2D2D2D"/>
          <w:sz w:val="21"/>
          <w:szCs w:val="21"/>
        </w:rPr>
        <w:t xml:space="preserve">Use this template for any workload running open-weight models (Llama, Mistral, Qwen, etc.) on your own infrastructure or dedicated cloud GPU instances.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4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Source</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Workload Name</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Name / Size</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e.g. Llama 3.1 70B, Qwen 2.5 72B</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Quantisation Level</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FP16, INT8, INT4, GPTQ, AWQ, etc.</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Type</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e.g. H100 80GB, A100 40GB, L4</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GPUs Required per Instance</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Based on model size and quantisation</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Number of Instances (Replicas)</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For availability and throughput</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Cost ($ per hour)</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On-demand or reserved rate</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Avg. Utilisation (%)</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Actual GPU utilisation during serving</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Hours per Day Running</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24 if always-on, less if scaled to zero</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Inference Framework</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vLLM, TGI, TensorRT-LLM, SGLang</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Throughput (tokens/sec/GPU)</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Benchmark for your model + framework</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Storage Cost ($ per month)</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weights, checkpoints, logs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Networking Cost ($ per month)</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Cross-AZ or cross-region traffic</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MLOps Tooling ($ per month)</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Monitoring, tracing, deployment pipeline</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Monthly Compute Cost</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GPUs × Replicas × $/hr × hrs/day × 30</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Total Monthly Cost</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Compute + Storage + Network + Tooling</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Effective Cost per 1M Tokens</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Total Monthly / Total Tokens Served</w:t>
            </w:r>
          </w:p>
        </w:tc>
      </w:tr>
    </w:tbl>
    <w:p>
      <w:r>
        <w:br w:type="page"/>
      </w:r>
    </w:p>
    <w:p>
      <w:pPr>
        <w:pStyle w:val="Heading2"/>
        <w:spacing w:after="160" w:before="240"/>
      </w:pPr>
      <w:r>
        <w:rPr>
          <w:rFonts w:ascii="Georgia" w:cs="Georgia" w:eastAsia="Georgia" w:hAnsi="Georgia"/>
          <w:b/>
          <w:bCs/>
          <w:color w:val="2A7F8E"/>
          <w:sz w:val="26"/>
          <w:szCs w:val="26"/>
        </w:rPr>
        <w:t xml:space="preserve">3.3 Template C – AI Agent Workload</w:t>
      </w:r>
    </w:p>
    <w:p>
      <w:pPr>
        <w:spacing w:after="120" w:line="276"/>
      </w:pPr>
      <w:r>
        <w:rPr>
          <w:rFonts w:ascii="Arial" w:cs="Arial" w:eastAsia="Arial" w:hAnsi="Arial"/>
          <w:b/>
          <w:bCs/>
          <w:i/>
          <w:iCs/>
          <w:color w:val="2D2D2D"/>
          <w:sz w:val="21"/>
          <w:szCs w:val="21"/>
        </w:rPr>
        <w:t xml:space="preserve">AI agents are cost multipliers. A single user interaction may trigger many sequential LLM calls, tool invocations, and retrieval operations. This template captures the full chain.</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4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 / Source</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 / Workflow Name</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e.g. Research Agent, Code Review Agent</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Orchestration Framework</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LangGraph, CrewAI, AutoGen, custom</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Primary LLM (reasoning)</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used for main reasoning steps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Secondary LLM (lightweight)</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used for routing, summarisation</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Avg. LLM Calls per User Interaction</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Trace and measure from agent logs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Avg. Tokens per LLM Call (in/out)</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Break down by reasoning vs. routing</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Tool Calls per Interaction</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Web search, code exec, DB, API calls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Avg. Cost per Tool Call ($)</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Some tools are free, some are metered</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RAG: Chunks Retrieved per Query</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Number of vector search results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RAG: Embedding Cost per Query ($)</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Query embedding + any re-ranking</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RAG: Vector DB Query Cost ($)</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Per-query or included in hosting</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Memory / Context Management</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Summarisation calls, context compression</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Estimated Interactions per Day</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User-initiated agent invocations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Loop Amplification Factor</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Ratio of total LLM calls to user interactions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Monthly LLM Cost</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LLM calls × respective token prices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Monthly Tool Cost</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tool invocations × per-call prices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Monthly RAG Infra Cost</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Embedding + vector DB + storage</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 Total Monthly Cost</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LLM + Tools + RAG + Orchestration</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per User Interaction ($)</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3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Total / Interactions: the key unit metric</w:t>
            </w:r>
          </w:p>
        </w:tc>
      </w:tr>
    </w:tbl>
    <w:p>
      <w:r>
        <w:br w:type="page"/>
      </w:r>
    </w:p>
    <w:p>
      <w:pPr>
        <w:pStyle w:val="Heading1"/>
        <w:spacing w:after="200" w:before="360"/>
      </w:pPr>
      <w:r>
        <w:rPr>
          <w:rFonts w:ascii="Georgia" w:cs="Georgia" w:eastAsia="Georgia" w:hAnsi="Georgia"/>
          <w:b/>
          <w:bCs/>
          <w:color w:val="1B2A4A"/>
          <w:sz w:val="32"/>
          <w:szCs w:val="32"/>
        </w:rPr>
        <w:t xml:space="preserve">4. Unit Economics Dashboard</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Unit economics translate raw infrastructure cost into metrics that business stakeholders can act on. Every AI workload should track at least one unit cost metric and one efficiency ratio. The table below provides a template for a monthly unit economics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1400"/>
        <w:gridCol w:w="1426"/>
      </w:tblGrid>
      <w:tr>
        <w:tc>
          <w:tcPr>
            <w:tcW w:type="dxa" w:w="20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Formula</w:t>
            </w:r>
          </w:p>
        </w:tc>
        <w:tc>
          <w:tcPr>
            <w:tcW w:type="dxa" w:w="1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1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w:t>
            </w:r>
          </w:p>
        </w:tc>
        <w:tc>
          <w:tcPr>
            <w:tcW w:type="dxa" w:w="14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Variance</w:t>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per Conversation</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Total LLM cost / Total conversations</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per 1,000 Output Tokens</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(Total cost / Total output tokens) × 1000</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per Agent Task Completion</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Total agent cost / Completed tasks</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Revenue per AI-Assisted Action</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Revenue attributed / AI-assisted actions</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 Cost as % of COGS</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Total AI spend / Cost of goods sold</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Gross Margin per AI Feature</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(Revenue – AI cost) / Revenue</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Cache Hit Rate</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Cached tokens / Total input tokens</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Token Efficiency Ratio</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Useful output tokens / Total tokens consumed</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Utilisation</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Active compute time / Total provisioned time</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per Successful Outcome</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Total cost / Outcomes meeting quality bar</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spacing w:after="200" w:before="360"/>
      </w:pPr>
      <w:r>
        <w:rPr>
          <w:rFonts w:ascii="Georgia" w:cs="Georgia" w:eastAsia="Georgia" w:hAnsi="Georgia"/>
          <w:b/>
          <w:bCs/>
          <w:color w:val="1B2A4A"/>
          <w:sz w:val="32"/>
          <w:szCs w:val="32"/>
        </w:rPr>
        <w:t xml:space="preserve">5. Governance and Accountability</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AI FinOps governance ensures that cost visibility, accountability, and optimisation are embedded in everyday operations rather than treated as quarterly audits. The structure below maps roles, responsibilities, and review cadences.</w:t>
      </w:r>
    </w:p>
    <w:p>
      <w:pPr>
        <w:pStyle w:val="Heading2"/>
        <w:spacing w:after="160" w:before="240"/>
      </w:pPr>
      <w:r>
        <w:rPr>
          <w:rFonts w:ascii="Georgia" w:cs="Georgia" w:eastAsia="Georgia" w:hAnsi="Georgia"/>
          <w:b/>
          <w:bCs/>
          <w:color w:val="2A7F8E"/>
          <w:sz w:val="26"/>
          <w:szCs w:val="26"/>
        </w:rPr>
        <w:t xml:space="preserve">5.1 RACI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1600"/>
        <w:gridCol w:w="1426"/>
      </w:tblGrid>
      <w:tr>
        <w:tc>
          <w:tcPr>
            <w:tcW w:type="dxa" w:w="30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1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FinOps Lead</w:t>
            </w:r>
          </w:p>
        </w:tc>
        <w:tc>
          <w:tcPr>
            <w:tcW w:type="dxa" w:w="1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AI/ML Platform</w:t>
            </w:r>
          </w:p>
        </w:tc>
        <w:tc>
          <w:tcPr>
            <w:tcW w:type="dxa" w:w="1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 Owner</w:t>
            </w:r>
          </w:p>
        </w:tc>
        <w:tc>
          <w:tcPr>
            <w:tcW w:type="dxa" w:w="14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Finance</w:t>
            </w:r>
          </w:p>
        </w:tc>
      </w:tr>
      <w:tr>
        <w:tc>
          <w:tcPr>
            <w:tcW w:type="dxa" w:w="3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Define cost taxonomy and tagging standards</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w:t>
            </w:r>
          </w:p>
        </w:tc>
      </w:tr>
      <w:tr>
        <w:tc>
          <w:tcPr>
            <w:tcW w:type="dxa" w:w="3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Estimate workload costs (pre-deployment)</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w:t>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w:t>
            </w:r>
          </w:p>
        </w:tc>
      </w:tr>
      <w:tr>
        <w:tc>
          <w:tcPr>
            <w:tcW w:type="dxa" w:w="3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Monitor real-time spend vs. budget</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w:t>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w:t>
            </w:r>
          </w:p>
        </w:tc>
      </w:tr>
      <w:tr>
        <w:tc>
          <w:tcPr>
            <w:tcW w:type="dxa" w:w="3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Investigate cost anomalies and spikes</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w:t>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r>
      <w:tr>
        <w:tc>
          <w:tcPr>
            <w:tcW w:type="dxa" w:w="3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Approve new model deployments (cost gate)</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w:t>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w:t>
            </w:r>
          </w:p>
        </w:tc>
      </w:tr>
      <w:tr>
        <w:tc>
          <w:tcPr>
            <w:tcW w:type="dxa" w:w="3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Negotiate provider contracts and commitments</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w:t>
            </w:r>
          </w:p>
        </w:tc>
      </w:tr>
      <w:tr>
        <w:tc>
          <w:tcPr>
            <w:tcW w:type="dxa" w:w="30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Implement optimisation recommendations</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w:t>
            </w:r>
          </w:p>
        </w:tc>
        <w:tc>
          <w:tcPr>
            <w:tcW w:type="dxa" w:w="1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w:t>
            </w:r>
          </w:p>
        </w:tc>
      </w:tr>
      <w:tr>
        <w:tc>
          <w:tcPr>
            <w:tcW w:type="dxa" w:w="3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Report AI unit economics to leadership</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w:t>
            </w:r>
          </w:p>
        </w:tc>
        <w:tc>
          <w:tcPr>
            <w:tcW w:type="dxa" w:w="1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w:t>
            </w:r>
          </w:p>
        </w:tc>
      </w:tr>
    </w:tbl>
    <w:p>
      <w:pPr>
        <w:spacing w:after="120" w:line="276"/>
      </w:pPr>
      <w:r>
        <w:rPr>
          <w:rFonts w:ascii="Arial" w:cs="Arial" w:eastAsia="Arial" w:hAnsi="Arial"/>
          <w:i/>
          <w:iCs/>
          <w:color w:val="666666"/>
          <w:sz w:val="18"/>
          <w:szCs w:val="18"/>
        </w:rPr>
        <w:t xml:space="preserve">R = Responsible, A = Accountable, C = Consulted, I = Informed</w:t>
      </w:r>
    </w:p>
    <w:p>
      <w:pPr>
        <w:spacing w:after="200"/>
      </w:pPr>
    </w:p>
    <w:p>
      <w:pPr>
        <w:pStyle w:val="Heading2"/>
        <w:spacing w:after="160" w:before="240"/>
      </w:pPr>
      <w:r>
        <w:rPr>
          <w:rFonts w:ascii="Georgia" w:cs="Georgia" w:eastAsia="Georgia" w:hAnsi="Georgia"/>
          <w:b/>
          <w:bCs/>
          <w:color w:val="2A7F8E"/>
          <w:sz w:val="26"/>
          <w:szCs w:val="26"/>
        </w:rPr>
        <w:t xml:space="preserve">5.2 Review Cadences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626"/>
      </w:tblGrid>
      <w:tr>
        <w:tc>
          <w:tcPr>
            <w:tcW w:type="dxa" w:w="1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Cadence</w:t>
            </w:r>
          </w:p>
        </w:tc>
        <w:tc>
          <w:tcPr>
            <w:tcW w:type="dxa" w:w="2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26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Weekly</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FinOps Lead + Platform Eng</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Spend vs. forecast, anomalies, top-5 workloads</w:t>
            </w:r>
          </w:p>
        </w:tc>
        <w:tc>
          <w:tcPr>
            <w:tcW w:type="dxa" w:w="2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Anomaly report, action items</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Monthly</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Above + Product Owners</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Unit economics, model-level P&amp;L, optimisation wins</w:t>
            </w:r>
          </w:p>
        </w:tc>
        <w:tc>
          <w:tcPr>
            <w:tcW w:type="dxa" w:w="2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Monthly cost review deck</w:t>
            </w:r>
          </w:p>
        </w:tc>
      </w:tr>
      <w:tr>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Quarterly</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Above + Finance + VP Eng</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Budget reforecast, contract renewals, architecture shifts</w:t>
            </w:r>
          </w:p>
        </w:tc>
        <w:tc>
          <w:tcPr>
            <w:tcW w:type="dxa" w:w="2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Quarterly business review</w:t>
            </w:r>
          </w:p>
        </w:tc>
      </w:tr>
      <w:tr>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Annual</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Executive sponsor + all above</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Strategic roadmap, build-vs-buy, provider strategy</w:t>
            </w:r>
          </w:p>
        </w:tc>
        <w:tc>
          <w:tcPr>
            <w:tcW w:type="dxa" w:w="2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Annual AI FinOps plan</w:t>
            </w:r>
          </w:p>
        </w:tc>
      </w:tr>
    </w:tbl>
    <w:p>
      <w:r>
        <w:br w:type="page"/>
      </w:r>
    </w:p>
    <w:p>
      <w:pPr>
        <w:pStyle w:val="Heading2"/>
        <w:spacing w:after="160" w:before="240"/>
      </w:pPr>
      <w:r>
        <w:rPr>
          <w:rFonts w:ascii="Georgia" w:cs="Georgia" w:eastAsia="Georgia" w:hAnsi="Georgia"/>
          <w:b/>
          <w:bCs/>
          <w:color w:val="2A7F8E"/>
          <w:sz w:val="26"/>
          <w:szCs w:val="26"/>
        </w:rPr>
        <w:t xml:space="preserve">5.3 Cost Gates and Approval Thresholds</w:t>
      </w:r>
    </w:p>
    <w:p>
      <w:pPr>
        <w:spacing w:after="120" w:line="276"/>
      </w:pPr>
      <w:r>
        <w:rPr>
          <w:rFonts w:ascii="Arial" w:cs="Arial" w:eastAsia="Arial" w:hAnsi="Arial"/>
          <w:color w:val="2D2D2D"/>
          <w:sz w:val="21"/>
          <w:szCs w:val="21"/>
        </w:rPr>
        <w:t xml:space="preserve">Establish approval thresholds to prevent uncontrolled cost escalation. The table below provides a template – adjust the dollar thresholds to match your organisation’s materiality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c>
          <w:tcPr>
            <w:tcW w:type="dxa" w:w="2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Threshold</w:t>
            </w:r>
          </w:p>
        </w:tc>
        <w:tc>
          <w:tcPr>
            <w:tcW w:type="dxa" w:w="2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Approval Required</w:t>
            </w:r>
          </w:p>
        </w:tc>
        <w:tc>
          <w:tcPr>
            <w:tcW w:type="dxa" w:w="38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Documentation Required</w:t>
            </w:r>
          </w:p>
        </w:tc>
      </w:tr>
      <w:tr>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New workload &lt; $500/month</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Platform team self-approve</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estimate template (3.1/3.2/3.3)</w:t>
            </w:r>
          </w:p>
        </w:tc>
      </w:tr>
      <w:tr>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New workload $500–$5,000/month</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FinOps Lead approval</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estimate + unit economics forecast</w:t>
            </w:r>
          </w:p>
        </w:tc>
      </w:tr>
      <w:tr>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New workload $5,000–$25,000/month</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VP Engineering approval</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Above + business case with ROI analysis</w:t>
            </w:r>
          </w:p>
        </w:tc>
      </w:tr>
      <w:tr>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New workload &gt; $25,000/month</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CFO / Finance approval</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Full business case, contract review, vendor assessment</w:t>
            </w:r>
          </w:p>
        </w:tc>
      </w:tr>
      <w:tr>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Any model upgrade (e.g. GPT-4 to GPT-4o)</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FinOps Lead notification</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delta analysis and quality impact assessment</w:t>
            </w:r>
          </w:p>
        </w:tc>
      </w:tr>
      <w:tr>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Provider contract &gt; $100K annual</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Procurement + Finance</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Multi-provider comparison, committed-use analysis</w:t>
            </w:r>
          </w:p>
        </w:tc>
      </w:tr>
    </w:tbl>
    <w:p>
      <w:r>
        <w:br w:type="page"/>
      </w:r>
    </w:p>
    <w:p>
      <w:pPr>
        <w:pStyle w:val="Heading1"/>
        <w:spacing w:after="200" w:before="360"/>
      </w:pPr>
      <w:r>
        <w:rPr>
          <w:rFonts w:ascii="Georgia" w:cs="Georgia" w:eastAsia="Georgia" w:hAnsi="Georgia"/>
          <w:b/>
          <w:bCs/>
          <w:color w:val="1B2A4A"/>
          <w:sz w:val="32"/>
          <w:szCs w:val="32"/>
        </w:rPr>
        <w:t xml:space="preserve">6. Cost Optimisation Levers</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Optimisation is not a one-time exercise. The levers below are ranked by typical impact and implementation effort. Organisations should systematically work through these, starting with the highest-impact, lowest-effort items.</w:t>
      </w:r>
    </w:p>
    <w:p>
      <w:pPr>
        <w:pStyle w:val="Heading2"/>
        <w:spacing w:after="160" w:before="240"/>
      </w:pPr>
      <w:r>
        <w:rPr>
          <w:rFonts w:ascii="Georgia" w:cs="Georgia" w:eastAsia="Georgia" w:hAnsi="Georgia"/>
          <w:b/>
          <w:bCs/>
          <w:color w:val="2A7F8E"/>
          <w:sz w:val="26"/>
          <w:szCs w:val="26"/>
        </w:rPr>
        <w:t xml:space="preserve">6.1 Optimisation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826"/>
      </w:tblGrid>
      <w:tr>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Lever</w:t>
            </w:r>
          </w:p>
        </w:tc>
        <w:tc>
          <w:tcPr>
            <w:tcW w:type="dxa" w:w="1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38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Applies To</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Prompt compression and context pruning</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Low</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API workloads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Prompt caching (provider-native)</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Low</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API workloads with static prefixes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tiering (route by complexity)</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workloads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Batch API for non-real-time tasks</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Low</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Async processing, bulk analysis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Response length limits and stop tokens</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Low</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LLM calls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Smaller / distilled models where sufficient</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deployments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Quantisation (INT8/INT4) for self-hosted</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Self-hosted inference</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Auto-scaling and scale-to-zero</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Self-hosted inference</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Semantic caching (similar query dedup)</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High-volume, repetitive queries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 loop budgets (max steps, max tokens)</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Low</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agent workloads</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RAG chunk size and top-K optimisation</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Low</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RAG-based workloads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Provider negotiation / committed use</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API workloads at scale</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Multi-provider arbitrage</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Medium</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38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Large-scale API consumers</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Fine-tuning to replace expensive prompting</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High</w:t>
            </w:r>
          </w:p>
        </w:tc>
        <w:tc>
          <w:tcPr>
            <w:tcW w:type="dxa" w:w="38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Stable, high-volume tasks</w:t>
            </w:r>
          </w:p>
        </w:tc>
      </w:tr>
    </w:tbl>
    <w:p>
      <w:pPr>
        <w:spacing w:after="200"/>
      </w:pPr>
    </w:p>
    <w:p>
      <w:pPr>
        <w:pStyle w:val="Heading2"/>
        <w:spacing w:after="160" w:before="240"/>
      </w:pPr>
      <w:r>
        <w:rPr>
          <w:rFonts w:ascii="Georgia" w:cs="Georgia" w:eastAsia="Georgia" w:hAnsi="Georgia"/>
          <w:b/>
          <w:bCs/>
          <w:color w:val="2A7F8E"/>
          <w:sz w:val="26"/>
          <w:szCs w:val="26"/>
        </w:rPr>
        <w:t xml:space="preserve">6.2 Model Tiering Strategy</w:t>
      </w:r>
    </w:p>
    <w:p>
      <w:pPr>
        <w:spacing w:after="120" w:line="276"/>
      </w:pPr>
      <w:r>
        <w:rPr>
          <w:rFonts w:ascii="Arial" w:cs="Arial" w:eastAsia="Arial" w:hAnsi="Arial"/>
          <w:color w:val="2D2D2D"/>
          <w:sz w:val="21"/>
          <w:szCs w:val="21"/>
        </w:rPr>
        <w:t xml:space="preserve">Model tiering is the single highest-impact optimisation for most organisations. The principle is simple: route each request to the cheapest model that meets the quality bar for that task. The table below provides a template for defining your tiering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026"/>
      </w:tblGrid>
      <w:tr>
        <w:tc>
          <w:tcPr>
            <w:tcW w:type="dxa" w:w="1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2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 Class</w:t>
            </w:r>
          </w:p>
        </w:tc>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Cases</w:t>
            </w:r>
          </w:p>
        </w:tc>
        <w:tc>
          <w:tcPr>
            <w:tcW w:type="dxa" w:w="20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Approx. Cost Ratio</w:t>
            </w:r>
          </w:p>
        </w:tc>
      </w:tr>
      <w:tr>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Tier 1 – Frontier</w:t>
            </w:r>
          </w:p>
        </w:tc>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Claude Opus, GPT-4.1, Gemini 2.5 Pro</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Complex reasoning, code generation, multi-step analysis</w:t>
            </w:r>
          </w:p>
        </w:tc>
        <w:tc>
          <w:tcPr>
            <w:tcW w:type="dxa" w:w="2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1.0x (baseline)</w:t>
            </w:r>
          </w:p>
        </w:tc>
      </w:tr>
      <w:tr>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Tier 2 – Balanced</w:t>
            </w:r>
          </w:p>
        </w:tc>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Claude Sonnet, GPT-4.1-mini, Gemini 2.5 Flash</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General Q&amp;A, summarisation, structured extraction</w:t>
            </w:r>
          </w:p>
        </w:tc>
        <w:tc>
          <w:tcPr>
            <w:tcW w:type="dxa" w:w="2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0.15–0.25x</w:t>
            </w:r>
          </w:p>
        </w:tc>
      </w:tr>
      <w:tr>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Tier 3 – Lightweight</w:t>
            </w:r>
          </w:p>
        </w:tc>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Claude Haiku, GPT-4.1-nano, Gemini 2.0 Flash-Lite</w:t>
            </w:r>
          </w:p>
        </w:tc>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Classification, routing, simple extraction, intent detection</w:t>
            </w:r>
          </w:p>
        </w:tc>
        <w:tc>
          <w:tcPr>
            <w:tcW w:type="dxa" w:w="20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0.02–0.05x</w:t>
            </w:r>
          </w:p>
        </w:tc>
      </w:tr>
      <w:tr>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Tier 4 – Embedded/Edge</w:t>
            </w:r>
          </w:p>
        </w:tc>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Llama 3.2 1B, Gemma 3, Phi-4-mini</w:t>
            </w:r>
          </w:p>
        </w:tc>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On-device, edge, privacy-sensitive, high-volume low-complexity</w:t>
            </w:r>
          </w:p>
        </w:tc>
        <w:tc>
          <w:tcPr>
            <w:tcW w:type="dxa" w:w="20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Self-hosted only</w:t>
            </w:r>
          </w:p>
        </w:tc>
      </w:tr>
    </w:tbl>
    <w:p>
      <w:r>
        <w:br w:type="page"/>
      </w:r>
    </w:p>
    <w:p>
      <w:pPr>
        <w:pStyle w:val="Heading1"/>
        <w:spacing w:after="200" w:before="360"/>
      </w:pPr>
      <w:r>
        <w:rPr>
          <w:rFonts w:ascii="Georgia" w:cs="Georgia" w:eastAsia="Georgia" w:hAnsi="Georgia"/>
          <w:b/>
          <w:bCs/>
          <w:color w:val="1B2A4A"/>
          <w:sz w:val="32"/>
          <w:szCs w:val="32"/>
        </w:rPr>
        <w:t xml:space="preserve">7. Cost Tagging and Allocation</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Consistent tagging is the foundation of all FinOps reporting. Without it, you cannot attribute costs to teams, products, or business outcomes. The tagging standard below should be enforced at the infrastructure and API level.</w:t>
      </w:r>
    </w:p>
    <w:p>
      <w:pPr>
        <w:pStyle w:val="Heading2"/>
        <w:spacing w:after="160" w:before="240"/>
      </w:pPr>
      <w:r>
        <w:rPr>
          <w:rFonts w:ascii="Georgia" w:cs="Georgia" w:eastAsia="Georgia" w:hAnsi="Georgia"/>
          <w:b/>
          <w:bCs/>
          <w:color w:val="2A7F8E"/>
          <w:sz w:val="26"/>
          <w:szCs w:val="26"/>
        </w:rPr>
        <w:t xml:space="preserve">7.1 Mandatory Tag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c>
          <w:tcPr>
            <w:tcW w:type="dxa" w:w="1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Tag Key</w:t>
            </w:r>
          </w:p>
        </w:tc>
        <w:tc>
          <w:tcPr>
            <w:tcW w:type="dxa" w:w="2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Values</w:t>
            </w:r>
          </w:p>
        </w:tc>
        <w:tc>
          <w:tcPr>
            <w:tcW w:type="dxa" w:w="24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Enforced At</w:t>
            </w:r>
          </w:p>
        </w:tc>
      </w:tr>
      <w:tr>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ai:workload</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Name of the AI workload or feature</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customer-support-bot, code-review-agent</w:t>
            </w:r>
          </w:p>
        </w:tc>
        <w:tc>
          <w:tcPr>
            <w:tcW w:type="dxa" w:w="2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API gateway, infra provisioning</w:t>
            </w:r>
          </w:p>
        </w:tc>
      </w:tr>
      <w:tr>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ai:model</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identifier</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claude-sonnet-4, llama-3.1-70b</w:t>
            </w:r>
          </w:p>
        </w:tc>
        <w:tc>
          <w:tcPr>
            <w:tcW w:type="dxa" w:w="2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API proxy, inference service</w:t>
            </w:r>
          </w:p>
        </w:tc>
      </w:tr>
      <w:tr>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ai:environment</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Deployment stage</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dev, staging, prod</w:t>
            </w:r>
          </w:p>
        </w:tc>
        <w:tc>
          <w:tcPr>
            <w:tcW w:type="dxa" w:w="2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All layers</w:t>
            </w:r>
          </w:p>
        </w:tc>
      </w:tr>
      <w:tr>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ai:team</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Owning team</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platform-ai, product-search, eng-tools</w:t>
            </w:r>
          </w:p>
        </w:tc>
        <w:tc>
          <w:tcPr>
            <w:tcW w:type="dxa" w:w="2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allocation system</w:t>
            </w:r>
          </w:p>
        </w:tc>
      </w:tr>
      <w:tr>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ai:cost-centre</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Finance cost centre code</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CC-4521, CC-8103</w:t>
            </w:r>
          </w:p>
        </w:tc>
        <w:tc>
          <w:tcPr>
            <w:tcW w:type="dxa" w:w="2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Finance integration</w:t>
            </w:r>
          </w:p>
        </w:tc>
      </w:tr>
      <w:tr>
        <w:tc>
          <w:tcPr>
            <w:tcW w:type="dxa" w:w="1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ai:tier</w:t>
            </w:r>
          </w:p>
        </w:tc>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tier (see 6.2)</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frontier, balanced, lightweight, edge</w:t>
            </w:r>
          </w:p>
        </w:tc>
        <w:tc>
          <w:tcPr>
            <w:tcW w:type="dxa" w:w="24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Routing layer</w:t>
            </w:r>
          </w:p>
        </w:tc>
      </w:tr>
      <w:tr>
        <w:tc>
          <w:tcPr>
            <w:tcW w:type="dxa" w:w="1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ai:use-case</w:t>
            </w:r>
          </w:p>
        </w:tc>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Business use case category</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customer-support, content-gen, analytics</w:t>
            </w:r>
          </w:p>
        </w:tc>
        <w:tc>
          <w:tcPr>
            <w:tcW w:type="dxa" w:w="24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Product metadata</w:t>
            </w:r>
          </w:p>
        </w:tc>
      </w:tr>
    </w:tbl>
    <w:p>
      <w:pPr>
        <w:spacing w:after="200"/>
      </w:pPr>
    </w:p>
    <w:p>
      <w:pPr>
        <w:pStyle w:val="Heading2"/>
        <w:spacing w:after="160" w:before="240"/>
      </w:pPr>
      <w:r>
        <w:rPr>
          <w:rFonts w:ascii="Georgia" w:cs="Georgia" w:eastAsia="Georgia" w:hAnsi="Georgia"/>
          <w:b/>
          <w:bCs/>
          <w:color w:val="2A7F8E"/>
          <w:sz w:val="26"/>
          <w:szCs w:val="26"/>
        </w:rPr>
        <w:t xml:space="preserve">7.2 Allocation Methods</w:t>
      </w:r>
    </w:p>
    <w:p>
      <w:pPr>
        <w:spacing w:after="120" w:line="276"/>
      </w:pPr>
      <w:r>
        <w:rPr>
          <w:rFonts w:ascii="Arial" w:cs="Arial" w:eastAsia="Arial" w:hAnsi="Arial"/>
          <w:color w:val="2D2D2D"/>
          <w:sz w:val="21"/>
          <w:szCs w:val="21"/>
        </w:rPr>
        <w:t xml:space="preserve">Not all AI costs can be directly attributed. Use the following hierarchy for allocation: direct attribution (preferred, where API keys or deployment labels map 1:1 to workloads), proportional allocation (shared infrastructure split by usage metrics such as token count or GPU-hours), and fixed allocation (overhead costs like MLOps tooling split evenly or by headcount across consuming teams).</w:t>
      </w:r>
    </w:p>
    <w:p>
      <w:r>
        <w:br w:type="page"/>
      </w:r>
    </w:p>
    <w:p>
      <w:pPr>
        <w:pStyle w:val="Heading1"/>
        <w:spacing w:after="200" w:before="360"/>
      </w:pPr>
      <w:r>
        <w:rPr>
          <w:rFonts w:ascii="Georgia" w:cs="Georgia" w:eastAsia="Georgia" w:hAnsi="Georgia"/>
          <w:b/>
          <w:bCs/>
          <w:color w:val="1B2A4A"/>
          <w:sz w:val="32"/>
          <w:szCs w:val="32"/>
        </w:rPr>
        <w:t xml:space="preserve">8. Forecasting Methodology</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AI workload costs are harder to forecast than traditional cloud compute because they are driven by user behaviour (prompt length, conversation depth, agent complexity) rather than provisioned capacity alone. The methodology below combines bottom-up estimation with top-down guardrails.</w:t>
      </w:r>
    </w:p>
    <w:p>
      <w:pPr>
        <w:pStyle w:val="Heading2"/>
        <w:spacing w:after="160" w:before="240"/>
      </w:pPr>
      <w:r>
        <w:rPr>
          <w:rFonts w:ascii="Georgia" w:cs="Georgia" w:eastAsia="Georgia" w:hAnsi="Georgia"/>
          <w:b/>
          <w:bCs/>
          <w:color w:val="2A7F8E"/>
          <w:sz w:val="26"/>
          <w:szCs w:val="26"/>
        </w:rPr>
        <w:t xml:space="preserve">8.1 Bottom-Up Forecast Inputs</w:t>
      </w:r>
    </w:p>
    <w:p>
      <w:pPr>
        <w:pStyle w:val="ListParagraph"/>
        <w:numPr>
          <w:ilvl w:val="0"/>
          <w:numId w:val="4"/>
        </w:numPr>
        <w:spacing w:after="60" w:line="276"/>
      </w:pPr>
      <w:r>
        <w:rPr>
          <w:rFonts w:ascii="Arial" w:cs="Arial" w:eastAsia="Arial" w:hAnsi="Arial"/>
          <w:color w:val="2D2D2D"/>
          <w:sz w:val="21"/>
          <w:szCs w:val="21"/>
        </w:rPr>
        <w:t xml:space="preserve">Baseline traffic: current daily/monthly request volume per workload</w:t>
      </w:r>
    </w:p>
    <w:p>
      <w:pPr>
        <w:pStyle w:val="ListParagraph"/>
        <w:numPr>
          <w:ilvl w:val="0"/>
          <w:numId w:val="4"/>
        </w:numPr>
        <w:spacing w:after="60" w:line="276"/>
      </w:pPr>
      <w:r>
        <w:rPr>
          <w:rFonts w:ascii="Arial" w:cs="Arial" w:eastAsia="Arial" w:hAnsi="Arial"/>
          <w:color w:val="2D2D2D"/>
          <w:sz w:val="21"/>
          <w:szCs w:val="21"/>
        </w:rPr>
        <w:t xml:space="preserve">Growth assumptions: expected traffic increase from product roadmap, marketing campaigns, or seasonal patterns</w:t>
      </w:r>
    </w:p>
    <w:p>
      <w:pPr>
        <w:pStyle w:val="ListParagraph"/>
        <w:numPr>
          <w:ilvl w:val="0"/>
          <w:numId w:val="4"/>
        </w:numPr>
        <w:spacing w:after="60" w:line="276"/>
      </w:pPr>
      <w:r>
        <w:rPr>
          <w:rFonts w:ascii="Arial" w:cs="Arial" w:eastAsia="Arial" w:hAnsi="Arial"/>
          <w:color w:val="2D2D2D"/>
          <w:sz w:val="21"/>
          <w:szCs w:val="21"/>
        </w:rPr>
        <w:t xml:space="preserve">Token profile: measured average input/output tokens per request, including any growth trend in conversation length</w:t>
      </w:r>
    </w:p>
    <w:p>
      <w:pPr>
        <w:pStyle w:val="ListParagraph"/>
        <w:numPr>
          <w:ilvl w:val="0"/>
          <w:numId w:val="4"/>
        </w:numPr>
        <w:spacing w:after="60" w:line="276"/>
      </w:pPr>
      <w:r>
        <w:rPr>
          <w:rFonts w:ascii="Arial" w:cs="Arial" w:eastAsia="Arial" w:hAnsi="Arial"/>
          <w:color w:val="2D2D2D"/>
          <w:sz w:val="21"/>
          <w:szCs w:val="21"/>
        </w:rPr>
        <w:t xml:space="preserve">Model changes: planned model upgrades, new model introductions, or deprecations</w:t>
      </w:r>
    </w:p>
    <w:p>
      <w:pPr>
        <w:pStyle w:val="ListParagraph"/>
        <w:numPr>
          <w:ilvl w:val="0"/>
          <w:numId w:val="4"/>
        </w:numPr>
        <w:spacing w:after="60" w:line="276"/>
      </w:pPr>
      <w:r>
        <w:rPr>
          <w:rFonts w:ascii="Arial" w:cs="Arial" w:eastAsia="Arial" w:hAnsi="Arial"/>
          <w:color w:val="2D2D2D"/>
          <w:sz w:val="21"/>
          <w:szCs w:val="21"/>
        </w:rPr>
        <w:t xml:space="preserve">Pricing changes: announced or expected price changes from providers</w:t>
      </w:r>
    </w:p>
    <w:p>
      <w:pPr>
        <w:pStyle w:val="ListParagraph"/>
        <w:numPr>
          <w:ilvl w:val="0"/>
          <w:numId w:val="4"/>
        </w:numPr>
        <w:spacing w:after="60" w:line="276"/>
      </w:pPr>
      <w:r>
        <w:rPr>
          <w:rFonts w:ascii="Arial" w:cs="Arial" w:eastAsia="Arial" w:hAnsi="Arial"/>
          <w:color w:val="2D2D2D"/>
          <w:sz w:val="21"/>
          <w:szCs w:val="21"/>
        </w:rPr>
        <w:t xml:space="preserve">Optimisation impact: expected savings from prompt compression, caching, tiering, or other levers</w:t>
      </w:r>
    </w:p>
    <w:p>
      <w:pPr>
        <w:pStyle w:val="Heading2"/>
        <w:spacing w:after="160" w:before="240"/>
      </w:pPr>
      <w:r>
        <w:rPr>
          <w:rFonts w:ascii="Georgia" w:cs="Georgia" w:eastAsia="Georgia" w:hAnsi="Georgia"/>
          <w:b/>
          <w:bCs/>
          <w:color w:val="2A7F8E"/>
          <w:sz w:val="26"/>
          <w:szCs w:val="26"/>
        </w:rPr>
        <w:t xml:space="preserve">8.2 Forecast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600"/>
        <w:gridCol w:w="1600"/>
        <w:gridCol w:w="1626"/>
      </w:tblGrid>
      <w:tr>
        <w:tc>
          <w:tcPr>
            <w:tcW w:type="dxa" w:w="1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w:t>
            </w:r>
          </w:p>
        </w:tc>
        <w:tc>
          <w:tcPr>
            <w:tcW w:type="dxa" w:w="1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Requests/Day</w:t>
            </w:r>
          </w:p>
        </w:tc>
        <w:tc>
          <w:tcPr>
            <w:tcW w:type="dxa" w:w="1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Tokens (In)</w:t>
            </w:r>
          </w:p>
        </w:tc>
        <w:tc>
          <w:tcPr>
            <w:tcW w:type="dxa" w:w="1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Avg Tokens (Out)</w:t>
            </w:r>
          </w:p>
        </w:tc>
        <w:tc>
          <w:tcPr>
            <w:tcW w:type="dxa" w:w="1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Model Mix</w:t>
            </w:r>
          </w:p>
        </w:tc>
        <w:tc>
          <w:tcPr>
            <w:tcW w:type="dxa" w:w="16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r>
      <w:tr>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 1</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 2</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 3</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 6</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 9</w:t>
            </w:r>
          </w:p>
        </w:tc>
        <w:tc>
          <w:tcPr>
            <w:tcW w:type="dxa" w:w="14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 12</w:t>
            </w:r>
          </w:p>
        </w:tc>
        <w:tc>
          <w:tcPr>
            <w:tcW w:type="dxa" w:w="1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1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pStyle w:val="Heading2"/>
        <w:spacing w:after="160" w:before="240"/>
      </w:pPr>
      <w:r>
        <w:rPr>
          <w:rFonts w:ascii="Georgia" w:cs="Georgia" w:eastAsia="Georgia" w:hAnsi="Georgia"/>
          <w:b/>
          <w:bCs/>
          <w:color w:val="2A7F8E"/>
          <w:sz w:val="26"/>
          <w:szCs w:val="26"/>
        </w:rPr>
        <w:t xml:space="preserve">8.3 Top-Down Guardrails</w:t>
      </w:r>
    </w:p>
    <w:p>
      <w:pPr>
        <w:spacing w:after="120" w:line="276"/>
      </w:pPr>
      <w:r>
        <w:rPr>
          <w:rFonts w:ascii="Arial" w:cs="Arial" w:eastAsia="Arial" w:hAnsi="Arial"/>
          <w:color w:val="2D2D2D"/>
          <w:sz w:val="21"/>
          <w:szCs w:val="21"/>
        </w:rPr>
        <w:t xml:space="preserve">Complement bottom-up forecasts with top-down checks: AI spend as a percentage of total cloud spend (typical range for AI-forward organisations is 15–35%), AI cost per revenue dollar (track whether AI cost scales sub-linearly with revenue growth), and comparison to industry benchmarks where available. If bottom-up forecasts diverge significantly from top-down expectations, investigate the assumptions before accepting either figure.</w:t>
      </w:r>
    </w:p>
    <w:p>
      <w:r>
        <w:br w:type="page"/>
      </w:r>
    </w:p>
    <w:p>
      <w:pPr>
        <w:pStyle w:val="Heading1"/>
        <w:spacing w:after="200" w:before="360"/>
      </w:pPr>
      <w:r>
        <w:rPr>
          <w:rFonts w:ascii="Georgia" w:cs="Georgia" w:eastAsia="Georgia" w:hAnsi="Georgia"/>
          <w:b/>
          <w:bCs/>
          <w:color w:val="1B2A4A"/>
          <w:sz w:val="32"/>
          <w:szCs w:val="32"/>
        </w:rPr>
        <w:t xml:space="preserve">9. Monitoring and Alerting</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Real-time cost visibility is non-negotiable. The monitoring framework below specifies what to track, what thresholds to set, and how to respond when thresholds are breached.</w:t>
      </w:r>
    </w:p>
    <w:p>
      <w:pPr>
        <w:pStyle w:val="Heading2"/>
        <w:spacing w:after="160" w:before="240"/>
      </w:pPr>
      <w:r>
        <w:rPr>
          <w:rFonts w:ascii="Georgia" w:cs="Georgia" w:eastAsia="Georgia" w:hAnsi="Georgia"/>
          <w:b/>
          <w:bCs/>
          <w:color w:val="2A7F8E"/>
          <w:sz w:val="26"/>
          <w:szCs w:val="26"/>
        </w:rPr>
        <w:t xml:space="preserve">9.1 Key Metrics to Monitor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626"/>
      </w:tblGrid>
      <w:tr>
        <w:tc>
          <w:tcPr>
            <w:tcW w:type="dxa" w:w="2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Granularity</w:t>
            </w:r>
          </w:p>
        </w:tc>
        <w:tc>
          <w:tcPr>
            <w:tcW w:type="dxa" w:w="26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Threshold</w:t>
            </w:r>
          </w:p>
        </w:tc>
        <w:tc>
          <w:tcPr>
            <w:tcW w:type="dxa" w:w="26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Daily spend (total)</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 workload</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120% of daily forecast</w:t>
            </w:r>
          </w:p>
        </w:tc>
        <w:tc>
          <w:tcPr>
            <w:tcW w:type="dxa" w:w="2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Auto-notify FinOps Lead</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Hourly spend spike</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 workload</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200% of hourly average</w:t>
            </w:r>
          </w:p>
        </w:tc>
        <w:tc>
          <w:tcPr>
            <w:tcW w:type="dxa" w:w="2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Page on-call engineer</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Token volume anomaly</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 model</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150% of 7-day moving avg</w:t>
            </w:r>
          </w:p>
        </w:tc>
        <w:tc>
          <w:tcPr>
            <w:tcW w:type="dxa" w:w="2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Investigate prompt changes</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Error rate / retry rate</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 model</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5% error, &gt; 10% retry</w:t>
            </w:r>
          </w:p>
        </w:tc>
        <w:tc>
          <w:tcPr>
            <w:tcW w:type="dxa" w:w="2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Check provider status</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 loop count</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 agent</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configured max steps</w:t>
            </w:r>
          </w:p>
        </w:tc>
        <w:tc>
          <w:tcPr>
            <w:tcW w:type="dxa" w:w="2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Kill loop, alert team</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GPU utilisation (self-hosted)</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 instance</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30% sustained for 2hrs</w:t>
            </w:r>
          </w:p>
        </w:tc>
        <w:tc>
          <w:tcPr>
            <w:tcW w:type="dxa" w:w="2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Scale down review</w:t>
            </w:r>
          </w:p>
        </w:tc>
      </w:tr>
      <w:tr>
        <w:tc>
          <w:tcPr>
            <w:tcW w:type="dxa" w:w="2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Cache hit rate drop</w:t>
            </w:r>
          </w:p>
        </w:tc>
        <w:tc>
          <w:tcPr>
            <w:tcW w:type="dxa" w:w="1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 workload</w:t>
            </w:r>
          </w:p>
        </w:tc>
        <w:tc>
          <w:tcPr>
            <w:tcW w:type="dxa" w:w="26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&lt; 50% of baseline</w:t>
            </w:r>
          </w:p>
        </w:tc>
        <w:tc>
          <w:tcPr>
            <w:tcW w:type="dxa" w:w="2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Investigate cache invalidation</w:t>
            </w:r>
          </w:p>
        </w:tc>
      </w:tr>
      <w:tr>
        <w:tc>
          <w:tcPr>
            <w:tcW w:type="dxa" w:w="2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per interaction trend</w:t>
            </w:r>
          </w:p>
        </w:tc>
        <w:tc>
          <w:tcPr>
            <w:tcW w:type="dxa" w:w="1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Per workload</w:t>
            </w:r>
          </w:p>
        </w:tc>
        <w:tc>
          <w:tcPr>
            <w:tcW w:type="dxa" w:w="26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&gt; 20% increase week-over-week</w:t>
            </w:r>
          </w:p>
        </w:tc>
        <w:tc>
          <w:tcPr>
            <w:tcW w:type="dxa" w:w="2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Root-cause analysis</w:t>
            </w:r>
          </w:p>
        </w:tc>
      </w:tr>
    </w:tbl>
    <w:p>
      <w:pPr>
        <w:spacing w:after="200"/>
      </w:pPr>
    </w:p>
    <w:p>
      <w:pPr>
        <w:pStyle w:val="Heading2"/>
        <w:spacing w:after="160" w:before="240"/>
      </w:pPr>
      <w:r>
        <w:rPr>
          <w:rFonts w:ascii="Georgia" w:cs="Georgia" w:eastAsia="Georgia" w:hAnsi="Georgia"/>
          <w:b/>
          <w:bCs/>
          <w:color w:val="2A7F8E"/>
          <w:sz w:val="26"/>
          <w:szCs w:val="26"/>
        </w:rPr>
        <w:t xml:space="preserve">9.2 Recommended Tooling Stack</w:t>
      </w:r>
    </w:p>
    <w:p>
      <w:pPr>
        <w:pStyle w:val="ListParagraph"/>
        <w:numPr>
          <w:ilvl w:val="0"/>
          <w:numId w:val="5"/>
        </w:numPr>
        <w:spacing w:after="60" w:line="276"/>
      </w:pPr>
      <w:r>
        <w:rPr>
          <w:rFonts w:ascii="Arial" w:cs="Arial" w:eastAsia="Arial" w:hAnsi="Arial"/>
          <w:color w:val="2D2D2D"/>
          <w:sz w:val="21"/>
          <w:szCs w:val="21"/>
        </w:rPr>
        <w:t xml:space="preserve">Cost aggregation: provider billing APIs (Anthropic Usage API, OpenAI Usage Dashboard), cloud billing exports (AWS CUR, GCP Billing Export)</w:t>
      </w:r>
    </w:p>
    <w:p>
      <w:pPr>
        <w:pStyle w:val="ListParagraph"/>
        <w:numPr>
          <w:ilvl w:val="0"/>
          <w:numId w:val="5"/>
        </w:numPr>
        <w:spacing w:after="60" w:line="276"/>
      </w:pPr>
      <w:r>
        <w:rPr>
          <w:rFonts w:ascii="Arial" w:cs="Arial" w:eastAsia="Arial" w:hAnsi="Arial"/>
          <w:color w:val="2D2D2D"/>
          <w:sz w:val="21"/>
          <w:szCs w:val="21"/>
        </w:rPr>
        <w:t xml:space="preserve">Observability: LLM-specific tracing (LangSmith, Arize Phoenix, Helicone, Portkey) integrated with general-purpose observability (Datadog, Grafana)</w:t>
      </w:r>
    </w:p>
    <w:p>
      <w:pPr>
        <w:pStyle w:val="ListParagraph"/>
        <w:numPr>
          <w:ilvl w:val="0"/>
          <w:numId w:val="5"/>
        </w:numPr>
        <w:spacing w:after="60" w:line="276"/>
      </w:pPr>
      <w:r>
        <w:rPr>
          <w:rFonts w:ascii="Arial" w:cs="Arial" w:eastAsia="Arial" w:hAnsi="Arial"/>
          <w:color w:val="2D2D2D"/>
          <w:sz w:val="21"/>
          <w:szCs w:val="21"/>
        </w:rPr>
        <w:t xml:space="preserve">Dashboards: build workload-level and team-level cost dashboards with drill-down to individual model and API-key granularity</w:t>
      </w:r>
    </w:p>
    <w:p>
      <w:pPr>
        <w:pStyle w:val="ListParagraph"/>
        <w:numPr>
          <w:ilvl w:val="0"/>
          <w:numId w:val="5"/>
        </w:numPr>
        <w:spacing w:after="60" w:line="276"/>
      </w:pPr>
      <w:r>
        <w:rPr>
          <w:rFonts w:ascii="Arial" w:cs="Arial" w:eastAsia="Arial" w:hAnsi="Arial"/>
          <w:color w:val="2D2D2D"/>
          <w:sz w:val="21"/>
          <w:szCs w:val="21"/>
        </w:rPr>
        <w:t xml:space="preserve">Alerting: PagerDuty or Opsgenie for critical spend alerts; Slack or Teams for informational anomaly notifications</w:t>
      </w:r>
    </w:p>
    <w:p>
      <w:r>
        <w:br w:type="page"/>
      </w:r>
    </w:p>
    <w:p>
      <w:pPr>
        <w:pStyle w:val="Heading1"/>
        <w:spacing w:after="200" w:before="360"/>
      </w:pPr>
      <w:r>
        <w:rPr>
          <w:rFonts w:ascii="Georgia" w:cs="Georgia" w:eastAsia="Georgia" w:hAnsi="Georgia"/>
          <w:b/>
          <w:bCs/>
          <w:color w:val="1B2A4A"/>
          <w:sz w:val="32"/>
          <w:szCs w:val="32"/>
        </w:rPr>
        <w:t xml:space="preserve">10. Provider Comparison Template</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When evaluating LLM providers or deciding between API and self-hosted deployment, use this template to ensure a like-for-like comparison that goes beyond headline token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Evaluation Dimension</w:t>
            </w:r>
          </w:p>
        </w:tc>
        <w:tc>
          <w:tcPr>
            <w:tcW w:type="dxa" w:w="20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 A</w:t>
            </w:r>
          </w:p>
        </w:tc>
        <w:tc>
          <w:tcPr>
            <w:tcW w:type="dxa" w:w="20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 B</w:t>
            </w:r>
          </w:p>
        </w:tc>
        <w:tc>
          <w:tcPr>
            <w:tcW w:type="dxa" w:w="22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Self-Hosted</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Provider Name / Model</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Input Token Price ($/1M)</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N/A (compute cost)</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Output Token Price ($/1M)</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N/A (compute cost)</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Effective Cost per 1M Tokens (blended)</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Latency (P50 / P99) ms</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Rate Limits (RPM / TPM)</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Self-managed</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Uptime SLA</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Self-managed</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Prompt Caching Available?</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Framework-dependent</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Batch API Available?</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N/A</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Data Residency Options</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Full control</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Compliance Certifications</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Self-managed</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Contract Flexibility</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N/A</w:t>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Fine-Tuning Support</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Full control</w:t>
            </w:r>
          </w:p>
        </w:tc>
      </w:tr>
      <w:tr>
        <w:tc>
          <w:tcPr>
            <w:tcW w:type="dxa" w:w="2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Quality Score (your eval suite)</w:t>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Quality-Adjusted Cost per 1M Tokens</w:t>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c>
          <w:tcPr>
            <w:tcW w:type="dxa" w:w="2226"/>
            <w:tcBorders>
              <w:top w:val="single" w:color="E0E4EA" w:sz="1"/>
              <w:left w:val="single" w:color="E0E4EA" w:sz="1"/>
              <w:bottom w:val="single" w:color="E0E4EA" w:sz="1"/>
              <w:right w:val="single" w:color="E0E4EA" w:sz="1"/>
            </w:tcBorders>
            <w:tcMar>
              <w:top w:type="dxa" w:w="80"/>
              <w:left w:type="dxa" w:w="120"/>
              <w:bottom w:type="dxa" w:w="80"/>
              <w:right w:type="dxa" w:w="120"/>
            </w:tcMar>
          </w:tcPr>
          <w:p>
            <w:r>
              <w:rPr>
                <w:rFonts w:ascii="Arial" w:cs="Arial" w:eastAsia="Arial" w:hAnsi="Arial"/>
                <w:sz w:val="20"/>
                <w:szCs w:val="20"/>
              </w:rPr>
              <w:t xml:space="preserve"/>
            </w:r>
          </w:p>
        </w:tc>
      </w:tr>
    </w:tbl>
    <w:p>
      <w:pPr>
        <w:spacing w:after="200"/>
      </w:pPr>
    </w:p>
    <w:p>
      <w:pPr>
        <w:spacing w:after="120" w:line="276"/>
      </w:pPr>
      <w:r>
        <w:rPr>
          <w:rFonts w:ascii="Arial" w:cs="Arial" w:eastAsia="Arial" w:hAnsi="Arial"/>
          <w:b/>
          <w:bCs/>
          <w:color w:val="2D2D2D"/>
          <w:sz w:val="21"/>
          <w:szCs w:val="21"/>
        </w:rPr>
        <w:t xml:space="preserve">Key insight: </w:t>
      </w:r>
      <w:r>
        <w:rPr>
          <w:rFonts w:ascii="Arial" w:cs="Arial" w:eastAsia="Arial" w:hAnsi="Arial"/>
          <w:color w:val="2D2D2D"/>
          <w:sz w:val="21"/>
          <w:szCs w:val="21"/>
        </w:rPr>
        <w:t xml:space="preserve">The cheapest model is not the cheapest solution. Quality-adjusted cost (cost per successful outcome) is the metric that matters. A model that is 50% cheaper but requires 3x the retry rate is more expensive in practice.</w:t>
      </w:r>
    </w:p>
    <w:p>
      <w:r>
        <w:br w:type="page"/>
      </w:r>
    </w:p>
    <w:p>
      <w:pPr>
        <w:pStyle w:val="Heading1"/>
        <w:spacing w:after="200" w:before="360"/>
      </w:pPr>
      <w:r>
        <w:rPr>
          <w:rFonts w:ascii="Georgia" w:cs="Georgia" w:eastAsia="Georgia" w:hAnsi="Georgia"/>
          <w:b/>
          <w:bCs/>
          <w:color w:val="1B2A4A"/>
          <w:sz w:val="32"/>
          <w:szCs w:val="32"/>
        </w:rPr>
        <w:t xml:space="preserve">11. AI FinOps Maturity Model</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Use this maturity model to assess your organisation’s current state and plan your FinOps capability roadmap. Most organisations begin at Level 1 and should target Level 3 within 6–12 months of serious AI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800"/>
        <w:gridCol w:w="3226"/>
      </w:tblGrid>
      <w:tr>
        <w:tc>
          <w:tcPr>
            <w:tcW w:type="dxa" w:w="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Level</w:t>
            </w:r>
          </w:p>
        </w:tc>
        <w:tc>
          <w:tcPr>
            <w:tcW w:type="dxa" w:w="12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38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Characteristics</w:t>
            </w:r>
          </w:p>
        </w:tc>
        <w:tc>
          <w:tcPr>
            <w:tcW w:type="dxa" w:w="32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Actions</w:t>
            </w:r>
          </w:p>
        </w:tc>
      </w:tr>
      <w:tr>
        <w:tc>
          <w:tcPr>
            <w:tcW w:type="dxa" w:w="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1</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Reactive</w:t>
            </w:r>
          </w:p>
        </w:tc>
        <w:tc>
          <w:tcPr>
            <w:tcW w:type="dxa" w:w="3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No cost visibility; bills are a surprise; no tagging; models chosen by developers without cost awareness</w:t>
            </w:r>
          </w:p>
        </w:tc>
        <w:tc>
          <w:tcPr>
            <w:tcW w:type="dxa" w:w="3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Implement basic tagging; set up billing dashboards; assign FinOps owner</w:t>
            </w:r>
          </w:p>
        </w:tc>
      </w:tr>
      <w:tr>
        <w:tc>
          <w:tcPr>
            <w:tcW w:type="dxa" w:w="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2</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Informed</w:t>
            </w:r>
          </w:p>
        </w:tc>
        <w:tc>
          <w:tcPr>
            <w:tcW w:type="dxa" w:w="3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Monthly cost reporting exists; basic tagging in place; workload-level cost attribution for top-5 workloads</w:t>
            </w:r>
          </w:p>
        </w:tc>
        <w:tc>
          <w:tcPr>
            <w:tcW w:type="dxa" w:w="3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Introduce unit economics; establish cost gates; begin optimisation</w:t>
            </w:r>
          </w:p>
        </w:tc>
      </w:tr>
      <w:tr>
        <w:tc>
          <w:tcPr>
            <w:tcW w:type="dxa" w:w="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3</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Optimised</w:t>
            </w:r>
          </w:p>
        </w:tc>
        <w:tc>
          <w:tcPr>
            <w:tcW w:type="dxa" w:w="3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Automated cost tracking; model tiering policy; prompt caching and compression; budget alerts operational</w:t>
            </w:r>
          </w:p>
        </w:tc>
        <w:tc>
          <w:tcPr>
            <w:tcW w:type="dxa" w:w="3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Forecasting accuracy targets; provider negotiations; cost in CI/CD</w:t>
            </w:r>
          </w:p>
        </w:tc>
      </w:tr>
      <w:tr>
        <w:tc>
          <w:tcPr>
            <w:tcW w:type="dxa" w:w="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4</w:t>
            </w:r>
          </w:p>
        </w:tc>
        <w:tc>
          <w:tcPr>
            <w:tcW w:type="dxa" w:w="12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Proactive</w:t>
            </w:r>
          </w:p>
        </w:tc>
        <w:tc>
          <w:tcPr>
            <w:tcW w:type="dxa" w:w="38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Cost-aware architecture decisions; automated model routing; predictive forecasting; FinOps embedded in product teams</w:t>
            </w:r>
          </w:p>
        </w:tc>
        <w:tc>
          <w:tcPr>
            <w:tcW w:type="dxa" w:w="32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 cost in product P&amp;L; real-time optimisation; continuous benchmarking</w:t>
            </w:r>
          </w:p>
        </w:tc>
      </w:tr>
      <w:tr>
        <w:tc>
          <w:tcPr>
            <w:tcW w:type="dxa" w:w="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5</w:t>
            </w:r>
          </w:p>
        </w:tc>
        <w:tc>
          <w:tcPr>
            <w:tcW w:type="dxa" w:w="12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Strategic</w:t>
            </w:r>
          </w:p>
        </w:tc>
        <w:tc>
          <w:tcPr>
            <w:tcW w:type="dxa" w:w="38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AI cost is a competitive advantage; unit economics drive product strategy; automated cost-quality trade-off management</w:t>
            </w:r>
          </w:p>
        </w:tc>
        <w:tc>
          <w:tcPr>
            <w:tcW w:type="dxa" w:w="32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Board-level AI economics reporting; industry benchmarking; innovation investment</w:t>
            </w:r>
          </w:p>
        </w:tc>
      </w:tr>
    </w:tbl>
    <w:p>
      <w:r>
        <w:br w:type="page"/>
      </w:r>
    </w:p>
    <w:p>
      <w:pPr>
        <w:pStyle w:val="Heading1"/>
        <w:spacing w:after="200" w:before="360"/>
      </w:pPr>
      <w:r>
        <w:rPr>
          <w:rFonts w:ascii="Georgia" w:cs="Georgia" w:eastAsia="Georgia" w:hAnsi="Georgia"/>
          <w:b/>
          <w:bCs/>
          <w:color w:val="1B2A4A"/>
          <w:sz w:val="32"/>
          <w:szCs w:val="32"/>
        </w:rPr>
        <w:t xml:space="preserve">12. Implementation Checklist</w:t>
      </w:r>
    </w:p>
    <w:p>
      <w:pPr>
        <w:pBdr>
          <w:bottom w:val="single" w:color="D4A843" w:sz="4" w:space="1"/>
        </w:pBdr>
        <w:spacing w:after="200" w:before="80"/>
      </w:pPr>
    </w:p>
    <w:p>
      <w:pPr>
        <w:spacing w:after="120" w:line="276"/>
      </w:pPr>
      <w:r>
        <w:rPr>
          <w:rFonts w:ascii="Arial" w:cs="Arial" w:eastAsia="Arial" w:hAnsi="Arial"/>
          <w:color w:val="2D2D2D"/>
          <w:sz w:val="21"/>
          <w:szCs w:val="21"/>
        </w:rPr>
        <w:t xml:space="preserve">Use this checklist to implement the framework within your organisation. Items are sequenced by priority – complete Phase 1 before moving to Phase 2.</w:t>
      </w:r>
    </w:p>
    <w:p>
      <w:pPr>
        <w:pStyle w:val="Heading2"/>
        <w:spacing w:after="160" w:before="240"/>
      </w:pPr>
      <w:r>
        <w:rPr>
          <w:rFonts w:ascii="Georgia" w:cs="Georgia" w:eastAsia="Georgia" w:hAnsi="Georgia"/>
          <w:b/>
          <w:bCs/>
          <w:color w:val="2A7F8E"/>
          <w:sz w:val="26"/>
          <w:szCs w:val="26"/>
        </w:rPr>
        <w:t xml:space="preserve">Phase 1 – Foundation (Weeks 1–4)</w:t>
      </w:r>
    </w:p>
    <w:p>
      <w:pPr>
        <w:pStyle w:val="ListParagraph"/>
        <w:numPr>
          <w:ilvl w:val="0"/>
          <w:numId w:val="6"/>
        </w:numPr>
        <w:spacing w:after="60" w:line="276"/>
      </w:pPr>
      <w:r>
        <w:rPr>
          <w:rFonts w:ascii="Arial" w:cs="Arial" w:eastAsia="Arial" w:hAnsi="Arial"/>
          <w:color w:val="2D2D2D"/>
          <w:sz w:val="21"/>
          <w:szCs w:val="21"/>
        </w:rPr>
        <w:t xml:space="preserve">Assign a FinOps Lead or AI Cost Owner with clear mandate and access to billing data</w:t>
      </w:r>
    </w:p>
    <w:p>
      <w:pPr>
        <w:pStyle w:val="ListParagraph"/>
        <w:numPr>
          <w:ilvl w:val="0"/>
          <w:numId w:val="6"/>
        </w:numPr>
        <w:spacing w:after="60" w:line="276"/>
      </w:pPr>
      <w:r>
        <w:rPr>
          <w:rFonts w:ascii="Arial" w:cs="Arial" w:eastAsia="Arial" w:hAnsi="Arial"/>
          <w:color w:val="2D2D2D"/>
          <w:sz w:val="21"/>
          <w:szCs w:val="21"/>
        </w:rPr>
        <w:t xml:space="preserve">Implement the mandatory tagging schema (Section 7.1) across all AI workloads</w:t>
      </w:r>
    </w:p>
    <w:p>
      <w:pPr>
        <w:pStyle w:val="ListParagraph"/>
        <w:numPr>
          <w:ilvl w:val="0"/>
          <w:numId w:val="6"/>
        </w:numPr>
        <w:spacing w:after="60" w:line="276"/>
      </w:pPr>
      <w:r>
        <w:rPr>
          <w:rFonts w:ascii="Arial" w:cs="Arial" w:eastAsia="Arial" w:hAnsi="Arial"/>
          <w:color w:val="2D2D2D"/>
          <w:sz w:val="21"/>
          <w:szCs w:val="21"/>
        </w:rPr>
        <w:t xml:space="preserve">Complete cost estimation templates (Section 3) for the top-5 workloads by spend</w:t>
      </w:r>
    </w:p>
    <w:p>
      <w:pPr>
        <w:pStyle w:val="ListParagraph"/>
        <w:numPr>
          <w:ilvl w:val="0"/>
          <w:numId w:val="6"/>
        </w:numPr>
        <w:spacing w:after="60" w:line="276"/>
      </w:pPr>
      <w:r>
        <w:rPr>
          <w:rFonts w:ascii="Arial" w:cs="Arial" w:eastAsia="Arial" w:hAnsi="Arial"/>
          <w:color w:val="2D2D2D"/>
          <w:sz w:val="21"/>
          <w:szCs w:val="21"/>
        </w:rPr>
        <w:t xml:space="preserve">Set up a basic cost dashboard showing daily and monthly spend per workload</w:t>
      </w:r>
    </w:p>
    <w:p>
      <w:pPr>
        <w:pStyle w:val="ListParagraph"/>
        <w:numPr>
          <w:ilvl w:val="0"/>
          <w:numId w:val="6"/>
        </w:numPr>
        <w:spacing w:after="60" w:line="276"/>
      </w:pPr>
      <w:r>
        <w:rPr>
          <w:rFonts w:ascii="Arial" w:cs="Arial" w:eastAsia="Arial" w:hAnsi="Arial"/>
          <w:color w:val="2D2D2D"/>
          <w:sz w:val="21"/>
          <w:szCs w:val="21"/>
        </w:rPr>
        <w:t xml:space="preserve">Establish weekly cost review meetings between FinOps Lead and Platform Engineering</w:t>
      </w:r>
    </w:p>
    <w:p>
      <w:pPr>
        <w:pStyle w:val="ListParagraph"/>
        <w:numPr>
          <w:ilvl w:val="0"/>
          <w:numId w:val="6"/>
        </w:numPr>
        <w:spacing w:after="60" w:line="276"/>
      </w:pPr>
      <w:r>
        <w:rPr>
          <w:rFonts w:ascii="Arial" w:cs="Arial" w:eastAsia="Arial" w:hAnsi="Arial"/>
          <w:color w:val="2D2D2D"/>
          <w:sz w:val="21"/>
          <w:szCs w:val="21"/>
        </w:rPr>
        <w:t xml:space="preserve">Configure basic alerts for daily spend exceeding 120% of forecast</w:t>
      </w:r>
    </w:p>
    <w:p>
      <w:pPr>
        <w:pStyle w:val="Heading2"/>
        <w:spacing w:after="160" w:before="240"/>
      </w:pPr>
      <w:r>
        <w:rPr>
          <w:rFonts w:ascii="Georgia" w:cs="Georgia" w:eastAsia="Georgia" w:hAnsi="Georgia"/>
          <w:b/>
          <w:bCs/>
          <w:color w:val="2A7F8E"/>
          <w:sz w:val="26"/>
          <w:szCs w:val="26"/>
        </w:rPr>
        <w:t xml:space="preserve">Phase 2 – Optimisation (Weeks 5–12)</w:t>
      </w:r>
    </w:p>
    <w:p>
      <w:pPr>
        <w:pStyle w:val="ListParagraph"/>
        <w:numPr>
          <w:ilvl w:val="0"/>
          <w:numId w:val="7"/>
        </w:numPr>
        <w:spacing w:after="60" w:line="276"/>
      </w:pPr>
      <w:r>
        <w:rPr>
          <w:rFonts w:ascii="Arial" w:cs="Arial" w:eastAsia="Arial" w:hAnsi="Arial"/>
          <w:color w:val="2D2D2D"/>
          <w:sz w:val="21"/>
          <w:szCs w:val="21"/>
        </w:rPr>
        <w:t xml:space="preserve">Calculate unit economics for all production AI workloads (Section 4)</w:t>
      </w:r>
    </w:p>
    <w:p>
      <w:pPr>
        <w:pStyle w:val="ListParagraph"/>
        <w:numPr>
          <w:ilvl w:val="0"/>
          <w:numId w:val="7"/>
        </w:numPr>
        <w:spacing w:after="60" w:line="276"/>
      </w:pPr>
      <w:r>
        <w:rPr>
          <w:rFonts w:ascii="Arial" w:cs="Arial" w:eastAsia="Arial" w:hAnsi="Arial"/>
          <w:color w:val="2D2D2D"/>
          <w:sz w:val="21"/>
          <w:szCs w:val="21"/>
        </w:rPr>
        <w:t xml:space="preserve">Implement model tiering for at least two workloads (Section 6.2)</w:t>
      </w:r>
    </w:p>
    <w:p>
      <w:pPr>
        <w:pStyle w:val="ListParagraph"/>
        <w:numPr>
          <w:ilvl w:val="0"/>
          <w:numId w:val="7"/>
        </w:numPr>
        <w:spacing w:after="60" w:line="276"/>
      </w:pPr>
      <w:r>
        <w:rPr>
          <w:rFonts w:ascii="Arial" w:cs="Arial" w:eastAsia="Arial" w:hAnsi="Arial"/>
          <w:color w:val="2D2D2D"/>
          <w:sz w:val="21"/>
          <w:szCs w:val="21"/>
        </w:rPr>
        <w:t xml:space="preserve">Enable prompt caching where available and measure impact</w:t>
      </w:r>
    </w:p>
    <w:p>
      <w:pPr>
        <w:pStyle w:val="ListParagraph"/>
        <w:numPr>
          <w:ilvl w:val="0"/>
          <w:numId w:val="7"/>
        </w:numPr>
        <w:spacing w:after="60" w:line="276"/>
      </w:pPr>
      <w:r>
        <w:rPr>
          <w:rFonts w:ascii="Arial" w:cs="Arial" w:eastAsia="Arial" w:hAnsi="Arial"/>
          <w:color w:val="2D2D2D"/>
          <w:sz w:val="21"/>
          <w:szCs w:val="21"/>
        </w:rPr>
        <w:t xml:space="preserve">Deploy agent loop budgets for all agentic workloads</w:t>
      </w:r>
    </w:p>
    <w:p>
      <w:pPr>
        <w:pStyle w:val="ListParagraph"/>
        <w:numPr>
          <w:ilvl w:val="0"/>
          <w:numId w:val="7"/>
        </w:numPr>
        <w:spacing w:after="60" w:line="276"/>
      </w:pPr>
      <w:r>
        <w:rPr>
          <w:rFonts w:ascii="Arial" w:cs="Arial" w:eastAsia="Arial" w:hAnsi="Arial"/>
          <w:color w:val="2D2D2D"/>
          <w:sz w:val="21"/>
          <w:szCs w:val="21"/>
        </w:rPr>
        <w:t xml:space="preserve">Establish cost gates and approval thresholds (Section 5.3)</w:t>
      </w:r>
    </w:p>
    <w:p>
      <w:pPr>
        <w:pStyle w:val="ListParagraph"/>
        <w:numPr>
          <w:ilvl w:val="0"/>
          <w:numId w:val="7"/>
        </w:numPr>
        <w:spacing w:after="60" w:line="276"/>
      </w:pPr>
      <w:r>
        <w:rPr>
          <w:rFonts w:ascii="Arial" w:cs="Arial" w:eastAsia="Arial" w:hAnsi="Arial"/>
          <w:color w:val="2D2D2D"/>
          <w:sz w:val="21"/>
          <w:szCs w:val="21"/>
        </w:rPr>
        <w:t xml:space="preserve">Begin monthly cost review meetings with Product Owners and Finance</w:t>
      </w:r>
    </w:p>
    <w:p>
      <w:pPr>
        <w:pStyle w:val="Heading2"/>
        <w:spacing w:after="160" w:before="240"/>
      </w:pPr>
      <w:r>
        <w:rPr>
          <w:rFonts w:ascii="Georgia" w:cs="Georgia" w:eastAsia="Georgia" w:hAnsi="Georgia"/>
          <w:b/>
          <w:bCs/>
          <w:color w:val="2A7F8E"/>
          <w:sz w:val="26"/>
          <w:szCs w:val="26"/>
        </w:rPr>
        <w:t xml:space="preserve">Phase 3 – Maturity (Months 3–6)</w:t>
      </w:r>
    </w:p>
    <w:p>
      <w:pPr>
        <w:pStyle w:val="ListParagraph"/>
        <w:numPr>
          <w:ilvl w:val="0"/>
          <w:numId w:val="8"/>
        </w:numPr>
        <w:spacing w:after="60" w:line="276"/>
      </w:pPr>
      <w:r>
        <w:rPr>
          <w:rFonts w:ascii="Arial" w:cs="Arial" w:eastAsia="Arial" w:hAnsi="Arial"/>
          <w:color w:val="2D2D2D"/>
          <w:sz w:val="21"/>
          <w:szCs w:val="21"/>
        </w:rPr>
        <w:t xml:space="preserve">Build a 12-month rolling forecast using the methodology in Section 8</w:t>
      </w:r>
    </w:p>
    <w:p>
      <w:pPr>
        <w:pStyle w:val="ListParagraph"/>
        <w:numPr>
          <w:ilvl w:val="0"/>
          <w:numId w:val="8"/>
        </w:numPr>
        <w:spacing w:after="60" w:line="276"/>
      </w:pPr>
      <w:r>
        <w:rPr>
          <w:rFonts w:ascii="Arial" w:cs="Arial" w:eastAsia="Arial" w:hAnsi="Arial"/>
          <w:color w:val="2D2D2D"/>
          <w:sz w:val="21"/>
          <w:szCs w:val="21"/>
        </w:rPr>
        <w:t xml:space="preserve">Integrate cost tracking into the CI/CD pipeline (cost impact of prompt changes)</w:t>
      </w:r>
    </w:p>
    <w:p>
      <w:pPr>
        <w:pStyle w:val="ListParagraph"/>
        <w:numPr>
          <w:ilvl w:val="0"/>
          <w:numId w:val="8"/>
        </w:numPr>
        <w:spacing w:after="60" w:line="276"/>
      </w:pPr>
      <w:r>
        <w:rPr>
          <w:rFonts w:ascii="Arial" w:cs="Arial" w:eastAsia="Arial" w:hAnsi="Arial"/>
          <w:color w:val="2D2D2D"/>
          <w:sz w:val="21"/>
          <w:szCs w:val="21"/>
        </w:rPr>
        <w:t xml:space="preserve">Conduct provider comparison assessment (Section 10) for top-3 spend categories</w:t>
      </w:r>
    </w:p>
    <w:p>
      <w:pPr>
        <w:pStyle w:val="ListParagraph"/>
        <w:numPr>
          <w:ilvl w:val="0"/>
          <w:numId w:val="8"/>
        </w:numPr>
        <w:spacing w:after="60" w:line="276"/>
      </w:pPr>
      <w:r>
        <w:rPr>
          <w:rFonts w:ascii="Arial" w:cs="Arial" w:eastAsia="Arial" w:hAnsi="Arial"/>
          <w:color w:val="2D2D2D"/>
          <w:sz w:val="21"/>
          <w:szCs w:val="21"/>
        </w:rPr>
        <w:t xml:space="preserve">Implement semantic caching or response caching for high-volume, repetitive workloads</w:t>
      </w:r>
    </w:p>
    <w:p>
      <w:pPr>
        <w:pStyle w:val="ListParagraph"/>
        <w:numPr>
          <w:ilvl w:val="0"/>
          <w:numId w:val="8"/>
        </w:numPr>
        <w:spacing w:after="60" w:line="276"/>
      </w:pPr>
      <w:r>
        <w:rPr>
          <w:rFonts w:ascii="Arial" w:cs="Arial" w:eastAsia="Arial" w:hAnsi="Arial"/>
          <w:color w:val="2D2D2D"/>
          <w:sz w:val="21"/>
          <w:szCs w:val="21"/>
        </w:rPr>
        <w:t xml:space="preserve">Embed AI cost metrics into product team OKRs and quarterly business reviews</w:t>
      </w:r>
    </w:p>
    <w:p>
      <w:pPr>
        <w:pStyle w:val="ListParagraph"/>
        <w:numPr>
          <w:ilvl w:val="0"/>
          <w:numId w:val="8"/>
        </w:numPr>
        <w:spacing w:after="60" w:line="276"/>
      </w:pPr>
      <w:r>
        <w:rPr>
          <w:rFonts w:ascii="Arial" w:cs="Arial" w:eastAsia="Arial" w:hAnsi="Arial"/>
          <w:color w:val="2D2D2D"/>
          <w:sz w:val="21"/>
          <w:szCs w:val="21"/>
        </w:rPr>
        <w:t xml:space="preserve">Assess and document current AI FinOps maturity level (Section 11)</w:t>
      </w:r>
    </w:p>
    <w:p>
      <w:pPr>
        <w:pStyle w:val="Heading2"/>
        <w:spacing w:after="160" w:before="240"/>
      </w:pPr>
      <w:r>
        <w:rPr>
          <w:rFonts w:ascii="Georgia" w:cs="Georgia" w:eastAsia="Georgia" w:hAnsi="Georgia"/>
          <w:b/>
          <w:bCs/>
          <w:color w:val="2A7F8E"/>
          <w:sz w:val="26"/>
          <w:szCs w:val="26"/>
        </w:rPr>
        <w:t xml:space="preserve">Phase 4 – Strategic (Months 6–12)</w:t>
      </w:r>
    </w:p>
    <w:p>
      <w:pPr>
        <w:pStyle w:val="ListParagraph"/>
        <w:numPr>
          <w:ilvl w:val="0"/>
          <w:numId w:val="9"/>
        </w:numPr>
        <w:spacing w:after="60" w:line="276"/>
      </w:pPr>
      <w:r>
        <w:rPr>
          <w:rFonts w:ascii="Arial" w:cs="Arial" w:eastAsia="Arial" w:hAnsi="Arial"/>
          <w:color w:val="2D2D2D"/>
          <w:sz w:val="21"/>
          <w:szCs w:val="21"/>
        </w:rPr>
        <w:t xml:space="preserve">Negotiate committed-use agreements with primary LLM providers</w:t>
      </w:r>
    </w:p>
    <w:p>
      <w:pPr>
        <w:pStyle w:val="ListParagraph"/>
        <w:numPr>
          <w:ilvl w:val="0"/>
          <w:numId w:val="9"/>
        </w:numPr>
        <w:spacing w:after="60" w:line="276"/>
      </w:pPr>
      <w:r>
        <w:rPr>
          <w:rFonts w:ascii="Arial" w:cs="Arial" w:eastAsia="Arial" w:hAnsi="Arial"/>
          <w:color w:val="2D2D2D"/>
          <w:sz w:val="21"/>
          <w:szCs w:val="21"/>
        </w:rPr>
        <w:t xml:space="preserve">Implement automated model routing based on request complexity and cost targets</w:t>
      </w:r>
    </w:p>
    <w:p>
      <w:pPr>
        <w:pStyle w:val="ListParagraph"/>
        <w:numPr>
          <w:ilvl w:val="0"/>
          <w:numId w:val="9"/>
        </w:numPr>
        <w:spacing w:after="60" w:line="276"/>
      </w:pPr>
      <w:r>
        <w:rPr>
          <w:rFonts w:ascii="Arial" w:cs="Arial" w:eastAsia="Arial" w:hAnsi="Arial"/>
          <w:color w:val="2D2D2D"/>
          <w:sz w:val="21"/>
          <w:szCs w:val="21"/>
        </w:rPr>
        <w:t xml:space="preserve">Develop predictive forecasting models incorporating traffic seasonality and product roadmap</w:t>
      </w:r>
    </w:p>
    <w:p>
      <w:pPr>
        <w:pStyle w:val="ListParagraph"/>
        <w:numPr>
          <w:ilvl w:val="0"/>
          <w:numId w:val="9"/>
        </w:numPr>
        <w:spacing w:after="60" w:line="276"/>
      </w:pPr>
      <w:r>
        <w:rPr>
          <w:rFonts w:ascii="Arial" w:cs="Arial" w:eastAsia="Arial" w:hAnsi="Arial"/>
          <w:color w:val="2D2D2D"/>
          <w:sz w:val="21"/>
          <w:szCs w:val="21"/>
        </w:rPr>
        <w:t xml:space="preserve">Establish board-level reporting on AI unit economics and ROI</w:t>
      </w:r>
    </w:p>
    <w:p>
      <w:pPr>
        <w:pStyle w:val="ListParagraph"/>
        <w:numPr>
          <w:ilvl w:val="0"/>
          <w:numId w:val="9"/>
        </w:numPr>
        <w:spacing w:after="60" w:line="276"/>
      </w:pPr>
      <w:r>
        <w:rPr>
          <w:rFonts w:ascii="Arial" w:cs="Arial" w:eastAsia="Arial" w:hAnsi="Arial"/>
          <w:color w:val="2D2D2D"/>
          <w:sz w:val="21"/>
          <w:szCs w:val="21"/>
        </w:rPr>
        <w:t xml:space="preserve">Publish internal benchmarks and best practices for AI cost efficiency</w:t>
      </w:r>
    </w:p>
    <w:p>
      <w:r>
        <w:br w:type="page"/>
      </w:r>
    </w:p>
    <w:p>
      <w:pPr>
        <w:pStyle w:val="Heading1"/>
        <w:spacing w:after="200" w:before="360"/>
      </w:pPr>
      <w:r>
        <w:rPr>
          <w:rFonts w:ascii="Georgia" w:cs="Georgia" w:eastAsia="Georgia" w:hAnsi="Georgia"/>
          <w:b/>
          <w:bCs/>
          <w:color w:val="1B2A4A"/>
          <w:sz w:val="32"/>
          <w:szCs w:val="32"/>
        </w:rPr>
        <w:t xml:space="preserve">Appendix A: Glossary of Terms</w:t>
      </w:r>
    </w:p>
    <w:p>
      <w:pPr>
        <w:pBdr>
          <w:bottom w:val="single" w:color="D4A843" w:sz="4" w:space="1"/>
        </w:pBdr>
        <w:spacing w:after="20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6626"/>
            <w:tcBorders>
              <w:top w:val="single" w:color="E0E4EA" w:sz="1"/>
              <w:left w:val="single" w:color="E0E4EA" w:sz="1"/>
              <w:bottom w:val="single" w:color="E0E4EA" w:sz="1"/>
              <w:right w:val="single" w:color="E0E4EA"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Token</w:t>
            </w:r>
          </w:p>
        </w:tc>
        <w:tc>
          <w:tcPr>
            <w:tcW w:type="dxa" w:w="6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fundamental unit of text processing for LLMs. Roughly 0.75 words per token for English text. Pricing is per-token.</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Input Tokens</w:t>
            </w:r>
          </w:p>
        </w:tc>
        <w:tc>
          <w:tcPr>
            <w:tcW w:type="dxa" w:w="6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Tokens sent to the model (system prompt + user message + context). Also called prompt tokens.</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Output Tokens</w:t>
            </w:r>
          </w:p>
        </w:tc>
        <w:tc>
          <w:tcPr>
            <w:tcW w:type="dxa" w:w="6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Tokens generated by the model in its response. Also called completion tokens. Typically 3–5x more expensive than input tokens.</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Prompt Caching</w:t>
            </w:r>
          </w:p>
        </w:tc>
        <w:tc>
          <w:tcPr>
            <w:tcW w:type="dxa" w:w="6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 provider feature that caches static portions of the prompt (e.g. system instructions) to reduce cost and latency on subsequent calls.</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Model Tiering</w:t>
            </w:r>
          </w:p>
        </w:tc>
        <w:tc>
          <w:tcPr>
            <w:tcW w:type="dxa" w:w="6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Routing requests to different-cost models based on task complexity, using cheaper models for simpler tasks.</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Agentic Loop</w:t>
            </w:r>
          </w:p>
        </w:tc>
        <w:tc>
          <w:tcPr>
            <w:tcW w:type="dxa" w:w="6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A multi-step process where an AI agent makes sequential LLM calls, tool invocations, and decisions to complete a task.</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Loop Amplification</w:t>
            </w:r>
          </w:p>
        </w:tc>
        <w:tc>
          <w:tcPr>
            <w:tcW w:type="dxa" w:w="6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The ratio of total LLM calls to user-initiated interactions in an agent workflow. A loop amplification of 10x means each user query triggers ~10 LLM calls.</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RAG</w:t>
            </w:r>
          </w:p>
        </w:tc>
        <w:tc>
          <w:tcPr>
            <w:tcW w:type="dxa" w:w="6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Retrieval-Augmented Generation. A pattern where relevant documents are retrieved from a vector database and injected into the LLM prompt to ground responses in specific knowledge.</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TCO</w:t>
            </w:r>
          </w:p>
        </w:tc>
        <w:tc>
          <w:tcPr>
            <w:tcW w:type="dxa" w:w="6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Total Cost of Ownership. The all-in cost including compute, storage, networking, tooling, and labour.</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Unit Economics</w:t>
            </w:r>
          </w:p>
        </w:tc>
        <w:tc>
          <w:tcPr>
            <w:tcW w:type="dxa" w:w="6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Cost metrics expressed per business-meaningful unit (per conversation, per task, per user, per revenue dollar).</w:t>
            </w:r>
          </w:p>
        </w:tc>
      </w:tr>
      <w:tr>
        <w:tc>
          <w:tcPr>
            <w:tcW w:type="dxa" w:w="2400"/>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Quantisation</w:t>
            </w:r>
          </w:p>
        </w:tc>
        <w:tc>
          <w:tcPr>
            <w:tcW w:type="dxa" w:w="6626"/>
            <w:tcBorders>
              <w:top w:val="single" w:color="E0E4EA" w:sz="1"/>
              <w:left w:val="single" w:color="E0E4EA" w:sz="1"/>
              <w:bottom w:val="single" w:color="E0E4EA" w:sz="1"/>
              <w:right w:val="single" w:color="E0E4EA"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Reducing model weight precision (e.g. FP16 to INT4) to decrease memory and compute requirements, enabling cheaper serving.</w:t>
            </w:r>
          </w:p>
        </w:tc>
      </w:tr>
      <w:tr>
        <w:tc>
          <w:tcPr>
            <w:tcW w:type="dxa" w:w="2400"/>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Semantic Caching</w:t>
            </w:r>
          </w:p>
        </w:tc>
        <w:tc>
          <w:tcPr>
            <w:tcW w:type="dxa" w:w="6626"/>
            <w:tcBorders>
              <w:top w:val="single" w:color="E0E4EA" w:sz="1"/>
              <w:left w:val="single" w:color="E0E4EA" w:sz="1"/>
              <w:bottom w:val="single" w:color="E0E4EA" w:sz="1"/>
              <w:right w:val="single" w:color="E0E4EA" w:sz="1"/>
            </w:tcBorders>
            <w:shd w:fill="F2F4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2D2D"/>
                <w:sz w:val="20"/>
                <w:szCs w:val="20"/>
              </w:rPr>
              <w:t xml:space="preserve">Caching LLM responses indexed by semantic similarity of the input, allowing cache hits for paraphrased but equivalent queries.</w:t>
            </w:r>
          </w:p>
        </w:tc>
      </w:tr>
    </w:tbl>
    <w:p>
      <w:pPr>
        <w:spacing w:before="600"/>
      </w:pPr>
    </w:p>
    <w:p>
      <w:pPr>
        <w:pBdr>
          <w:top w:val="single" w:color="D4A843" w:sz="4" w:space="1"/>
        </w:pBdr>
        <w:spacing w:after="100" w:before="200"/>
        <w:jc w:val="center"/>
      </w:pPr>
    </w:p>
    <w:p>
      <w:pPr>
        <w:jc w:val="center"/>
      </w:pPr>
      <w:r>
        <w:rPr>
          <w:rFonts w:ascii="Georgia" w:cs="Georgia" w:eastAsia="Georgia" w:hAnsi="Georgia"/>
          <w:i/>
          <w:iCs/>
          <w:color w:val="1B2A4A"/>
          <w:sz w:val="22"/>
          <w:szCs w:val="22"/>
        </w:rPr>
        <w:t xml:space="preserve">End of Framework Document</w:t>
      </w:r>
    </w:p>
    <w:p>
      <w:pPr>
        <w:spacing w:after="100"/>
        <w:jc w:val="center"/>
      </w:pPr>
      <w:r>
        <w:rPr>
          <w:rFonts w:ascii="Arial" w:cs="Arial" w:eastAsia="Arial" w:hAnsi="Arial"/>
          <w:color w:val="2D2D2D"/>
          <w:sz w:val="18"/>
          <w:szCs w:val="18"/>
        </w:rPr>
        <w:t xml:space="preserve">[Organisation Name]  |  Version 1.0  |  [Date]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B2A4A"/>
        <w:sz w:val="16"/>
        <w:szCs w:val="16"/>
      </w:rPr>
      <w:t xml:space="preserve">Page </w:t>
    </w:r>
    <w:r>
      <w:rPr>
        <w:rFonts w:ascii="Arial" w:cs="Arial" w:eastAsia="Arial" w:hAnsi="Arial"/>
        <w:color w:val="1B2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1"/>
      </w:pBdr>
      <w:tabs>
        <w:tab w:val="right" w:pos="9026"/>
      </w:tabs>
    </w:pPr>
    <w:r>
      <w:rPr>
        <w:rFonts w:ascii="Arial" w:cs="Arial" w:eastAsia="Arial" w:hAnsi="Arial"/>
        <w:i/>
        <w:iCs/>
        <w:color w:val="2A7F8E"/>
        <w:sz w:val="16"/>
        <w:szCs w:val="16"/>
      </w:rPr>
      <w:t xml:space="preserve">FinOps Framework for LLM &amp; AI Agent Cost Estimation</w:t>
    </w:r>
    <w:r>
      <w:rPr>
        <w:rFonts w:ascii="Arial" w:cs="Arial" w:eastAsia="Arial" w:hAnsi="Arial"/>
        <w:color w:val="1B2A4A"/>
        <w:sz w:val="16"/>
        <w:szCs w:val="16"/>
      </w:rPr>
      <w:t xml:space="preserve">	[Organisation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2A4A"/>
      <w:sz w:val="32"/>
      <w:szCs w:val="32"/>
    </w:rPr>
  </w:style>
  <w:style w:type="paragraph" w:styleId="Heading2">
    <w:name w:val="Heading 2"/>
    <w:basedOn w:val="Normal"/>
    <w:next w:val="Normal"/>
    <w:qFormat/>
    <w:pPr>
      <w:spacing w:after="160" w:before="240"/>
      <w:outlineLvl w:val="1"/>
    </w:pPr>
    <w:rPr>
      <w:rFonts w:ascii="Georgia" w:cs="Georgia" w:eastAsia="Georgia" w:hAnsi="Georgia"/>
      <w:b/>
      <w:bCs/>
      <w:color w:val="2A7F8E"/>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2026-04-11T15:39:00.372Z</dcterms:created>
  <dcterms:modified xsi:type="dcterms:W3CDTF">2026-04-11T15:39:00.373Z</dcterms:modified>
</cp:coreProperties>
</file>

<file path=docProps/custom.xml><?xml version="1.0" encoding="utf-8"?>
<Properties xmlns="http://schemas.openxmlformats.org/officeDocument/2006/custom-properties" xmlns:vt="http://schemas.openxmlformats.org/officeDocument/2006/docPropsVTypes"/>
</file>