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120"/>
        <w:jc w:val="center"/>
      </w:pPr>
      <w:r>
        <w:rPr>
          <w:rFonts w:ascii="Georgia" w:cs="Georgia" w:eastAsia="Georgia" w:hAnsi="Georgia"/>
          <w:b/>
          <w:bCs/>
          <w:color w:val="1B2A4A"/>
          <w:sz w:val="52"/>
          <w:szCs w:val="52"/>
        </w:rPr>
        <w:t xml:space="preserve">FINOPS HEURISTICS</w:t>
      </w:r>
    </w:p>
    <w:p>
      <w:pPr>
        <w:spacing w:after="80"/>
        <w:jc w:val="center"/>
      </w:pPr>
      <w:r>
        <w:rPr>
          <w:rFonts w:ascii="Georgia" w:cs="Georgia" w:eastAsia="Georgia" w:hAnsi="Georgia"/>
          <w:color w:val="2A7F8E"/>
          <w:sz w:val="36"/>
          <w:szCs w:val="36"/>
        </w:rPr>
        <w:t xml:space="preserve">FOR LLM &amp; AI AGENT COST MANAGEMENT</w:t>
      </w:r>
    </w:p>
    <w:p>
      <w:pPr>
        <w:pBdr>
          <w:bottom w:val="single" w:color="D4A843" w:sz="6" w:space="1"/>
        </w:pBdr>
        <w:spacing w:after="400"/>
        <w:jc w:val="center"/>
      </w:pPr>
    </w:p>
    <w:p>
      <w:pPr>
        <w:spacing w:after="80"/>
        <w:jc w:val="center"/>
      </w:pPr>
      <w:r>
        <w:rPr>
          <w:rFonts w:ascii="Arial" w:cs="Arial" w:eastAsia="Arial" w:hAnsi="Arial"/>
          <w:color w:val="2D2D2D"/>
          <w:sz w:val="24"/>
          <w:szCs w:val="24"/>
        </w:rPr>
        <w:t xml:space="preserve">30 Decision Rules, Rules of Thumb, and Quick-Estimation</w:t>
      </w:r>
    </w:p>
    <w:p>
      <w:pPr>
        <w:spacing w:after="80"/>
        <w:jc w:val="center"/>
      </w:pPr>
      <w:r>
        <w:rPr>
          <w:rFonts w:ascii="Arial" w:cs="Arial" w:eastAsia="Arial" w:hAnsi="Arial"/>
          <w:color w:val="2D2D2D"/>
          <w:sz w:val="24"/>
          <w:szCs w:val="24"/>
        </w:rPr>
        <w:t xml:space="preserve">Shortcuts for AI FinOps Practitioners</w:t>
      </w:r>
    </w:p>
    <w:p>
      <w:pPr>
        <w:spacing w:after="200"/>
      </w:pPr>
    </w:p>
    <w:p>
      <w:pPr>
        <w:spacing w:after="40"/>
        <w:jc w:val="center"/>
      </w:pPr>
      <w:r>
        <w:rPr>
          <w:rFonts w:ascii="Arial" w:cs="Arial" w:eastAsia="Arial" w:hAnsi="Arial"/>
          <w:i/>
          <w:iCs/>
          <w:color w:val="2A7F8E"/>
          <w:sz w:val="20"/>
          <w:szCs w:val="20"/>
        </w:rPr>
        <w:t xml:space="preserve">Companion to: FinOps Framework for LLM &amp; AI Agent Cost Estimation</w:t>
      </w:r>
    </w:p>
    <w:p>
      <w:pPr>
        <w:spacing w:after="400"/>
      </w:pPr>
    </w:p>
    <w:p>
      <w:pPr>
        <w:spacing w:after="60"/>
        <w:jc w:val="center"/>
      </w:pPr>
      <w:r>
        <w:rPr>
          <w:rFonts w:ascii="Arial" w:cs="Arial" w:eastAsia="Arial" w:hAnsi="Arial"/>
          <w:b/>
          <w:bCs/>
          <w:color w:val="1B2A4A"/>
          <w:sz w:val="22"/>
          <w:szCs w:val="22"/>
        </w:rPr>
        <w:t xml:space="preserve">[Organisation Name]</w:t>
      </w:r>
    </w:p>
    <w:p>
      <w:pPr>
        <w:spacing w:after="60"/>
        <w:jc w:val="center"/>
      </w:pPr>
      <w:r>
        <w:rPr>
          <w:rFonts w:ascii="Arial" w:cs="Arial" w:eastAsia="Arial" w:hAnsi="Arial"/>
          <w:color w:val="2D2D2D"/>
          <w:sz w:val="20"/>
          <w:szCs w:val="20"/>
        </w:rPr>
        <w:t xml:space="preserve">Version 1.0  |  [Date]</w:t>
      </w:r>
    </w:p>
    <w:p>
      <w:pPr>
        <w:sectPr>
          <w:pgSz w:w="11906" w:h="16838" w:orient="portrait"/>
          <w:pgMar w:top="1440" w:right="1440" w:bottom="1440" w:left="1440" w:header="708" w:footer="708" w:gutter="0"/>
          <w:pgNumType/>
          <w:docGrid w:linePitch="360"/>
        </w:sectPr>
      </w:pPr>
    </w:p>
    <w:p>
      <w:pPr>
        <w:pStyle w:val="Heading1"/>
        <w:spacing w:after="300"/>
      </w:pPr>
      <w:r>
        <w:rPr>
          <w:rFonts w:ascii="Georgia" w:cs="Georgia" w:eastAsia="Georgia" w:hAnsi="Georgia"/>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B2A4A"/>
          <w:sz w:val="32"/>
          <w:szCs w:val="32"/>
        </w:rPr>
        <w:t xml:space="preserve">1. Introduction: Why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The FinOps Framework for LLM &amp; AI Agent Cost Estimation provides the comprehensive taxonomy, templates, and governance structures needed for rigorous cost management. But in day-to-day practice, teams need something faster — mental shortcuts that let engineers and product managers make sound cost decisions without running a full estimation exercise for every prompt change, model swap, or new agent workflow.</w:t>
      </w:r>
    </w:p>
    <w:p>
      <w:pPr>
        <w:spacing w:after="120" w:line="276"/>
      </w:pPr>
      <w:r>
        <w:rPr>
          <w:rFonts w:ascii="Arial" w:cs="Arial" w:eastAsia="Arial" w:hAnsi="Arial"/>
          <w:color w:val="2D2D2D"/>
          <w:sz w:val="21"/>
          <w:szCs w:val="21"/>
        </w:rPr>
        <w:t xml:space="preserve">That is the purpose of this companion document. It codifies 30 heuristics: decision rules derived from the framework’s principles, calibrated against real-world AI deployment patterns. Each heuristic is expressed as a concrete, actionable rule with a stated rationale and applicability conditions.</w:t>
      </w:r>
    </w:p>
    <w:p>
      <w:pPr>
        <w:spacing w:after="120" w:line="276"/>
      </w:pPr>
      <w:r>
        <w:rPr>
          <w:rFonts w:ascii="Arial" w:cs="Arial" w:eastAsia="Arial" w:hAnsi="Arial"/>
          <w:b/>
          <w:bCs/>
          <w:color w:val="2D2D2D"/>
          <w:sz w:val="21"/>
          <w:szCs w:val="21"/>
        </w:rPr>
        <w:t xml:space="preserve">How to use this document: </w:t>
      </w:r>
      <w:r>
        <w:rPr>
          <w:rFonts w:ascii="Arial" w:cs="Arial" w:eastAsia="Arial" w:hAnsi="Arial"/>
          <w:color w:val="2D2D2D"/>
          <w:sz w:val="21"/>
          <w:szCs w:val="21"/>
        </w:rPr>
        <w:t xml:space="preserve">Print the Quick Reference Card (Section 2) and pin it near your monitoring dashboard. Use the full heuristic descriptions (Sections 3–9) when you need to justify a decision or calibrate a rule to your specific workload. Use the Decision Trees (Section 10) when facing a binary choice. Use the Diagnostic Scorecard (Section 11) in weekly FinOps reviews.</w:t>
      </w:r>
    </w:p>
    <w:p>
      <w:pPr>
        <w:pStyle w:val="Heading2"/>
        <w:spacing w:after="160" w:before="240"/>
      </w:pPr>
      <w:r>
        <w:rPr>
          <w:rFonts w:ascii="Georgia" w:cs="Georgia" w:eastAsia="Georgia" w:hAnsi="Georgia"/>
          <w:b/>
          <w:bCs/>
          <w:color w:val="2A7F8E"/>
          <w:sz w:val="26"/>
          <w:szCs w:val="26"/>
        </w:rPr>
        <w:t xml:space="preserve">1.1 Heuristic Categories</w:t>
      </w:r>
    </w:p>
    <w:p>
      <w:pPr>
        <w:spacing w:after="120" w:line="276"/>
      </w:pPr>
      <w:r>
        <w:rPr>
          <w:rFonts w:ascii="Arial" w:cs="Arial" w:eastAsia="Arial" w:hAnsi="Arial"/>
          <w:color w:val="2D2D2D"/>
          <w:sz w:val="21"/>
          <w:szCs w:val="21"/>
        </w:rPr>
        <w:t xml:space="preserve">The 30 heuristics are organised into seven categories that map directly to the framework’s structure:</w:t>
      </w:r>
    </w:p>
    <w:p>
      <w:pPr>
        <w:pStyle w:val="ListParagraph"/>
        <w:numPr>
          <w:ilvl w:val="0"/>
          <w:numId w:val="2"/>
        </w:numPr>
        <w:spacing w:after="60" w:line="276"/>
      </w:pPr>
      <w:r>
        <w:rPr>
          <w:rFonts w:ascii="Arial" w:cs="Arial" w:eastAsia="Arial" w:hAnsi="Arial"/>
          <w:b/>
          <w:bCs/>
          <w:color w:val="2D2D2D"/>
          <w:sz w:val="21"/>
          <w:szCs w:val="21"/>
        </w:rPr>
        <w:t xml:space="preserve">Quick Estimation (H-01 to H-05): </w:t>
      </w:r>
      <w:r>
        <w:rPr>
          <w:rFonts w:ascii="Arial" w:cs="Arial" w:eastAsia="Arial" w:hAnsi="Arial"/>
          <w:color w:val="2D2D2D"/>
          <w:sz w:val="21"/>
          <w:szCs w:val="21"/>
        </w:rPr>
        <w:t xml:space="preserve">Napkin-math shortcuts for rapid cost sizing before detailed estimation.</w:t>
      </w:r>
    </w:p>
    <w:p>
      <w:pPr>
        <w:pStyle w:val="ListParagraph"/>
        <w:numPr>
          <w:ilvl w:val="0"/>
          <w:numId w:val="2"/>
        </w:numPr>
        <w:spacing w:after="60" w:line="276"/>
      </w:pPr>
      <w:r>
        <w:rPr>
          <w:rFonts w:ascii="Arial" w:cs="Arial" w:eastAsia="Arial" w:hAnsi="Arial"/>
          <w:b/>
          <w:bCs/>
          <w:color w:val="2D2D2D"/>
          <w:sz w:val="21"/>
          <w:szCs w:val="21"/>
        </w:rPr>
        <w:t xml:space="preserve">Model Selection (H-06 to H-10): </w:t>
      </w:r>
      <w:r>
        <w:rPr>
          <w:rFonts w:ascii="Arial" w:cs="Arial" w:eastAsia="Arial" w:hAnsi="Arial"/>
          <w:color w:val="2D2D2D"/>
          <w:sz w:val="21"/>
          <w:szCs w:val="21"/>
        </w:rPr>
        <w:t xml:space="preserve">Rules for choosing the right model tier and switching between providers.</w:t>
      </w:r>
    </w:p>
    <w:p>
      <w:pPr>
        <w:pStyle w:val="ListParagraph"/>
        <w:numPr>
          <w:ilvl w:val="0"/>
          <w:numId w:val="2"/>
        </w:numPr>
        <w:spacing w:after="60" w:line="276"/>
      </w:pPr>
      <w:r>
        <w:rPr>
          <w:rFonts w:ascii="Arial" w:cs="Arial" w:eastAsia="Arial" w:hAnsi="Arial"/>
          <w:b/>
          <w:bCs/>
          <w:color w:val="2D2D2D"/>
          <w:sz w:val="21"/>
          <w:szCs w:val="21"/>
        </w:rPr>
        <w:t xml:space="preserve">Prompt and Token Economics (H-11 to H-15): </w:t>
      </w:r>
      <w:r>
        <w:rPr>
          <w:rFonts w:ascii="Arial" w:cs="Arial" w:eastAsia="Arial" w:hAnsi="Arial"/>
          <w:color w:val="2D2D2D"/>
          <w:sz w:val="21"/>
          <w:szCs w:val="21"/>
        </w:rPr>
        <w:t xml:space="preserve">Guidelines for managing the dominant variable cost driver — tokens.</w:t>
      </w:r>
    </w:p>
    <w:p>
      <w:pPr>
        <w:pStyle w:val="ListParagraph"/>
        <w:numPr>
          <w:ilvl w:val="0"/>
          <w:numId w:val="2"/>
        </w:numPr>
        <w:spacing w:after="60" w:line="276"/>
      </w:pPr>
      <w:r>
        <w:rPr>
          <w:rFonts w:ascii="Arial" w:cs="Arial" w:eastAsia="Arial" w:hAnsi="Arial"/>
          <w:b/>
          <w:bCs/>
          <w:color w:val="2D2D2D"/>
          <w:sz w:val="21"/>
          <w:szCs w:val="21"/>
        </w:rPr>
        <w:t xml:space="preserve">Agent Cost Control (H-16 to H-20): </w:t>
      </w:r>
      <w:r>
        <w:rPr>
          <w:rFonts w:ascii="Arial" w:cs="Arial" w:eastAsia="Arial" w:hAnsi="Arial"/>
          <w:color w:val="2D2D2D"/>
          <w:sz w:val="21"/>
          <w:szCs w:val="21"/>
        </w:rPr>
        <w:t xml:space="preserve">Rules specific to multi-step agentic workloads and their amplification effects.</w:t>
      </w:r>
    </w:p>
    <w:p>
      <w:pPr>
        <w:pStyle w:val="ListParagraph"/>
        <w:numPr>
          <w:ilvl w:val="0"/>
          <w:numId w:val="2"/>
        </w:numPr>
        <w:spacing w:after="60" w:line="276"/>
      </w:pPr>
      <w:r>
        <w:rPr>
          <w:rFonts w:ascii="Arial" w:cs="Arial" w:eastAsia="Arial" w:hAnsi="Arial"/>
          <w:b/>
          <w:bCs/>
          <w:color w:val="2D2D2D"/>
          <w:sz w:val="21"/>
          <w:szCs w:val="21"/>
        </w:rPr>
        <w:t xml:space="preserve">Infrastructure and Scaling (H-21 to H-24): </w:t>
      </w:r>
      <w:r>
        <w:rPr>
          <w:rFonts w:ascii="Arial" w:cs="Arial" w:eastAsia="Arial" w:hAnsi="Arial"/>
          <w:color w:val="2D2D2D"/>
          <w:sz w:val="21"/>
          <w:szCs w:val="21"/>
        </w:rPr>
        <w:t xml:space="preserve">Heuristics for self-hosted inference, GPU provisioning, and scaling decisions.</w:t>
      </w:r>
    </w:p>
    <w:p>
      <w:pPr>
        <w:pStyle w:val="ListParagraph"/>
        <w:numPr>
          <w:ilvl w:val="0"/>
          <w:numId w:val="2"/>
        </w:numPr>
        <w:spacing w:after="60" w:line="276"/>
      </w:pPr>
      <w:r>
        <w:rPr>
          <w:rFonts w:ascii="Arial" w:cs="Arial" w:eastAsia="Arial" w:hAnsi="Arial"/>
          <w:b/>
          <w:bCs/>
          <w:color w:val="2D2D2D"/>
          <w:sz w:val="21"/>
          <w:szCs w:val="21"/>
        </w:rPr>
        <w:t xml:space="preserve">Governance and Alerting (H-25 to H-27): </w:t>
      </w:r>
      <w:r>
        <w:rPr>
          <w:rFonts w:ascii="Arial" w:cs="Arial" w:eastAsia="Arial" w:hAnsi="Arial"/>
          <w:color w:val="2D2D2D"/>
          <w:sz w:val="21"/>
          <w:szCs w:val="21"/>
        </w:rPr>
        <w:t xml:space="preserve">Threshold rules for budgets, anomaly detection, and approval gates.</w:t>
      </w:r>
    </w:p>
    <w:p>
      <w:pPr>
        <w:pStyle w:val="ListParagraph"/>
        <w:numPr>
          <w:ilvl w:val="0"/>
          <w:numId w:val="2"/>
        </w:numPr>
        <w:spacing w:after="60" w:line="276"/>
      </w:pPr>
      <w:r>
        <w:rPr>
          <w:rFonts w:ascii="Arial" w:cs="Arial" w:eastAsia="Arial" w:hAnsi="Arial"/>
          <w:b/>
          <w:bCs/>
          <w:color w:val="2D2D2D"/>
          <w:sz w:val="21"/>
          <w:szCs w:val="21"/>
        </w:rPr>
        <w:t xml:space="preserve">Optimisation Triggers (H-28 to H-30): </w:t>
      </w:r>
      <w:r>
        <w:rPr>
          <w:rFonts w:ascii="Arial" w:cs="Arial" w:eastAsia="Arial" w:hAnsi="Arial"/>
          <w:color w:val="2D2D2D"/>
          <w:sz w:val="21"/>
          <w:szCs w:val="21"/>
        </w:rPr>
        <w:t xml:space="preserve">When-to-act rules that signal the right moment for specific optimisation interventions.</w:t>
      </w:r>
    </w:p>
    <w:p>
      <w:r>
        <w:br w:type="page"/>
      </w:r>
    </w:p>
    <w:p>
      <w:pPr>
        <w:pStyle w:val="Heading1"/>
        <w:spacing w:after="200" w:before="360"/>
      </w:pPr>
      <w:r>
        <w:rPr>
          <w:rFonts w:ascii="Georgia" w:cs="Georgia" w:eastAsia="Georgia" w:hAnsi="Georgia"/>
          <w:b/>
          <w:bCs/>
          <w:color w:val="1B2A4A"/>
          <w:sz w:val="32"/>
          <w:szCs w:val="32"/>
        </w:rPr>
        <w:t xml:space="preserve">2. Quick Reference Card</w:t>
      </w:r>
    </w:p>
    <w:p>
      <w:pPr>
        <w:pBdr>
          <w:bottom w:val="single" w:color="D4A843" w:sz="4" w:space="1"/>
        </w:pBdr>
        <w:spacing w:after="200" w:before="80"/>
      </w:pPr>
    </w:p>
    <w:p>
      <w:pPr>
        <w:spacing w:after="120" w:line="276"/>
      </w:pPr>
      <w:r>
        <w:rPr>
          <w:rFonts w:ascii="Arial" w:cs="Arial" w:eastAsia="Arial" w:hAnsi="Arial"/>
          <w:b/>
          <w:bCs/>
          <w:i/>
          <w:iCs/>
          <w:color w:val="2D2D2D"/>
          <w:sz w:val="21"/>
          <w:szCs w:val="21"/>
        </w:rPr>
        <w:t xml:space="preserve">Print this page. Keep it visible. These are the rules your team should internalise.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c>
          <w:tcPr>
            <w:tcW w:type="dxa" w:w="7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Heuristic Name</w:t>
            </w:r>
          </w:p>
        </w:tc>
        <w:tc>
          <w:tcPr>
            <w:tcW w:type="dxa" w:w="57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of Thumb</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H-01</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10x Napkin Test</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Multiply your prototype cost by 10x for production estimate</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H-02</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£1-per-1000 Benchmark</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 well-optimised API chatbot should cost &lt; £1 per 1,000 conversations</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H-03</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3:1 Output Rule</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Budget as if output tokens cost 3x input tokens (weighted average)</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H-04</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30-Day Surprise Window</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Your first 30 days in production will cost 2–3x your estimate</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H-05</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Context Tax</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Assume 40% of your input tokens are waste until proven otherwise</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H-06</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80/20 Tier Split</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80% of requests can be handled by a model 5–10x cheaper than your frontier model</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H-07</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Quality Floor Test</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the cheaper model passes 90% of your eval suite, switch to it</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H-08</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Latency-Cost Inversion</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Below 500ms P99, you are almost certainly overpaying for model capability</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H-09</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Provider Diversity Rule</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Never exceed 80% of AI spend on a single provider</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H-10</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Fine-Tune Breakeven</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Fine-tuning pays off at &gt; 50K requests/month on a stable task</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H-11</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System Prompt Diet</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Every 1,000 tokens you cut from your system prompt saves ~£0.50/day per 10K requests</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H-12</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Cache-First Mandate</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&gt; 60% of your prompt is static, enable prompt caching today</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H-13</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Output Cap Rule</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Set a max_tokens limit at 2x your median output length, not your maximum</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H-14</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Retrieval Precision Law</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Reducing RAG chunks from 10 to 5 saves more than reducing model tier</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H-15</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Conversation Decay Rule</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turn in a multi-turn chat grows 15–25% per turn due to context accumulation</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H-16</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Agent Multiplier</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Multiply single-call cost by the average loop count; expect 5–15x for complex agents</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H-17</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Tool Call Tax</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Budget $0.001–$0.05 per tool invocation on top of LLM costs</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H-18</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Runaway Loop Breaker</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Hard-cap every agent at 25 LLM calls per interaction; no exceptions</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H-19</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Planner-Executor Split</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Use a frontier model only for planning; execute with a model 5x cheaper</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H-20</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Memory Cost Rule</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Context summarisation adds 10–20% LLM overhead but prevents 50–100% context blowup</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H-21</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GPU Utilisation Floor</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GPU utilisation is below 50%, you are overpaying — consolidate or scale down</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H-22</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Self-Host Crossover</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Self-hosting beats API at roughly 500K+ requests/day for the same model class</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H-23</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Quantisation Dividend</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INT4 quantisation cuts GPU cost by 50–70% with &lt; 5% quality loss for most tasks</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H-24</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Reserved Instance Rule</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a GPU runs &gt; 16 hours/day, reserved instances save 30–40% vs. on-demand</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H-25</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120% Daily Alert</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Alert when daily spend exceeds 120% of the 7-day rolling average</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H-26</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5% Materiality Gate</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Any workload representing &gt; 5% of total AI spend requires monthly unit economics review</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H-27</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Approval Ladder</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£500/mo self-approve; £500–£5K FinOps review; £5K–£25K VP sign-off; &gt; £25K CFO approval</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H-28</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Optimisation Trigger</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Optimise when cost-per-outcome rises 20%+ over baseline for two consecutive weeks</w:t>
            </w:r>
          </w:p>
        </w:tc>
      </w:tr>
      <w:tr>
        <w:tc>
          <w:tcPr>
            <w:tcW w:type="dxa" w:w="7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H-29</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Provider Renegotiation Signal</w:t>
            </w:r>
          </w:p>
        </w:tc>
        <w:tc>
          <w:tcPr>
            <w:tcW w:type="dxa" w:w="57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Renegotiate contracts when your monthly spend exceeds 3x the committed tier minimum</w:t>
            </w:r>
          </w:p>
        </w:tc>
      </w:tr>
      <w:tr>
        <w:tc>
          <w:tcPr>
            <w:tcW w:type="dxa" w:w="7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H-30</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Architecture Review Trigger</w:t>
            </w:r>
          </w:p>
        </w:tc>
        <w:tc>
          <w:tcPr>
            <w:tcW w:type="dxa" w:w="57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Review architecture when AI cost exceeds 25% of the product’s total COGS</w:t>
            </w:r>
          </w:p>
        </w:tc>
      </w:tr>
    </w:tbl>
    <w:p>
      <w:r>
        <w:br w:type="page"/>
      </w:r>
    </w:p>
    <w:p>
      <w:pPr>
        <w:pStyle w:val="Heading1"/>
        <w:spacing w:after="200" w:before="360"/>
      </w:pPr>
      <w:r>
        <w:rPr>
          <w:rFonts w:ascii="Georgia" w:cs="Georgia" w:eastAsia="Georgia" w:hAnsi="Georgia"/>
          <w:b/>
          <w:bCs/>
          <w:color w:val="1B2A4A"/>
          <w:sz w:val="32"/>
          <w:szCs w:val="32"/>
        </w:rPr>
        <w:t xml:space="preserve">3. Quick Estimation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These five heuristics allow you to estimate AI costs within an order of magnitude in minutes rather than hours. They are intentionally conservative — it is better to over-budget than to be surprised.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H-01  </w:t>
            </w:r>
            <w:r>
              <w:rPr>
                <w:rFonts w:ascii="Georgia" w:cs="Georgia" w:eastAsia="Georgia" w:hAnsi="Georgia"/>
                <w:b/>
                <w:bCs/>
                <w:color w:val="FFFFFF"/>
                <w:sz w:val="22"/>
                <w:szCs w:val="22"/>
              </w:rPr>
              <w:t xml:space="preserve">The 10x Napkin Test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Multiply your prototype or staging environment cost by 10x to get a realistic initial production estimate.</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Prototypes use smaller context windows, shorter conversations, no retries, and lower traffic. In production, you encounter long-tail user behaviour, retry cascading, monitoring overhead, and traffic spikes. The 10x factor accounts for this gap. After 30 days of production data, replace this heuristic with measured actuals.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Pre-launch budgeting, business case estimation, and any scenario where you have prototype data but no production measurements. Reduce the multiplier to 5x if you have a staging environment under realistic load-testing conditions.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H-02  </w:t>
            </w:r>
            <w:r>
              <w:rPr>
                <w:rFonts w:ascii="Georgia" w:cs="Georgia" w:eastAsia="Georgia" w:hAnsi="Georgia"/>
                <w:b/>
                <w:bCs/>
                <w:color w:val="FFFFFF"/>
                <w:sz w:val="22"/>
                <w:szCs w:val="22"/>
              </w:rPr>
              <w:t xml:space="preserve">The £1-per-1000 Benchmark</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 well-optimised API-based conversational workload should cost less than £1 per 1,000 conversations using a balanced-tier model.</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This benchmark assumes 4–6 turns per conversation, 500–1,500 input tokens and 200–600 output tokens per turn, with prompt caching enabled. If you are significantly above this benchmark, investigate context waste, model over-specification, or missing caching. If you are significantly below, verify that quality is adequate.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Sanity-checking budget forecasts for customer-facing chatbot and assistant workloads. Adjust upward by 3–5x for frontier models or complex reasoning tasks, and downward by 2–3x for lightweight classification or routing workloads.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H-03  </w:t>
            </w:r>
            <w:r>
              <w:rPr>
                <w:rFonts w:ascii="Georgia" w:cs="Georgia" w:eastAsia="Georgia" w:hAnsi="Georgia"/>
                <w:b/>
                <w:bCs/>
                <w:color w:val="FFFFFF"/>
                <w:sz w:val="22"/>
                <w:szCs w:val="22"/>
              </w:rPr>
              <w:t xml:space="preserve">The 3:1 Output Rule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When estimating blended token cost, weight your calculation as if output tokens are 3x the cost of input tokens.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Most major providers price output tokens between 3x and 5x input token rates. Using a 3:1 weighted blend prevents the common error of budgeting based on input token prices alone, which can underestimate actual cost by 40–60% for output-heavy workloads like content generation and code synthesis.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Any rapid cost estimate where you know total token volume but have not separated input from output. For workloads that are predominantly input-heavy (e.g. classification with short outputs), reduce to 2:1.</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H-04  </w:t>
            </w:r>
            <w:r>
              <w:rPr>
                <w:rFonts w:ascii="Georgia" w:cs="Georgia" w:eastAsia="Georgia" w:hAnsi="Georgia"/>
                <w:b/>
                <w:bCs/>
                <w:color w:val="FFFFFF"/>
                <w:sz w:val="22"/>
                <w:szCs w:val="22"/>
              </w:rPr>
              <w:t xml:space="preserve">The 30-Day Surprise Window</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Your first 30 days of production will cost 2–3x your pre-launch estimate. Budget accordingly and treat the first month as calibration, not steady-state.</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New deployments encounter unexpected user behaviour: longer prompts than anticipated, higher retry rates, edge-case inputs that trigger expensive reasoning paths, and bot/scraper traffic. Teams also tend to log verbosely and run parallel monitoring queries in the first month. After 30 days, recalibrate all estimates using production measurements.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Every new workload launch. Use the 2x factor for workloads with strong load-testing data, and 3x for workloads launched with limited pre-production testing.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H-05  </w:t>
            </w:r>
            <w:r>
              <w:rPr>
                <w:rFonts w:ascii="Georgia" w:cs="Georgia" w:eastAsia="Georgia" w:hAnsi="Georgia"/>
                <w:b/>
                <w:bCs/>
                <w:color w:val="FFFFFF"/>
                <w:sz w:val="22"/>
                <w:szCs w:val="22"/>
              </w:rPr>
              <w:t xml:space="preserve">The Context Tax</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Assume that 40% of the input tokens you send to the model are unnecessary context until you have measured and optimised.</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Most production prompts include system instructions, RAG chunks, conversation history, and metadata that could be pruned, summarised, or cached. The 40% figure is derived from prompt audits across multiple enterprise deployments. After optimisation, well-tuned workloads typically reduce to 10–15% waste.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Any workload that has not undergone a prompt efficiency audit. Run the audit by comparing model performance with progressively pruned context — if quality holds, the pruned tokens were waste.</w:t>
            </w:r>
          </w:p>
        </w:tc>
      </w:tr>
    </w:tbl>
    <w:p>
      <w:r>
        <w:br w:type="page"/>
      </w:r>
    </w:p>
    <w:p>
      <w:pPr>
        <w:pStyle w:val="Heading1"/>
        <w:spacing w:after="200" w:before="360"/>
      </w:pPr>
      <w:r>
        <w:rPr>
          <w:rFonts w:ascii="Georgia" w:cs="Georgia" w:eastAsia="Georgia" w:hAnsi="Georgia"/>
          <w:b/>
          <w:bCs/>
          <w:color w:val="1B2A4A"/>
          <w:sz w:val="32"/>
          <w:szCs w:val="32"/>
        </w:rPr>
        <w:t xml:space="preserve">4. Model Selection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Model selection is the highest-leverage cost decision. Choosing the right model for each task class can reduce costs by 10–50x with minimal quality impact. These heuristics encode the decision logic.</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H-06  </w:t>
            </w:r>
            <w:r>
              <w:rPr>
                <w:rFonts w:ascii="Georgia" w:cs="Georgia" w:eastAsia="Georgia" w:hAnsi="Georgia"/>
                <w:b/>
                <w:bCs/>
                <w:color w:val="FFFFFF"/>
                <w:sz w:val="22"/>
                <w:szCs w:val="22"/>
              </w:rPr>
              <w:t xml:space="preserve">The 80/20 Tier Split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80% of incoming requests can be served by a model that is 5–10x cheaper than your most expensive model. Route by complexity, not by default.</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 most production deployments, the distribution of task difficulty is heavily skewed. Simple Q&amp;A, classification, extraction, and routing tasks do not require frontier reasoning. A lightweight classifier (which can itself be a cheap LLM call) can route requests to the appropriate tier. The savings compound because the 80% of cheap requests also tend to be the highest-volume requests.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Any workload with heterogeneous request types. Do not apply to workloads where every request genuinely requires frontier reasoning (e.g. complex multi-step code generation with strict correctness requirements).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H-07  </w:t>
            </w:r>
            <w:r>
              <w:rPr>
                <w:rFonts w:ascii="Georgia" w:cs="Georgia" w:eastAsia="Georgia" w:hAnsi="Georgia"/>
                <w:b/>
                <w:bCs/>
                <w:color w:val="FFFFFF"/>
                <w:sz w:val="22"/>
                <w:szCs w:val="22"/>
              </w:rPr>
              <w:t xml:space="preserve">The Quality Floor Test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a cheaper model passes 90% or more of your evaluation suite with acceptable quality, switch to it. Do not pay for the last 10% unless it maps to a measurable business outcome.</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Organisations routinely overspend by defaulting to frontier models out of caution rather than measurement. The 90% threshold is pragmatic: most business use cases can tolerate occasional imperfect outputs (which can be caught by guardrails or human review) in exchange for 5–10x cost savings. The key is having an evaluation suite that reflects actual quality requirements, not theoretical perfection.</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tier decisions during cost reviews. Requires a defined evaluation suite with at least 100 representative test cases. If you do not have an eval suite, building one is the prerequisite — never downgrade a model without quality measurement.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H-08  </w:t>
            </w:r>
            <w:r>
              <w:rPr>
                <w:rFonts w:ascii="Georgia" w:cs="Georgia" w:eastAsia="Georgia" w:hAnsi="Georgia"/>
                <w:b/>
                <w:bCs/>
                <w:color w:val="FFFFFF"/>
                <w:sz w:val="22"/>
                <w:szCs w:val="22"/>
              </w:rPr>
              <w:t xml:space="preserve">The Latency-Cost Inversion</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your P99 latency is below 500ms and you are not in a latency-critical application, you are likely overpaying for model capability or under-utilising batching.</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Frontier models with large context windows naturally have higher latency. If your responses are returning very quickly, it suggests you are either using a small context (in which case, a smaller model would suffice) or your responses are very short (in which case, review whether the model tier is justified). This heuristic does not apply to latency-critical applications like real-time voice or autocomplete.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Performance reviews of API-based workloads. Correlate latency percentiles with model tier to identify over-provisioning. Exception: some providers’ newer models achieve low latency through efficient architectures, so always validate with a cost comparison.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H-09  </w:t>
            </w:r>
            <w:r>
              <w:rPr>
                <w:rFonts w:ascii="Georgia" w:cs="Georgia" w:eastAsia="Georgia" w:hAnsi="Georgia"/>
                <w:b/>
                <w:bCs/>
                <w:color w:val="FFFFFF"/>
                <w:sz w:val="22"/>
                <w:szCs w:val="22"/>
              </w:rPr>
              <w:t xml:space="preserve">The Provider Diversity Rule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Never allocate more than 80% of your total AI spend to a single provider.</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Single-provider dependency creates commercial, operational, and technical risk: pricing changes, outages, rate-limit changes, and model deprecation. Maintaining at least 20% spend across a secondary provider ensures you have a tested fallback, negotiation leverage, and exposure to competitive innovation. This does not mean splitting every workload — it means having at least some production workloads on an alternative provider.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Annual provider strategy reviews and contract negotiations. For organisations below £10K/month in total AI spend, this heuristic is aspirational rather than mandatory — focus on cost fundamentals first.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H-10  </w:t>
            </w:r>
            <w:r>
              <w:rPr>
                <w:rFonts w:ascii="Georgia" w:cs="Georgia" w:eastAsia="Georgia" w:hAnsi="Georgia"/>
                <w:b/>
                <w:bCs/>
                <w:color w:val="FFFFFF"/>
                <w:sz w:val="22"/>
                <w:szCs w:val="22"/>
              </w:rPr>
              <w:t xml:space="preserve">The Fine-Tune Breakeven</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Fine-tuning pays for itself when a stable, well-defined task exceeds 50,000 requests per month and the fine-tuned model can replace a model two or more tiers higher.</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Fine-tuning has upfront costs (data preparation, training compute, evaluation) and ongoing costs (hosting, maintenance, retraining). Below 50K requests/month, the volume is rarely sufficient to amortise these costs against the per-request savings. The task must also be stable — frequently changing requirements negate the investment because the model must be retrained.</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High-volume, stable extraction, classification, or formatting tasks where prompt engineering alone requires a frontier model. Do not fine-tune tasks where requirements shift quarterly or where the domain evolves rapidly.</w:t>
            </w:r>
          </w:p>
        </w:tc>
      </w:tr>
    </w:tbl>
    <w:p>
      <w:r>
        <w:br w:type="page"/>
      </w:r>
    </w:p>
    <w:p>
      <w:pPr>
        <w:pStyle w:val="Heading1"/>
        <w:spacing w:after="200" w:before="360"/>
      </w:pPr>
      <w:r>
        <w:rPr>
          <w:rFonts w:ascii="Georgia" w:cs="Georgia" w:eastAsia="Georgia" w:hAnsi="Georgia"/>
          <w:b/>
          <w:bCs/>
          <w:color w:val="1B2A4A"/>
          <w:sz w:val="32"/>
          <w:szCs w:val="32"/>
        </w:rPr>
        <w:t xml:space="preserve">5. Prompt and Token Economics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Tokens are the atomic unit of AI cost. These heuristics target the most common sources of token waste and provide actionable rules for managing the primary variable cost driver.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H-11  </w:t>
            </w:r>
            <w:r>
              <w:rPr>
                <w:rFonts w:ascii="Georgia" w:cs="Georgia" w:eastAsia="Georgia" w:hAnsi="Georgia"/>
                <w:b/>
                <w:bCs/>
                <w:color w:val="FFFFFF"/>
                <w:sz w:val="22"/>
                <w:szCs w:val="22"/>
              </w:rPr>
              <w:t xml:space="preserve">The System Prompt Diet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Every 1,000 tokens removed from your system prompt saves approximately £0.50 per day for every 10,000 daily requests at balanced-tier pricing.</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System prompts are sent with every request. At 10K requests/day, a 1,000-token system prompt generates 300M prompt tokens per month — a meaningful cost line. Most system prompts contain redundant instructions, verbose examples, and historical accumulation. A disciplined quarterly review typically finds 20–40% that can be cut without quality impact.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Any workload where the system prompt exceeds 500 tokens. Schedule a prompt diet review quarterly as part of the FinOps cadence.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H-12  </w:t>
            </w:r>
            <w:r>
              <w:rPr>
                <w:rFonts w:ascii="Georgia" w:cs="Georgia" w:eastAsia="Georgia" w:hAnsi="Georgia"/>
                <w:b/>
                <w:bCs/>
                <w:color w:val="FFFFFF"/>
                <w:sz w:val="22"/>
                <w:szCs w:val="22"/>
              </w:rPr>
              <w:t xml:space="preserve">The Cache-First Mandate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more than 60% of your input tokens per request are identical across requests (system prompt + static context), enable prompt caching immediately.</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Provider-native prompt caching (available from Anthropic, OpenAI, and Google) reduces the cost of cached tokens by 50–90% and also reduces latency. The 60% threshold ensures the caching overhead is worthwhile. Most chatbot and assistant workloads easily exceed this threshold because system prompts alone often represent 40–70% of input tokens.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API-based workloads. Check your provider’s documentation for minimum cache-eligible token counts and cache time-to-live. Some providers require minimum prefix lengths (e.g. 1,024 tokens) for caching to activate.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H-13  </w:t>
            </w:r>
            <w:r>
              <w:rPr>
                <w:rFonts w:ascii="Georgia" w:cs="Georgia" w:eastAsia="Georgia" w:hAnsi="Georgia"/>
                <w:b/>
                <w:bCs/>
                <w:color w:val="FFFFFF"/>
                <w:sz w:val="22"/>
                <w:szCs w:val="22"/>
              </w:rPr>
              <w:t xml:space="preserve">The Output Cap Rule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Set your max_tokens parameter to 2x the median output length for the workload, not to the maximum possible output length.</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Leaving max_tokens at the model default (often 4,096 or 8,192) invites unnecessarily long responses that inflate cost. Setting it too low truncates useful responses. The 2x-median formula balances cost control with output quality by allowing headroom for longer-than-average responses while preventing runaway generation. Monitor the truncation rate — if it exceeds 5%, increase the cap.</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Every LLM API call in production. Measure median output length from your first week of production logs, then apply the 2x cap. Re-measure monthly as user behaviour evolves.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H-14  </w:t>
            </w:r>
            <w:r>
              <w:rPr>
                <w:rFonts w:ascii="Georgia" w:cs="Georgia" w:eastAsia="Georgia" w:hAnsi="Georgia"/>
                <w:b/>
                <w:bCs/>
                <w:color w:val="FFFFFF"/>
                <w:sz w:val="22"/>
                <w:szCs w:val="22"/>
              </w:rPr>
              <w:t xml:space="preserve">The Retrieval Precision Law</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Reducing RAG top-K from 10 to 5 chunks saves more money than downgrading one model tier, and often improves quality.</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Each retrieved chunk adds 200–500 tokens to the prompt. Reducing from 10 to 5 chunks saves 1,000–2,500 input tokens per request — equivalent to a significant per-request cost reduction. Crucially, overstuffing context with marginally relevant chunks often degrades quality because the model must filter noise. Tighter retrieval with better re-ranking is almost always cheaper and better.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RAG-based workloads. Pair this with a re-ranking step (which is much cheaper than LLM inference) to ensure the 5 chunks you send are the most relevant. Measure retrieval precision and answer quality together.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H-15  </w:t>
            </w:r>
            <w:r>
              <w:rPr>
                <w:rFonts w:ascii="Georgia" w:cs="Georgia" w:eastAsia="Georgia" w:hAnsi="Georgia"/>
                <w:b/>
                <w:bCs/>
                <w:color w:val="FFFFFF"/>
                <w:sz w:val="22"/>
                <w:szCs w:val="22"/>
              </w:rPr>
              <w:t xml:space="preserve">The Conversation Decay Rule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 multi-turn conversations, cost per turn increases by 15–25% per turn due to context accumulation. Budget for the average conversation length, not just turn one.</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Each turn in a multi-turn chat appends the full prior conversation to the prompt. A 6-turn conversation at turn 6 sends roughly 3–4x the tokens of turn 1. Many cost estimates only model the first turn. Apply a geometric growth factor of 1.2x per turn for conservative estimation, or implement context window management (summarisation, sliding window) to flatten the curve.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conversational workloads with average conversation length &gt; 3 turns. For single-turn Q&amp;A or extraction workloads, this heuristic does not apply.</w:t>
            </w:r>
          </w:p>
        </w:tc>
      </w:tr>
    </w:tbl>
    <w:p>
      <w:r>
        <w:br w:type="page"/>
      </w:r>
    </w:p>
    <w:p>
      <w:pPr>
        <w:pStyle w:val="Heading1"/>
        <w:spacing w:after="200" w:before="360"/>
      </w:pPr>
      <w:r>
        <w:rPr>
          <w:rFonts w:ascii="Georgia" w:cs="Georgia" w:eastAsia="Georgia" w:hAnsi="Georgia"/>
          <w:b/>
          <w:bCs/>
          <w:color w:val="1B2A4A"/>
          <w:sz w:val="32"/>
          <w:szCs w:val="32"/>
        </w:rPr>
        <w:t xml:space="preserve">6. Agent Cost Control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AI agents are cost amplifiers by design — they trade higher inference spend for autonomous task completion. These heuristics provide the guardrails that prevent agent cost from becoming unbounded while preserving agent capability.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H-16  </w:t>
            </w:r>
            <w:r>
              <w:rPr>
                <w:rFonts w:ascii="Georgia" w:cs="Georgia" w:eastAsia="Georgia" w:hAnsi="Georgia"/>
                <w:b/>
                <w:bCs/>
                <w:color w:val="FFFFFF"/>
                <w:sz w:val="22"/>
                <w:szCs w:val="22"/>
              </w:rPr>
              <w:t xml:space="preserve">The Agent Multiplier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Multiply the cost of a single LLM call by the average observed loop count. For planning purposes, use 5–15x for typical multi-step agents.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 single user query to a research agent might trigger: an initial planning call, 3–5 tool-use calls (each requiring an LLM call to interpret results), a synthesis call, and a formatting call. Each call carries its own token cost. The 5–15x range covers most production agents; some complex agents (e.g. multi-agent debate architectures, iterative code generation) can reach 20–50x.</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agent workload cost estimates. Measure actual amplification from production traces after deployment and replace the heuristic with observed data. If amplification exceeds 20x, review the agent architecture for unnecessary steps.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H-17  </w:t>
            </w:r>
            <w:r>
              <w:rPr>
                <w:rFonts w:ascii="Georgia" w:cs="Georgia" w:eastAsia="Georgia" w:hAnsi="Georgia"/>
                <w:b/>
                <w:bCs/>
                <w:color w:val="FFFFFF"/>
                <w:sz w:val="22"/>
                <w:szCs w:val="22"/>
              </w:rPr>
              <w:t xml:space="preserve">The Tool Call Tax</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Budget $0.001–$0.05 per tool invocation on top of LLM inference costs.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Tool calls have their own direct costs (web search APIs, database queries, code execution sandboxes) and indirect costs (the LLM call to interpret each tool’s output). Many teams budget only for LLM tokens and are surprised by tool-related costs. The range spans from near-free tools (local function calls) to expensive tools (web search at ~$0.005–0.01/query, code execution sandboxes).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agent workloads with external tool integrations. Audit your tool inventory and assign each tool a per-call cost estimate. High-frequency tools (called on &gt; 50% of interactions) deserve individual tracking in your cost dashboard.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H-18  </w:t>
            </w:r>
            <w:r>
              <w:rPr>
                <w:rFonts w:ascii="Georgia" w:cs="Georgia" w:eastAsia="Georgia" w:hAnsi="Georgia"/>
                <w:b/>
                <w:bCs/>
                <w:color w:val="FFFFFF"/>
                <w:sz w:val="22"/>
                <w:szCs w:val="22"/>
              </w:rPr>
              <w:t xml:space="preserve">The Runaway Loop Breaker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Hard-cap every agent at a maximum of 25 LLM calls per single user interaction. No exceptions, no dynamic overrides.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Agentic loops can enter degenerate cycles where the agent repeatedly attempts a failing strategy, generating enormous token volumes without progress. A hard cap is a circuit breaker. The 25-call limit is generous enough for complex multi-step tasks but prevents runaway scenarios. When the cap is hit, the agent should return a graceful partial result with an explanation, not a silent failure.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Every agent deployment, enforced at the orchestration layer (LangGraph max_iterations, CrewAI max_loops, or custom middleware). Log cap-hit events as they indicate either agent design issues or genuinely hard tasks that may need human escalation.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H-19  </w:t>
            </w:r>
            <w:r>
              <w:rPr>
                <w:rFonts w:ascii="Georgia" w:cs="Georgia" w:eastAsia="Georgia" w:hAnsi="Georgia"/>
                <w:b/>
                <w:bCs/>
                <w:color w:val="FFFFFF"/>
                <w:sz w:val="22"/>
                <w:szCs w:val="22"/>
              </w:rPr>
              <w:t xml:space="preserve">The Planner-Executor Split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Use a frontier model only for the planning step of an agent workflow. Execute the plan with a model 5x cheaper.</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planning step (decomposing a task, selecting tools, deciding order of operations) requires the most sophisticated reasoning. Execution steps (calling tools, formatting results, summarising intermediate outputs) are generally simpler. A two-tier architecture where a frontier model plans and a balanced-tier model executes typically saves 40–60% of total agent cost with minimal quality degradation on the final output.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Multi-step agent architectures with &gt; 5 LLM calls per interaction. Not applicable to simple single-call tool-use patterns or agents where every step requires complex reasoning (e.g. adversarial environments).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H-20  </w:t>
            </w:r>
            <w:r>
              <w:rPr>
                <w:rFonts w:ascii="Georgia" w:cs="Georgia" w:eastAsia="Georgia" w:hAnsi="Georgia"/>
                <w:b/>
                <w:bCs/>
                <w:color w:val="FFFFFF"/>
                <w:sz w:val="22"/>
                <w:szCs w:val="22"/>
              </w:rPr>
              <w:t xml:space="preserve">The Memory Cost Rule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Context summarisation adds 10–20% LLM overhead per interaction but prevents 50–100% context growth in long-running sessions.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Long-running agents and multi-turn sessions accumulate context. Without management, a 20-turn conversation costs 10–20x what a 2-turn conversation costs. Periodic summarisation (e.g. every 5 turns) uses a cheap LLM call to compress history, trading a small fixed cost for preventing geometric growth. The net saving is significant for any session averaging &gt; 5 turns.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conversational agents and long-running autonomous agents. Implement as a sliding window with summarisation: keep the last N turns verbatim and summarise everything before that.</w:t>
            </w:r>
          </w:p>
        </w:tc>
      </w:tr>
    </w:tbl>
    <w:p>
      <w:r>
        <w:br w:type="page"/>
      </w:r>
    </w:p>
    <w:p>
      <w:pPr>
        <w:pStyle w:val="Heading1"/>
        <w:spacing w:after="200" w:before="360"/>
      </w:pPr>
      <w:r>
        <w:rPr>
          <w:rFonts w:ascii="Georgia" w:cs="Georgia" w:eastAsia="Georgia" w:hAnsi="Georgia"/>
          <w:b/>
          <w:bCs/>
          <w:color w:val="1B2A4A"/>
          <w:sz w:val="32"/>
          <w:szCs w:val="32"/>
        </w:rPr>
        <w:t xml:space="preserve">7. Infrastructure and Scaling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Self-hosted inference and GPU infrastructure introduce cost dynamics very different from API consumption. These heuristics address the most common provisioning and scaling decisions.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H-21  </w:t>
            </w:r>
            <w:r>
              <w:rPr>
                <w:rFonts w:ascii="Georgia" w:cs="Georgia" w:eastAsia="Georgia" w:hAnsi="Georgia"/>
                <w:b/>
                <w:bCs/>
                <w:color w:val="FFFFFF"/>
                <w:sz w:val="22"/>
                <w:szCs w:val="22"/>
              </w:rPr>
              <w:t xml:space="preserve">The GPU Utilisation Floor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average GPU utilisation is below 50% over a 24-hour window, you are overprovisioned. Consolidate workloads or reduce replicas.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instances are the most expensive line item in self-hosted inference. Unlike CPU workloads, idle GPU time is pure waste — there is no useful background processing. The 50% floor accounts for headroom needed for traffic spikes, but sustained utilisation below this level indicates that you could serve the same traffic with fewer instances, potentially using request queuing or batch scheduling.</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self-hosted GPU deployments. Monitor utilisation per instance and across the fleet. Utilisation below 30% for &gt; 4 hours should trigger an automated scale-down review.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H-22  </w:t>
            </w:r>
            <w:r>
              <w:rPr>
                <w:rFonts w:ascii="Georgia" w:cs="Georgia" w:eastAsia="Georgia" w:hAnsi="Georgia"/>
                <w:b/>
                <w:bCs/>
                <w:color w:val="FFFFFF"/>
                <w:sz w:val="22"/>
                <w:szCs w:val="22"/>
              </w:rPr>
              <w:t xml:space="preserve">The Self-Host Crossover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Self-hosting a model becomes cheaper than API access at approximately 500,000+ requests per day for an equivalent model class.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Below this volume, the operational overhead of GPU management, MLOps, model updates, and on-call support typically exceeds the savings from avoiding per-token API charges. Above this volume, the per-request cost of a well-utilised GPU fleet drops significantly below API pricing. This crossover point varies by model size and provider pricing — recalculate quarterly using your actual per-request costs.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Build-vs-buy decisions for high-volume workloads. Factor in all indirect costs (engineering time, monitoring, security, compliance) when comparing. For organisations without existing GPU infrastructure or ML engineering capability, multiply the crossover point by 2–3x.</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H-23  </w:t>
            </w:r>
            <w:r>
              <w:rPr>
                <w:rFonts w:ascii="Georgia" w:cs="Georgia" w:eastAsia="Georgia" w:hAnsi="Georgia"/>
                <w:b/>
                <w:bCs/>
                <w:color w:val="FFFFFF"/>
                <w:sz w:val="22"/>
                <w:szCs w:val="22"/>
              </w:rPr>
              <w:t xml:space="preserve">The Quantisation Dividend</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INT4 quantisation reduces serving cost by 50–70% (fewer GPUs, higher throughput) with less than 5% quality degradation for most non-reasoning-intensive tasks.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Quantisation reduces model memory footprint and increases inference throughput, allowing you to serve the same model on fewer or cheaper GPUs. The quality trade-off is minimal for extraction, classification, summarisation, and formatting tasks. It becomes more significant for complex reasoning, mathematics, and code generation. Always validate with your evaluation suite before deploying quantised models in production.</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self-hosted open-weight model deployments. Test INT8 first (minimal quality impact), then INT4 if further savings are needed. Use GPTQ or AWQ quantisation methods for best results with current frameworks.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H-24  </w:t>
            </w:r>
            <w:r>
              <w:rPr>
                <w:rFonts w:ascii="Georgia" w:cs="Georgia" w:eastAsia="Georgia" w:hAnsi="Georgia"/>
                <w:b/>
                <w:bCs/>
                <w:color w:val="FFFFFF"/>
                <w:sz w:val="22"/>
                <w:szCs w:val="22"/>
              </w:rPr>
              <w:t xml:space="preserve">The Reserved Instance Rule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If a GPU instance runs more than 16 hours per day on average, switch from on-demand to reserved pricing. Expected savings: 30–40%.</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16-hour threshold is the breakeven point for most cloud providers’ one-year reserved instance pricing. Below 16 hours, on-demand with auto-scaling is cheaper. Above 16 hours, the fixed commitment saves enough to justify reduced flexibility. For workloads running 24/7, three-year reservations can save 50–60%, but lock you into specific GPU types.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provisioning reviews. Analyse trailing 30-day utilisation patterns before committing. If traffic is highly variable (e.g. business-hours-only), on-demand with aggressive auto-scaling may still be cheaper even at &gt; 16 hours average.</w:t>
            </w:r>
          </w:p>
        </w:tc>
      </w:tr>
    </w:tbl>
    <w:p>
      <w:r>
        <w:br w:type="page"/>
      </w:r>
    </w:p>
    <w:p>
      <w:pPr>
        <w:pStyle w:val="Heading1"/>
        <w:spacing w:after="200" w:before="360"/>
      </w:pPr>
      <w:r>
        <w:rPr>
          <w:rFonts w:ascii="Georgia" w:cs="Georgia" w:eastAsia="Georgia" w:hAnsi="Georgia"/>
          <w:b/>
          <w:bCs/>
          <w:color w:val="1B2A4A"/>
          <w:sz w:val="32"/>
          <w:szCs w:val="32"/>
        </w:rPr>
        <w:t xml:space="preserve">8. Governance and Alerting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These heuristics set the threshold levels that trigger governance actions. They complement the framework’s governance structure (Section 5 of the main framework) with specific numeric thresholds.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H-25  </w:t>
            </w:r>
            <w:r>
              <w:rPr>
                <w:rFonts w:ascii="Georgia" w:cs="Georgia" w:eastAsia="Georgia" w:hAnsi="Georgia"/>
                <w:b/>
                <w:bCs/>
                <w:color w:val="FFFFFF"/>
                <w:sz w:val="22"/>
                <w:szCs w:val="22"/>
              </w:rPr>
              <w:t xml:space="preserve">The 120% Daily Alert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Trigger an alert whenever any workload’s daily spend exceeds 120% of its 7-day rolling average.</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 20% deviation threshold balances sensitivity against noise. Tighter thresholds (e.g. 110%) generate excessive false positives from normal daily variation. Wider thresholds (e.g. 150%) miss genuine anomalies until they are expensive. The 7-day rolling average smooths weekly patterns (e.g. lower weekend traffic) while remaining responsive to trends. Alerts should go to the FinOps lead and the workload owner simultaneously.</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production workloads with daily spend &gt; £10. For workloads with known high variability (e.g. batch processing with irregular schedules), use a 150% threshold instead.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H-26  </w:t>
            </w:r>
            <w:r>
              <w:rPr>
                <w:rFonts w:ascii="Georgia" w:cs="Georgia" w:eastAsia="Georgia" w:hAnsi="Georgia"/>
                <w:b/>
                <w:bCs/>
                <w:color w:val="FFFFFF"/>
                <w:sz w:val="22"/>
                <w:szCs w:val="22"/>
              </w:rPr>
              <w:t xml:space="preserve">The 5% Materiality Gate</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Any single workload representing more than 5% of total AI spend must have monthly unit economics review with the product owner present.</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5% threshold ensures that significant cost centres receive proportional governance attention. Below 5%, workloads can be reviewed in aggregate. Above 5%, the workload is material enough that cost-per-outcome trends, model tier decisions, and optimisation opportunities deserve dedicated review time. This prevents the common pattern where a handful of high-spend workloads are never scrutinised because no one owns their cost.</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Monthly FinOps reviews. Calculate each workload’s share of total AI spend and flag any that exceed 5%. If more than 5 workloads exceed the threshold, consider raising it to 10% and reviewing the rest quarterly.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H-27  </w:t>
            </w:r>
            <w:r>
              <w:rPr>
                <w:rFonts w:ascii="Georgia" w:cs="Georgia" w:eastAsia="Georgia" w:hAnsi="Georgia"/>
                <w:b/>
                <w:bCs/>
                <w:color w:val="FFFFFF"/>
                <w:sz w:val="22"/>
                <w:szCs w:val="22"/>
              </w:rPr>
              <w:t xml:space="preserve">The Approval Ladder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£500/month: team self-approves. £500–£5K: FinOps Lead review. £5K–£25K: VP Engineering sign-off. &gt; £25K: CFO approval.</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Tiered approvals prevent bottlenecks (not everything needs CFO sign-off) while ensuring material commitments receive appropriate scrutiny. The thresholds are calibrated for mid-market organisations; scale them proportionally to your total AI budget. The key principle is that the approval effort should be proportional to the financial risk, and every tier should require documented cost estimation using the framework templates.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new workload launches and significant workload changes (model tier upgrades, traffic growth &gt; 50%, new agent capabilities). Adjust thresholds annually based on total AI budget evolution.</w:t>
            </w:r>
          </w:p>
        </w:tc>
      </w:tr>
    </w:tbl>
    <w:p>
      <w:r>
        <w:br w:type="page"/>
      </w:r>
    </w:p>
    <w:p>
      <w:pPr>
        <w:pStyle w:val="Heading1"/>
        <w:spacing w:after="200" w:before="360"/>
      </w:pPr>
      <w:r>
        <w:rPr>
          <w:rFonts w:ascii="Georgia" w:cs="Georgia" w:eastAsia="Georgia" w:hAnsi="Georgia"/>
          <w:b/>
          <w:bCs/>
          <w:color w:val="1B2A4A"/>
          <w:sz w:val="32"/>
          <w:szCs w:val="32"/>
        </w:rPr>
        <w:t xml:space="preserve">9. Optimisation Trigger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Knowing when to optimise is as important as knowing how. These heuristics define the threshold conditions that should trigger specific optimisation interventions rather than general review.</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H-28  </w:t>
            </w:r>
            <w:r>
              <w:rPr>
                <w:rFonts w:ascii="Georgia" w:cs="Georgia" w:eastAsia="Georgia" w:hAnsi="Georgia"/>
                <w:b/>
                <w:bCs/>
                <w:color w:val="FFFFFF"/>
                <w:sz w:val="22"/>
                <w:szCs w:val="22"/>
              </w:rPr>
              <w:t xml:space="preserve">The Optimisation Trigger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Initiate a targeted optimisation sprint when cost-per-outcome rises 20% or more above baseline for two consecutive weeks.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 single week of elevated cost may reflect a temporary spike (traffic event, one-time batch job, provider incident). Two consecutive weeks indicates a structural change: user behaviour shift, prompt drift, model regression, or unintended scope expansion. The 20% threshold is significant enough to warrant dedicated engineering time. The response should be a time-boxed optimisation sprint (1–2 weeks) targeting the specific cost driver identified through root-cause analysis.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production workloads with established baselines (at least 30 days of production data). Baselines should be recalibrated quarterly to reflect legitimate growth and usage evolution.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H-29  </w:t>
            </w:r>
            <w:r>
              <w:rPr>
                <w:rFonts w:ascii="Georgia" w:cs="Georgia" w:eastAsia="Georgia" w:hAnsi="Georgia"/>
                <w:b/>
                <w:bCs/>
                <w:color w:val="FFFFFF"/>
                <w:sz w:val="22"/>
                <w:szCs w:val="22"/>
              </w:rPr>
              <w:t xml:space="preserve">The Provider Renegotiation Signal</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Open contract renegotiation when your monthly spend exceeds 3x the minimum commitment of your current pricing tier.</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At 3x the tier minimum, you have sufficient volume to negotiate custom pricing, higher rate limits, dedicated capacity, or enterprise features. Providers are incentivised to retain high-spend customers, and the competitive landscape means credible alternatives exist. Prepare for negotiation by documenting your usage profile, having a tested fallback provider (see H-09), and knowing your quality-adjusted cost per outcome across providers.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Provider contract reviews, typically triggered at or before annual renewal. Prepare benchmark data from at least one alternative provider to strengthen your negotiating position.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9026"/>
            <w:gridSpan w:val="2"/>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tcPr>
          <w:p>
            <w:r>
              <w:rPr>
                <w:rFonts w:ascii="Arial" w:cs="Arial" w:eastAsia="Arial" w:hAnsi="Arial"/>
                <w:b/>
                <w:bCs/>
                <w:color w:val="D4A843"/>
                <w:sz w:val="22"/>
                <w:szCs w:val="22"/>
              </w:rPr>
              <w:t xml:space="preserve">H-30  </w:t>
            </w:r>
            <w:r>
              <w:rPr>
                <w:rFonts w:ascii="Georgia" w:cs="Georgia" w:eastAsia="Georgia" w:hAnsi="Georgia"/>
                <w:b/>
                <w:bCs/>
                <w:color w:val="FFFFFF"/>
                <w:sz w:val="22"/>
                <w:szCs w:val="22"/>
              </w:rPr>
              <w:t xml:space="preserve">The Architecture Review Trigger</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Rule</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Conduct a full architecture review when AI cost exceeds 25% of a product’s total cost of goods sold (COGS).</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Rationale</w:t>
            </w:r>
          </w:p>
        </w:tc>
        <w:tc>
          <w:tcPr>
            <w:tcW w:type="dxa" w:w="7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At 25% of COGS, AI is no longer a supporting cost — it is a primary cost driver that affects product economics and pricing strategy. This threshold demands architectural intervention: model tiering, caching strategies, self-hosting evaluation, and potentially product design changes that reduce the number of AI calls per user action. The review should involve engineering, product, and finance stakeholders, and should produce a concrete cost reduction roadmap with measurable targets.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bCs/>
                <w:i w:val="false"/>
                <w:iCs w:val="false"/>
                <w:color w:val="2D2D2D"/>
                <w:sz w:val="20"/>
                <w:szCs w:val="20"/>
              </w:rPr>
              <w:t xml:space="preserve">Apply When</w:t>
            </w:r>
          </w:p>
        </w:tc>
        <w:tc>
          <w:tcPr>
            <w:tcW w:type="dxa" w:w="7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Quarterly business reviews. Track AI cost as a percentage of COGS per product line. If AI cost exceeds 35% of COGS, escalate to the executive sponsor for strategic review of the product’s AI dependency.</w:t>
            </w:r>
          </w:p>
        </w:tc>
      </w:tr>
    </w:tbl>
    <w:p>
      <w:r>
        <w:br w:type="page"/>
      </w:r>
    </w:p>
    <w:p>
      <w:pPr>
        <w:pStyle w:val="Heading1"/>
        <w:spacing w:after="200" w:before="360"/>
      </w:pPr>
      <w:r>
        <w:rPr>
          <w:rFonts w:ascii="Georgia" w:cs="Georgia" w:eastAsia="Georgia" w:hAnsi="Georgia"/>
          <w:b/>
          <w:bCs/>
          <w:color w:val="1B2A4A"/>
          <w:sz w:val="32"/>
          <w:szCs w:val="32"/>
        </w:rPr>
        <w:t xml:space="preserve">10. Decision Trees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The heuristics above are expressed as individual rules. In practice, several decisions involve chaining heuristics together. The decision trees below encode the most common multi-step decision paths.</w:t>
      </w:r>
    </w:p>
    <w:p>
      <w:pPr>
        <w:pStyle w:val="Heading2"/>
        <w:spacing w:after="160" w:before="240"/>
      </w:pPr>
      <w:r>
        <w:rPr>
          <w:rFonts w:ascii="Georgia" w:cs="Georgia" w:eastAsia="Georgia" w:hAnsi="Georgia"/>
          <w:b/>
          <w:bCs/>
          <w:color w:val="2A7F8E"/>
          <w:sz w:val="26"/>
          <w:szCs w:val="26"/>
        </w:rPr>
        <w:t xml:space="preserve">10.1 “Should I Downgrade This Model?”</w:t>
      </w:r>
    </w:p>
    <w:p>
      <w:pPr>
        <w:spacing w:after="120" w:line="276"/>
      </w:pPr>
      <w:r>
        <w:rPr>
          <w:rFonts w:ascii="Arial" w:cs="Arial" w:eastAsia="Arial" w:hAnsi="Arial"/>
          <w:color w:val="2D2D2D"/>
          <w:sz w:val="21"/>
          <w:szCs w:val="21"/>
        </w:rPr>
        <w:t xml:space="preserve">This is the most frequent cost optimisation question. Follow this sequence:</w:t>
      </w:r>
    </w:p>
    <w:p>
      <w:pPr>
        <w:pStyle w:val="ListParagraph"/>
        <w:numPr>
          <w:ilvl w:val="0"/>
          <w:numId w:val="3"/>
        </w:numPr>
        <w:spacing w:after="60" w:line="276"/>
      </w:pPr>
      <w:r>
        <w:rPr>
          <w:rFonts w:ascii="Arial" w:cs="Arial" w:eastAsia="Arial" w:hAnsi="Arial"/>
          <w:b/>
          <w:bCs/>
          <w:color w:val="2D2D2D"/>
          <w:sz w:val="21"/>
          <w:szCs w:val="21"/>
        </w:rPr>
        <w:t xml:space="preserve">Step 1 — Measure: </w:t>
      </w:r>
      <w:r>
        <w:rPr>
          <w:rFonts w:ascii="Arial" w:cs="Arial" w:eastAsia="Arial" w:hAnsi="Arial"/>
          <w:color w:val="2D2D2D"/>
          <w:sz w:val="21"/>
          <w:szCs w:val="21"/>
        </w:rPr>
        <w:t xml:space="preserve">Do you have an evaluation suite with ≥ 100 test cases that reflect actual production usage? If no, build one first. Never downgrade blind.</w:t>
      </w:r>
    </w:p>
    <w:p>
      <w:pPr>
        <w:pStyle w:val="ListParagraph"/>
        <w:numPr>
          <w:ilvl w:val="0"/>
          <w:numId w:val="3"/>
        </w:numPr>
        <w:spacing w:after="60" w:line="276"/>
      </w:pPr>
      <w:r>
        <w:rPr>
          <w:rFonts w:ascii="Arial" w:cs="Arial" w:eastAsia="Arial" w:hAnsi="Arial"/>
          <w:b/>
          <w:bCs/>
          <w:color w:val="2D2D2D"/>
          <w:sz w:val="21"/>
          <w:szCs w:val="21"/>
        </w:rPr>
        <w:t xml:space="preserve">Step 2 — Benchmark: </w:t>
      </w:r>
      <w:r>
        <w:rPr>
          <w:rFonts w:ascii="Arial" w:cs="Arial" w:eastAsia="Arial" w:hAnsi="Arial"/>
          <w:color w:val="2D2D2D"/>
          <w:sz w:val="21"/>
          <w:szCs w:val="21"/>
        </w:rPr>
        <w:t xml:space="preserve">Run the cheaper model against your eval suite. Does it pass ≥ 90% of cases? (Apply H-07, the Quality Floor Test.) If no, the model is not downgradable for this workload.</w:t>
      </w:r>
    </w:p>
    <w:p>
      <w:pPr>
        <w:pStyle w:val="ListParagraph"/>
        <w:numPr>
          <w:ilvl w:val="0"/>
          <w:numId w:val="3"/>
        </w:numPr>
        <w:spacing w:after="60" w:line="276"/>
      </w:pPr>
      <w:r>
        <w:rPr>
          <w:rFonts w:ascii="Arial" w:cs="Arial" w:eastAsia="Arial" w:hAnsi="Arial"/>
          <w:b/>
          <w:bCs/>
          <w:color w:val="2D2D2D"/>
          <w:sz w:val="21"/>
          <w:szCs w:val="21"/>
        </w:rPr>
        <w:t xml:space="preserve">Step 3 — Split Test: </w:t>
      </w:r>
      <w:r>
        <w:rPr>
          <w:rFonts w:ascii="Arial" w:cs="Arial" w:eastAsia="Arial" w:hAnsi="Arial"/>
          <w:color w:val="2D2D2D"/>
          <w:sz w:val="21"/>
          <w:szCs w:val="21"/>
        </w:rPr>
        <w:t xml:space="preserve">Can you route only the simple requests to the cheaper model while keeping complex requests on the current model? (Apply H-06, the 80/20 Tier Split.) If yes, implement tiered routing.</w:t>
      </w:r>
    </w:p>
    <w:p>
      <w:pPr>
        <w:pStyle w:val="ListParagraph"/>
        <w:numPr>
          <w:ilvl w:val="0"/>
          <w:numId w:val="3"/>
        </w:numPr>
        <w:spacing w:after="60" w:line="276"/>
      </w:pPr>
      <w:r>
        <w:rPr>
          <w:rFonts w:ascii="Arial" w:cs="Arial" w:eastAsia="Arial" w:hAnsi="Arial"/>
          <w:b/>
          <w:bCs/>
          <w:color w:val="2D2D2D"/>
          <w:sz w:val="21"/>
          <w:szCs w:val="21"/>
        </w:rPr>
        <w:t xml:space="preserve">Step 4 — Deploy with Guardrails: </w:t>
      </w:r>
      <w:r>
        <w:rPr>
          <w:rFonts w:ascii="Arial" w:cs="Arial" w:eastAsia="Arial" w:hAnsi="Arial"/>
          <w:color w:val="2D2D2D"/>
          <w:sz w:val="21"/>
          <w:szCs w:val="21"/>
        </w:rPr>
        <w:t xml:space="preserve">Deploy the cheaper model with a quality monitoring pipeline. Set an automatic rollback trigger if error rate or user satisfaction degrades beyond your threshold.</w:t>
      </w:r>
    </w:p>
    <w:p>
      <w:pPr>
        <w:pStyle w:val="ListParagraph"/>
        <w:numPr>
          <w:ilvl w:val="0"/>
          <w:numId w:val="3"/>
        </w:numPr>
        <w:spacing w:after="60" w:line="276"/>
      </w:pPr>
      <w:r>
        <w:rPr>
          <w:rFonts w:ascii="Arial" w:cs="Arial" w:eastAsia="Arial" w:hAnsi="Arial"/>
          <w:b/>
          <w:bCs/>
          <w:color w:val="2D2D2D"/>
          <w:sz w:val="21"/>
          <w:szCs w:val="21"/>
        </w:rPr>
        <w:t xml:space="preserve">Step 5 — Measure Impact: </w:t>
      </w:r>
      <w:r>
        <w:rPr>
          <w:rFonts w:ascii="Arial" w:cs="Arial" w:eastAsia="Arial" w:hAnsi="Arial"/>
          <w:color w:val="2D2D2D"/>
          <w:sz w:val="21"/>
          <w:szCs w:val="21"/>
        </w:rPr>
        <w:t xml:space="preserve">After 14 days, measure cost reduction and quality metrics. If cost reduced ≥ 30% with quality within tolerance, make the change permanent.</w:t>
      </w:r>
    </w:p>
    <w:p>
      <w:pPr>
        <w:spacing w:after="200"/>
      </w:pPr>
    </w:p>
    <w:p>
      <w:pPr>
        <w:pStyle w:val="Heading2"/>
        <w:spacing w:after="160" w:before="240"/>
      </w:pPr>
      <w:r>
        <w:rPr>
          <w:rFonts w:ascii="Georgia" w:cs="Georgia" w:eastAsia="Georgia" w:hAnsi="Georgia"/>
          <w:b/>
          <w:bCs/>
          <w:color w:val="2A7F8E"/>
          <w:sz w:val="26"/>
          <w:szCs w:val="26"/>
        </w:rPr>
        <w:t xml:space="preserve">10.2 “Should I Self-Host or Use an API?”</w:t>
      </w:r>
    </w:p>
    <w:p>
      <w:pPr>
        <w:pStyle w:val="ListParagraph"/>
        <w:numPr>
          <w:ilvl w:val="0"/>
          <w:numId w:val="4"/>
        </w:numPr>
        <w:spacing w:after="60" w:line="276"/>
      </w:pPr>
      <w:r>
        <w:rPr>
          <w:rFonts w:ascii="Arial" w:cs="Arial" w:eastAsia="Arial" w:hAnsi="Arial"/>
          <w:b/>
          <w:bCs/>
          <w:color w:val="2D2D2D"/>
          <w:sz w:val="21"/>
          <w:szCs w:val="21"/>
        </w:rPr>
        <w:t xml:space="preserve">Step 1 — Volume Check: </w:t>
      </w:r>
      <w:r>
        <w:rPr>
          <w:rFonts w:ascii="Arial" w:cs="Arial" w:eastAsia="Arial" w:hAnsi="Arial"/>
          <w:color w:val="2D2D2D"/>
          <w:sz w:val="21"/>
          <w:szCs w:val="21"/>
        </w:rPr>
        <w:t xml:space="preserve">Are you at or above 500K requests/day? (Apply H-22, the Self-Host Crossover.) If no, use APIs.</w:t>
      </w:r>
    </w:p>
    <w:p>
      <w:pPr>
        <w:pStyle w:val="ListParagraph"/>
        <w:numPr>
          <w:ilvl w:val="0"/>
          <w:numId w:val="4"/>
        </w:numPr>
        <w:spacing w:after="60" w:line="276"/>
      </w:pPr>
      <w:r>
        <w:rPr>
          <w:rFonts w:ascii="Arial" w:cs="Arial" w:eastAsia="Arial" w:hAnsi="Arial"/>
          <w:b/>
          <w:bCs/>
          <w:color w:val="2D2D2D"/>
          <w:sz w:val="21"/>
          <w:szCs w:val="21"/>
        </w:rPr>
        <w:t xml:space="preserve">Step 2 — Capability Check: </w:t>
      </w:r>
      <w:r>
        <w:rPr>
          <w:rFonts w:ascii="Arial" w:cs="Arial" w:eastAsia="Arial" w:hAnsi="Arial"/>
          <w:color w:val="2D2D2D"/>
          <w:sz w:val="21"/>
          <w:szCs w:val="21"/>
        </w:rPr>
        <w:t xml:space="preserve">Do you have ML engineering capacity for GPU management, model serving, and on-call? If no, use APIs regardless of volume.</w:t>
      </w:r>
    </w:p>
    <w:p>
      <w:pPr>
        <w:pStyle w:val="ListParagraph"/>
        <w:numPr>
          <w:ilvl w:val="0"/>
          <w:numId w:val="4"/>
        </w:numPr>
        <w:spacing w:after="60" w:line="276"/>
      </w:pPr>
      <w:r>
        <w:rPr>
          <w:rFonts w:ascii="Arial" w:cs="Arial" w:eastAsia="Arial" w:hAnsi="Arial"/>
          <w:b/>
          <w:bCs/>
          <w:color w:val="2D2D2D"/>
          <w:sz w:val="21"/>
          <w:szCs w:val="21"/>
        </w:rPr>
        <w:t xml:space="preserve">Step 3 — Compliance Check: </w:t>
      </w:r>
      <w:r>
        <w:rPr>
          <w:rFonts w:ascii="Arial" w:cs="Arial" w:eastAsia="Arial" w:hAnsi="Arial"/>
          <w:color w:val="2D2D2D"/>
          <w:sz w:val="21"/>
          <w:szCs w:val="21"/>
        </w:rPr>
        <w:t xml:space="preserve">Do data residency, privacy, or regulatory requirements mandate on-premises or private cloud hosting? If yes, self-host is required regardless of cost.</w:t>
      </w:r>
    </w:p>
    <w:p>
      <w:pPr>
        <w:pStyle w:val="ListParagraph"/>
        <w:numPr>
          <w:ilvl w:val="0"/>
          <w:numId w:val="4"/>
        </w:numPr>
        <w:spacing w:after="60" w:line="276"/>
      </w:pPr>
      <w:r>
        <w:rPr>
          <w:rFonts w:ascii="Arial" w:cs="Arial" w:eastAsia="Arial" w:hAnsi="Arial"/>
          <w:b/>
          <w:bCs/>
          <w:color w:val="2D2D2D"/>
          <w:sz w:val="21"/>
          <w:szCs w:val="21"/>
        </w:rPr>
        <w:t xml:space="preserve">Step 4 — TCO Comparison: </w:t>
      </w:r>
      <w:r>
        <w:rPr>
          <w:rFonts w:ascii="Arial" w:cs="Arial" w:eastAsia="Arial" w:hAnsi="Arial"/>
          <w:color w:val="2D2D2D"/>
          <w:sz w:val="21"/>
          <w:szCs w:val="21"/>
        </w:rPr>
        <w:t xml:space="preserve">Run a full TCO comparison including all indirect costs (compute, storage, networking, engineering time, monitoring, security). Apply a 1.5x overhead multiplier to the raw GPU cost to account for indirect costs. Is self-hosting still cheaper?</w:t>
      </w:r>
    </w:p>
    <w:p>
      <w:pPr>
        <w:pStyle w:val="ListParagraph"/>
        <w:numPr>
          <w:ilvl w:val="0"/>
          <w:numId w:val="4"/>
        </w:numPr>
        <w:spacing w:after="60" w:line="276"/>
      </w:pPr>
      <w:r>
        <w:rPr>
          <w:rFonts w:ascii="Arial" w:cs="Arial" w:eastAsia="Arial" w:hAnsi="Arial"/>
          <w:b/>
          <w:bCs/>
          <w:color w:val="2D2D2D"/>
          <w:sz w:val="21"/>
          <w:szCs w:val="21"/>
        </w:rPr>
        <w:t xml:space="preserve">Step 5 — Hybrid Decision: </w:t>
      </w:r>
      <w:r>
        <w:rPr>
          <w:rFonts w:ascii="Arial" w:cs="Arial" w:eastAsia="Arial" w:hAnsi="Arial"/>
          <w:color w:val="2D2D2D"/>
          <w:sz w:val="21"/>
          <w:szCs w:val="21"/>
        </w:rPr>
        <w:t xml:space="preserve">Consider self-hosting your highest-volume workload while keeping lower-volume and experimental workloads on APIs.</w:t>
      </w:r>
    </w:p>
    <w:p>
      <w:pPr>
        <w:spacing w:after="200"/>
      </w:pPr>
    </w:p>
    <w:p>
      <w:pPr>
        <w:pStyle w:val="Heading2"/>
        <w:spacing w:after="160" w:before="240"/>
      </w:pPr>
      <w:r>
        <w:rPr>
          <w:rFonts w:ascii="Georgia" w:cs="Georgia" w:eastAsia="Georgia" w:hAnsi="Georgia"/>
          <w:b/>
          <w:bCs/>
          <w:color w:val="2A7F8E"/>
          <w:sz w:val="26"/>
          <w:szCs w:val="26"/>
        </w:rPr>
        <w:t xml:space="preserve">10.3 “Should I Invest in Prompt Optimisation or Model Downgrade?”</w:t>
      </w:r>
    </w:p>
    <w:p>
      <w:pPr>
        <w:pStyle w:val="ListParagraph"/>
        <w:numPr>
          <w:ilvl w:val="0"/>
          <w:numId w:val="5"/>
        </w:numPr>
        <w:spacing w:after="60" w:line="276"/>
      </w:pPr>
      <w:r>
        <w:rPr>
          <w:rFonts w:ascii="Arial" w:cs="Arial" w:eastAsia="Arial" w:hAnsi="Arial"/>
          <w:b/>
          <w:bCs/>
          <w:color w:val="2D2D2D"/>
          <w:sz w:val="21"/>
          <w:szCs w:val="21"/>
        </w:rPr>
        <w:t xml:space="preserve">Step 1 — Context Tax Assessment: </w:t>
      </w:r>
      <w:r>
        <w:rPr>
          <w:rFonts w:ascii="Arial" w:cs="Arial" w:eastAsia="Arial" w:hAnsi="Arial"/>
          <w:color w:val="2D2D2D"/>
          <w:sz w:val="21"/>
          <w:szCs w:val="21"/>
        </w:rPr>
        <w:t xml:space="preserve">Run a prompt audit (H-05). Is your context waste above 30%? If yes, prompt optimisation has higher ROI — start there.</w:t>
      </w:r>
    </w:p>
    <w:p>
      <w:pPr>
        <w:pStyle w:val="ListParagraph"/>
        <w:numPr>
          <w:ilvl w:val="0"/>
          <w:numId w:val="5"/>
        </w:numPr>
        <w:spacing w:after="60" w:line="276"/>
      </w:pPr>
      <w:r>
        <w:rPr>
          <w:rFonts w:ascii="Arial" w:cs="Arial" w:eastAsia="Arial" w:hAnsi="Arial"/>
          <w:b/>
          <w:bCs/>
          <w:color w:val="2D2D2D"/>
          <w:sz w:val="21"/>
          <w:szCs w:val="21"/>
        </w:rPr>
        <w:t xml:space="preserve">Step 2 — Cache Opportunity: </w:t>
      </w:r>
      <w:r>
        <w:rPr>
          <w:rFonts w:ascii="Arial" w:cs="Arial" w:eastAsia="Arial" w:hAnsi="Arial"/>
          <w:color w:val="2D2D2D"/>
          <w:sz w:val="21"/>
          <w:szCs w:val="21"/>
        </w:rPr>
        <w:t xml:space="preserve">Is prompt caching enabled? (H-12.) If no, enable it — this is often a one-line configuration change with immediate savings.</w:t>
      </w:r>
    </w:p>
    <w:p>
      <w:pPr>
        <w:pStyle w:val="ListParagraph"/>
        <w:numPr>
          <w:ilvl w:val="0"/>
          <w:numId w:val="5"/>
        </w:numPr>
        <w:spacing w:after="60" w:line="276"/>
      </w:pPr>
      <w:r>
        <w:rPr>
          <w:rFonts w:ascii="Arial" w:cs="Arial" w:eastAsia="Arial" w:hAnsi="Arial"/>
          <w:b/>
          <w:bCs/>
          <w:color w:val="2D2D2D"/>
          <w:sz w:val="21"/>
          <w:szCs w:val="21"/>
        </w:rPr>
        <w:t xml:space="preserve">Step 3 — Quality Headroom: </w:t>
      </w:r>
      <w:r>
        <w:rPr>
          <w:rFonts w:ascii="Arial" w:cs="Arial" w:eastAsia="Arial" w:hAnsi="Arial"/>
          <w:color w:val="2D2D2D"/>
          <w:sz w:val="21"/>
          <w:szCs w:val="21"/>
        </w:rPr>
        <w:t xml:space="preserve">How much quality headroom do you have? If current quality is significantly above the business requirement (i.e. you’re “over-delivering”), model downgrade yields larger savings.</w:t>
      </w:r>
    </w:p>
    <w:p>
      <w:pPr>
        <w:pStyle w:val="ListParagraph"/>
        <w:numPr>
          <w:ilvl w:val="0"/>
          <w:numId w:val="5"/>
        </w:numPr>
        <w:spacing w:after="60" w:line="276"/>
      </w:pPr>
      <w:r>
        <w:rPr>
          <w:rFonts w:ascii="Arial" w:cs="Arial" w:eastAsia="Arial" w:hAnsi="Arial"/>
          <w:b/>
          <w:bCs/>
          <w:color w:val="2D2D2D"/>
          <w:sz w:val="21"/>
          <w:szCs w:val="21"/>
        </w:rPr>
        <w:t xml:space="preserve">Step 4 — Sequence: </w:t>
      </w:r>
      <w:r>
        <w:rPr>
          <w:rFonts w:ascii="Arial" w:cs="Arial" w:eastAsia="Arial" w:hAnsi="Arial"/>
          <w:color w:val="2D2D2D"/>
          <w:sz w:val="21"/>
          <w:szCs w:val="21"/>
        </w:rPr>
        <w:t xml:space="preserve">In most cases, the optimal sequence is: (1) enable caching, (2) optimise prompts, (3) downgrade model. Each step reduces the cost baseline for the next, maximising cumulative savings.</w:t>
      </w:r>
    </w:p>
    <w:p>
      <w:pPr>
        <w:spacing w:after="200"/>
      </w:pPr>
    </w:p>
    <w:p>
      <w:pPr>
        <w:pStyle w:val="Heading2"/>
        <w:spacing w:after="160" w:before="240"/>
      </w:pPr>
      <w:r>
        <w:rPr>
          <w:rFonts w:ascii="Georgia" w:cs="Georgia" w:eastAsia="Georgia" w:hAnsi="Georgia"/>
          <w:b/>
          <w:bCs/>
          <w:color w:val="2A7F8E"/>
          <w:sz w:val="26"/>
          <w:szCs w:val="26"/>
        </w:rPr>
        <w:t xml:space="preserve">10.4 “Is My Agent Too Expensive?”</w:t>
      </w:r>
    </w:p>
    <w:p>
      <w:pPr>
        <w:pStyle w:val="ListParagraph"/>
        <w:numPr>
          <w:ilvl w:val="0"/>
          <w:numId w:val="6"/>
        </w:numPr>
        <w:spacing w:after="60" w:line="276"/>
      </w:pPr>
      <w:r>
        <w:rPr>
          <w:rFonts w:ascii="Arial" w:cs="Arial" w:eastAsia="Arial" w:hAnsi="Arial"/>
          <w:b/>
          <w:bCs/>
          <w:color w:val="2D2D2D"/>
          <w:sz w:val="21"/>
          <w:szCs w:val="21"/>
        </w:rPr>
        <w:t xml:space="preserve">Step 1 — Measure Amplification: </w:t>
      </w:r>
      <w:r>
        <w:rPr>
          <w:rFonts w:ascii="Arial" w:cs="Arial" w:eastAsia="Arial" w:hAnsi="Arial"/>
          <w:color w:val="2D2D2D"/>
          <w:sz w:val="21"/>
          <w:szCs w:val="21"/>
        </w:rPr>
        <w:t xml:space="preserve">What is the actual loop amplification factor (H-16)? If &gt; 15x, the agent architecture likely has unnecessary steps.</w:t>
      </w:r>
    </w:p>
    <w:p>
      <w:pPr>
        <w:pStyle w:val="ListParagraph"/>
        <w:numPr>
          <w:ilvl w:val="0"/>
          <w:numId w:val="6"/>
        </w:numPr>
        <w:spacing w:after="60" w:line="276"/>
      </w:pPr>
      <w:r>
        <w:rPr>
          <w:rFonts w:ascii="Arial" w:cs="Arial" w:eastAsia="Arial" w:hAnsi="Arial"/>
          <w:b/>
          <w:bCs/>
          <w:color w:val="2D2D2D"/>
          <w:sz w:val="21"/>
          <w:szCs w:val="21"/>
        </w:rPr>
        <w:t xml:space="preserve">Step 2 — Planner-Executor Audit: </w:t>
      </w:r>
      <w:r>
        <w:rPr>
          <w:rFonts w:ascii="Arial" w:cs="Arial" w:eastAsia="Arial" w:hAnsi="Arial"/>
          <w:color w:val="2D2D2D"/>
          <w:sz w:val="21"/>
          <w:szCs w:val="21"/>
        </w:rPr>
        <w:t xml:space="preserve">Is a frontier model used for every step, or only for planning (H-19)? If the same model handles all steps, implement the planner-executor split.</w:t>
      </w:r>
    </w:p>
    <w:p>
      <w:pPr>
        <w:pStyle w:val="ListParagraph"/>
        <w:numPr>
          <w:ilvl w:val="0"/>
          <w:numId w:val="6"/>
        </w:numPr>
        <w:spacing w:after="60" w:line="276"/>
      </w:pPr>
      <w:r>
        <w:rPr>
          <w:rFonts w:ascii="Arial" w:cs="Arial" w:eastAsia="Arial" w:hAnsi="Arial"/>
          <w:b/>
          <w:bCs/>
          <w:color w:val="2D2D2D"/>
          <w:sz w:val="21"/>
          <w:szCs w:val="21"/>
        </w:rPr>
        <w:t xml:space="preserve">Step 3 — Tool Audit: </w:t>
      </w:r>
      <w:r>
        <w:rPr>
          <w:rFonts w:ascii="Arial" w:cs="Arial" w:eastAsia="Arial" w:hAnsi="Arial"/>
          <w:color w:val="2D2D2D"/>
          <w:sz w:val="21"/>
          <w:szCs w:val="21"/>
        </w:rPr>
        <w:t xml:space="preserve">Which tools are called most frequently and what do they cost (H-17)? Can any be replaced with cached results or cheaper alternatives?</w:t>
      </w:r>
    </w:p>
    <w:p>
      <w:pPr>
        <w:pStyle w:val="ListParagraph"/>
        <w:numPr>
          <w:ilvl w:val="0"/>
          <w:numId w:val="6"/>
        </w:numPr>
        <w:spacing w:after="60" w:line="276"/>
      </w:pPr>
      <w:r>
        <w:rPr>
          <w:rFonts w:ascii="Arial" w:cs="Arial" w:eastAsia="Arial" w:hAnsi="Arial"/>
          <w:b/>
          <w:bCs/>
          <w:color w:val="2D2D2D"/>
          <w:sz w:val="21"/>
          <w:szCs w:val="21"/>
        </w:rPr>
        <w:t xml:space="preserve">Step 4 — Loop Budget: </w:t>
      </w:r>
      <w:r>
        <w:rPr>
          <w:rFonts w:ascii="Arial" w:cs="Arial" w:eastAsia="Arial" w:hAnsi="Arial"/>
          <w:color w:val="2D2D2D"/>
          <w:sz w:val="21"/>
          <w:szCs w:val="21"/>
        </w:rPr>
        <w:t xml:space="preserve">Is the hard cap enforced (H-18)? How often is it hit? If &gt; 5% of interactions hit the cap, the agent needs re-architecting, not just a higher cap.</w:t>
      </w:r>
    </w:p>
    <w:p>
      <w:pPr>
        <w:pStyle w:val="ListParagraph"/>
        <w:numPr>
          <w:ilvl w:val="0"/>
          <w:numId w:val="6"/>
        </w:numPr>
        <w:spacing w:after="60" w:line="276"/>
      </w:pPr>
      <w:r>
        <w:rPr>
          <w:rFonts w:ascii="Arial" w:cs="Arial" w:eastAsia="Arial" w:hAnsi="Arial"/>
          <w:b/>
          <w:bCs/>
          <w:color w:val="2D2D2D"/>
          <w:sz w:val="21"/>
          <w:szCs w:val="21"/>
        </w:rPr>
        <w:t xml:space="preserve">Step 5 — Cost-per-Outcome: </w:t>
      </w:r>
      <w:r>
        <w:rPr>
          <w:rFonts w:ascii="Arial" w:cs="Arial" w:eastAsia="Arial" w:hAnsi="Arial"/>
          <w:color w:val="2D2D2D"/>
          <w:sz w:val="21"/>
          <w:szCs w:val="21"/>
        </w:rPr>
        <w:t xml:space="preserve">What is the agent’s cost per successfully completed task? Compare against the value of the task to the business. If cost &gt; 20% of task value, the economics are unsustainable.</w:t>
      </w:r>
    </w:p>
    <w:p>
      <w:r>
        <w:br w:type="page"/>
      </w:r>
    </w:p>
    <w:p>
      <w:pPr>
        <w:pStyle w:val="Heading1"/>
        <w:spacing w:after="200" w:before="360"/>
      </w:pPr>
      <w:r>
        <w:rPr>
          <w:rFonts w:ascii="Georgia" w:cs="Georgia" w:eastAsia="Georgia" w:hAnsi="Georgia"/>
          <w:b/>
          <w:bCs/>
          <w:color w:val="1B2A4A"/>
          <w:sz w:val="32"/>
          <w:szCs w:val="32"/>
        </w:rPr>
        <w:t xml:space="preserve">11. Diagnostic Scorecard</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Use this scorecard in weekly FinOps reviews. For each workload, score each dimension as Green (healthy), Amber (needs attention), or Red (requires immediate action). The thresholds below are derived from the heuristics.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Green</w:t>
            </w:r>
          </w:p>
        </w:tc>
        <w:tc>
          <w:tcPr>
            <w:tcW w:type="dxa" w:w="2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Amber</w:t>
            </w:r>
          </w:p>
        </w:tc>
        <w:tc>
          <w:tcPr>
            <w:tcW w:type="dxa" w:w="22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Daily Spend vs. Forecast</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120% of forecast</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120–150% of forecast</w:t>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150% of forecast</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Outcome Trend</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Stable or declining</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Rising &lt; 20% over 2 weeks</w:t>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Rising ≥ 20% for ≥ 2 weeks (H-28)</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Token Efficiency (useful / total)</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70%</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50–70%</w:t>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50% (H-05 applies)</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 Hit Rate</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60%</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40–60%</w:t>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40% (H-12 mandate)</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Tier Appropriateness</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Quality eval confirms tier</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No eval suite exists</w:t>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Eval shows cheaper model passes 90% (H-07)</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 Amplification Factor</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10x</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10–20x</w:t>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20x (architecture review needed)</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 Cap Hit Rate</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1%</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1–5%</w:t>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5% (H-18 violated frequently)</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Utilisation (self-hosted)</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60%</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40–60%</w:t>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40% (H-21 floor breached)</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Provider Concentration</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70% single provider</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70–80% single provider</w:t>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80% single provider (H-09)</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 Cost as % of COGS</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15%</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15–25%</w:t>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25% (H-30 architecture review)</w:t>
            </w:r>
          </w:p>
        </w:tc>
      </w:tr>
    </w:tbl>
    <w:p>
      <w:pPr>
        <w:spacing w:after="200"/>
      </w:pPr>
    </w:p>
    <w:p>
      <w:pPr>
        <w:pStyle w:val="Heading2"/>
        <w:spacing w:after="160" w:before="240"/>
      </w:pPr>
      <w:r>
        <w:rPr>
          <w:rFonts w:ascii="Georgia" w:cs="Georgia" w:eastAsia="Georgia" w:hAnsi="Georgia"/>
          <w:b/>
          <w:bCs/>
          <w:color w:val="2A7F8E"/>
          <w:sz w:val="26"/>
          <w:szCs w:val="26"/>
        </w:rPr>
        <w:t xml:space="preserve">11.1 Scoring and Escalation Rules</w:t>
      </w:r>
    </w:p>
    <w:p>
      <w:pPr>
        <w:pStyle w:val="ListParagraph"/>
        <w:numPr>
          <w:ilvl w:val="0"/>
          <w:numId w:val="7"/>
        </w:numPr>
        <w:spacing w:after="60" w:line="276"/>
      </w:pPr>
      <w:r>
        <w:rPr>
          <w:rFonts w:ascii="Arial" w:cs="Arial" w:eastAsia="Arial" w:hAnsi="Arial"/>
          <w:b/>
          <w:bCs/>
          <w:color w:val="2D2D2D"/>
          <w:sz w:val="21"/>
          <w:szCs w:val="21"/>
        </w:rPr>
        <w:t xml:space="preserve">All Green: </w:t>
      </w:r>
      <w:r>
        <w:rPr>
          <w:rFonts w:ascii="Arial" w:cs="Arial" w:eastAsia="Arial" w:hAnsi="Arial"/>
          <w:color w:val="2D2D2D"/>
          <w:sz w:val="21"/>
          <w:szCs w:val="21"/>
        </w:rPr>
        <w:t xml:space="preserve">No action required. Document in weekly report.</w:t>
      </w:r>
    </w:p>
    <w:p>
      <w:pPr>
        <w:pStyle w:val="ListParagraph"/>
        <w:numPr>
          <w:ilvl w:val="0"/>
          <w:numId w:val="7"/>
        </w:numPr>
        <w:spacing w:after="60" w:line="276"/>
      </w:pPr>
      <w:r>
        <w:rPr>
          <w:rFonts w:ascii="Arial" w:cs="Arial" w:eastAsia="Arial" w:hAnsi="Arial"/>
          <w:b/>
          <w:bCs/>
          <w:color w:val="2D2D2D"/>
          <w:sz w:val="21"/>
          <w:szCs w:val="21"/>
        </w:rPr>
        <w:t xml:space="preserve">1–2 Amber: </w:t>
      </w:r>
      <w:r>
        <w:rPr>
          <w:rFonts w:ascii="Arial" w:cs="Arial" w:eastAsia="Arial" w:hAnsi="Arial"/>
          <w:color w:val="2D2D2D"/>
          <w:sz w:val="21"/>
          <w:szCs w:val="21"/>
        </w:rPr>
        <w:t xml:space="preserve">Assign investigation to the workload owner. Target resolution within 2 weeks.</w:t>
      </w:r>
    </w:p>
    <w:p>
      <w:pPr>
        <w:pStyle w:val="ListParagraph"/>
        <w:numPr>
          <w:ilvl w:val="0"/>
          <w:numId w:val="7"/>
        </w:numPr>
        <w:spacing w:after="60" w:line="276"/>
      </w:pPr>
      <w:r>
        <w:rPr>
          <w:rFonts w:ascii="Arial" w:cs="Arial" w:eastAsia="Arial" w:hAnsi="Arial"/>
          <w:b/>
          <w:bCs/>
          <w:color w:val="2D2D2D"/>
          <w:sz w:val="21"/>
          <w:szCs w:val="21"/>
        </w:rPr>
        <w:t xml:space="preserve">3+ Amber or any Red: </w:t>
      </w:r>
      <w:r>
        <w:rPr>
          <w:rFonts w:ascii="Arial" w:cs="Arial" w:eastAsia="Arial" w:hAnsi="Arial"/>
          <w:color w:val="2D2D2D"/>
          <w:sz w:val="21"/>
          <w:szCs w:val="21"/>
        </w:rPr>
        <w:t xml:space="preserve">Escalate to FinOps Lead. Schedule a dedicated optimisation session within 1 week.</w:t>
      </w:r>
    </w:p>
    <w:p>
      <w:pPr>
        <w:pStyle w:val="ListParagraph"/>
        <w:numPr>
          <w:ilvl w:val="0"/>
          <w:numId w:val="7"/>
        </w:numPr>
        <w:spacing w:after="60" w:line="276"/>
      </w:pPr>
      <w:r>
        <w:rPr>
          <w:rFonts w:ascii="Arial" w:cs="Arial" w:eastAsia="Arial" w:hAnsi="Arial"/>
          <w:b/>
          <w:bCs/>
          <w:color w:val="2D2D2D"/>
          <w:sz w:val="21"/>
          <w:szCs w:val="21"/>
        </w:rPr>
        <w:t xml:space="preserve">2+ Red: </w:t>
      </w:r>
      <w:r>
        <w:rPr>
          <w:rFonts w:ascii="Arial" w:cs="Arial" w:eastAsia="Arial" w:hAnsi="Arial"/>
          <w:color w:val="2D2D2D"/>
          <w:sz w:val="21"/>
          <w:szCs w:val="21"/>
        </w:rPr>
        <w:t xml:space="preserve">Escalate to VP Engineering. Initiate a formal cost reduction sprint with a defined savings target.</w:t>
      </w:r>
    </w:p>
    <w:p>
      <w:r>
        <w:br w:type="page"/>
      </w:r>
    </w:p>
    <w:p>
      <w:pPr>
        <w:pStyle w:val="Heading1"/>
        <w:spacing w:after="200" w:before="360"/>
      </w:pPr>
      <w:r>
        <w:rPr>
          <w:rFonts w:ascii="Georgia" w:cs="Georgia" w:eastAsia="Georgia" w:hAnsi="Georgia"/>
          <w:b/>
          <w:bCs/>
          <w:color w:val="1B2A4A"/>
          <w:sz w:val="32"/>
          <w:szCs w:val="32"/>
        </w:rPr>
        <w:t xml:space="preserve">12. Calibration and Customisation Guide</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The numeric thresholds in these heuristics are starting points calibrated against common enterprise AI deployments. Your organisation should treat them as defaults to be refined, not absolutes. This section provides guidance on how and when to adjust the thresholds.</w:t>
      </w:r>
    </w:p>
    <w:p>
      <w:pPr>
        <w:pStyle w:val="Heading2"/>
        <w:spacing w:after="160" w:before="240"/>
      </w:pPr>
      <w:r>
        <w:rPr>
          <w:rFonts w:ascii="Georgia" w:cs="Georgia" w:eastAsia="Georgia" w:hAnsi="Georgia"/>
          <w:b/>
          <w:bCs/>
          <w:color w:val="2A7F8E"/>
          <w:sz w:val="26"/>
          <w:szCs w:val="26"/>
        </w:rPr>
        <w:t xml:space="preserve">12.1 When to Re-Calibrate</w:t>
      </w:r>
    </w:p>
    <w:p>
      <w:pPr>
        <w:pStyle w:val="ListParagraph"/>
        <w:numPr>
          <w:ilvl w:val="0"/>
          <w:numId w:val="8"/>
        </w:numPr>
        <w:spacing w:after="60" w:line="276"/>
      </w:pPr>
      <w:r>
        <w:rPr>
          <w:rFonts w:ascii="Arial" w:cs="Arial" w:eastAsia="Arial" w:hAnsi="Arial"/>
          <w:color w:val="2D2D2D"/>
          <w:sz w:val="21"/>
          <w:szCs w:val="21"/>
        </w:rPr>
        <w:t xml:space="preserve">After the first 30 days of production data for a new workload (replace H-04 estimates with actuals)</w:t>
      </w:r>
    </w:p>
    <w:p>
      <w:pPr>
        <w:pStyle w:val="ListParagraph"/>
        <w:numPr>
          <w:ilvl w:val="0"/>
          <w:numId w:val="8"/>
        </w:numPr>
        <w:spacing w:after="60" w:line="276"/>
      </w:pPr>
      <w:r>
        <w:rPr>
          <w:rFonts w:ascii="Arial" w:cs="Arial" w:eastAsia="Arial" w:hAnsi="Arial"/>
          <w:color w:val="2D2D2D"/>
          <w:sz w:val="21"/>
          <w:szCs w:val="21"/>
        </w:rPr>
        <w:t xml:space="preserve">When provider pricing changes by more than 10% (recalculate breakeven points in H-10, H-22)</w:t>
      </w:r>
    </w:p>
    <w:p>
      <w:pPr>
        <w:pStyle w:val="ListParagraph"/>
        <w:numPr>
          <w:ilvl w:val="0"/>
          <w:numId w:val="8"/>
        </w:numPr>
        <w:spacing w:after="60" w:line="276"/>
      </w:pPr>
      <w:r>
        <w:rPr>
          <w:rFonts w:ascii="Arial" w:cs="Arial" w:eastAsia="Arial" w:hAnsi="Arial"/>
          <w:color w:val="2D2D2D"/>
          <w:sz w:val="21"/>
          <w:szCs w:val="21"/>
        </w:rPr>
        <w:t xml:space="preserve">When your total AI spend doubles (governance thresholds in H-26, H-27 may need scaling)</w:t>
      </w:r>
    </w:p>
    <w:p>
      <w:pPr>
        <w:pStyle w:val="ListParagraph"/>
        <w:numPr>
          <w:ilvl w:val="0"/>
          <w:numId w:val="8"/>
        </w:numPr>
        <w:spacing w:after="60" w:line="276"/>
      </w:pPr>
      <w:r>
        <w:rPr>
          <w:rFonts w:ascii="Arial" w:cs="Arial" w:eastAsia="Arial" w:hAnsi="Arial"/>
          <w:color w:val="2D2D2D"/>
          <w:sz w:val="21"/>
          <w:szCs w:val="21"/>
        </w:rPr>
        <w:t xml:space="preserve">Quarterly, as part of the standard FinOps review cadence</w:t>
      </w:r>
    </w:p>
    <w:p>
      <w:pPr>
        <w:pStyle w:val="ListParagraph"/>
        <w:numPr>
          <w:ilvl w:val="0"/>
          <w:numId w:val="8"/>
        </w:numPr>
        <w:spacing w:after="60" w:line="276"/>
      </w:pPr>
      <w:r>
        <w:rPr>
          <w:rFonts w:ascii="Arial" w:cs="Arial" w:eastAsia="Arial" w:hAnsi="Arial"/>
          <w:color w:val="2D2D2D"/>
          <w:sz w:val="21"/>
          <w:szCs w:val="21"/>
        </w:rPr>
        <w:t xml:space="preserve">When launching a fundamentally new workload category (e.g. adding agent workloads to a previously API-only portfolio)</w:t>
      </w:r>
    </w:p>
    <w:p>
      <w:pPr>
        <w:pStyle w:val="Heading2"/>
        <w:spacing w:after="160" w:before="240"/>
      </w:pPr>
      <w:r>
        <w:rPr>
          <w:rFonts w:ascii="Georgia" w:cs="Georgia" w:eastAsia="Georgia" w:hAnsi="Georgia"/>
          <w:b/>
          <w:bCs/>
          <w:color w:val="2A7F8E"/>
          <w:sz w:val="26"/>
          <w:szCs w:val="26"/>
        </w:rPr>
        <w:t xml:space="preserve">12.2 Customisation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Heuristic</w:t>
            </w:r>
          </w:p>
        </w:tc>
        <w:tc>
          <w:tcPr>
            <w:tcW w:type="dxa" w:w="20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Value</w:t>
            </w:r>
          </w:p>
        </w:tc>
        <w:tc>
          <w:tcPr>
            <w:tcW w:type="dxa" w:w="50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Adjustment Factors</w:t>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H-01 (10x Napkin Test)</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10x multiplier</w:t>
            </w:r>
          </w:p>
        </w:tc>
        <w:tc>
          <w:tcPr>
            <w:tcW w:type="dxa" w:w="5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Reduce to 5x with load-tested staging; increase to 15x for consumer-facing with viral potential</w:t>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H-02 (£1/1000 Benchmark)</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£1.00</w:t>
            </w:r>
          </w:p>
        </w:tc>
        <w:tc>
          <w:tcPr>
            <w:tcW w:type="dxa" w:w="5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Multiply by 3–5x for frontier models; divide by 2–3x for lightweight extraction tasks</w:t>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H-06 (80/20 Split)</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80% cheap / 20% frontier</w:t>
            </w:r>
          </w:p>
        </w:tc>
        <w:tc>
          <w:tcPr>
            <w:tcW w:type="dxa" w:w="5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May be 60/40 in domains requiring more complex reasoning (legal, medical, financial)</w:t>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H-07 (Quality Floor)</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90% eval pass rate</w:t>
            </w:r>
          </w:p>
        </w:tc>
        <w:tc>
          <w:tcPr>
            <w:tcW w:type="dxa" w:w="5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Raise to 95% for safety-critical applications; lower to 85% for internal tools with human review</w:t>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H-18 (Loop Breaker)</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25 calls max</w:t>
            </w:r>
          </w:p>
        </w:tc>
        <w:tc>
          <w:tcPr>
            <w:tcW w:type="dxa" w:w="5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Reduce to 10 for simple agents; increase to 40 for complex research agents with proven ROI</w:t>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H-22 (Self-Host Crossover)</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500K requests/day</w:t>
            </w:r>
          </w:p>
        </w:tc>
        <w:tc>
          <w:tcPr>
            <w:tcW w:type="dxa" w:w="5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Lower to 200K if you have existing GPU infrastructure; raise to 1M if building from scratch</w:t>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H-25 (Daily Alert)</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120% of 7-day average</w:t>
            </w:r>
          </w:p>
        </w:tc>
        <w:tc>
          <w:tcPr>
            <w:tcW w:type="dxa" w:w="5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Tighten to 110% for high-spend workloads; loosen to 150% for variable-load batch workloads</w:t>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H-27 (Approval Ladder)</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£500/5K/25K tiers</w:t>
            </w:r>
          </w:p>
        </w:tc>
        <w:tc>
          <w:tcPr>
            <w:tcW w:type="dxa" w:w="5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Scale proportionally to total AI budget: if total spend is 10x, multiply thresholds by 5–10x</w:t>
            </w:r>
          </w:p>
        </w:tc>
      </w:tr>
    </w:tbl>
    <w:p>
      <w:r>
        <w:br w:type="page"/>
      </w:r>
    </w:p>
    <w:p>
      <w:pPr>
        <w:pStyle w:val="Heading1"/>
        <w:spacing w:after="200" w:before="360"/>
      </w:pPr>
      <w:r>
        <w:rPr>
          <w:rFonts w:ascii="Georgia" w:cs="Georgia" w:eastAsia="Georgia" w:hAnsi="Georgia"/>
          <w:b/>
          <w:bCs/>
          <w:color w:val="1B2A4A"/>
          <w:sz w:val="32"/>
          <w:szCs w:val="32"/>
        </w:rPr>
        <w:t xml:space="preserve">13. Implementing the Heuristics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Heuristics are only valuable if they are embedded in operational practice. The implementation plan below integrates the heuristics into the governance cadences defined in the main framework.</w:t>
      </w:r>
    </w:p>
    <w:p>
      <w:pPr>
        <w:pStyle w:val="Heading2"/>
        <w:spacing w:after="160" w:before="240"/>
      </w:pPr>
      <w:r>
        <w:rPr>
          <w:rFonts w:ascii="Georgia" w:cs="Georgia" w:eastAsia="Georgia" w:hAnsi="Georgia"/>
          <w:b/>
          <w:bCs/>
          <w:color w:val="2A7F8E"/>
          <w:sz w:val="26"/>
          <w:szCs w:val="26"/>
        </w:rPr>
        <w:t xml:space="preserve">13.1 Quick Wins (Week 1)</w:t>
      </w:r>
    </w:p>
    <w:p>
      <w:pPr>
        <w:pStyle w:val="ListParagraph"/>
        <w:numPr>
          <w:ilvl w:val="0"/>
          <w:numId w:val="9"/>
        </w:numPr>
        <w:spacing w:after="60" w:line="276"/>
      </w:pPr>
      <w:r>
        <w:rPr>
          <w:rFonts w:ascii="Arial" w:cs="Arial" w:eastAsia="Arial" w:hAnsi="Arial"/>
          <w:color w:val="2D2D2D"/>
          <w:sz w:val="21"/>
          <w:szCs w:val="21"/>
        </w:rPr>
        <w:t xml:space="preserve">Print the Quick Reference Card (Section 2) and distribute to all AI platform engineers and product managers</w:t>
      </w:r>
    </w:p>
    <w:p>
      <w:pPr>
        <w:pStyle w:val="ListParagraph"/>
        <w:numPr>
          <w:ilvl w:val="0"/>
          <w:numId w:val="9"/>
        </w:numPr>
        <w:spacing w:after="60" w:line="276"/>
      </w:pPr>
      <w:r>
        <w:rPr>
          <w:rFonts w:ascii="Arial" w:cs="Arial" w:eastAsia="Arial" w:hAnsi="Arial"/>
          <w:color w:val="2D2D2D"/>
          <w:sz w:val="21"/>
          <w:szCs w:val="21"/>
        </w:rPr>
        <w:t xml:space="preserve">Configure alerts based on H-25 (120% daily threshold) for all production workloads</w:t>
      </w:r>
    </w:p>
    <w:p>
      <w:pPr>
        <w:pStyle w:val="ListParagraph"/>
        <w:numPr>
          <w:ilvl w:val="0"/>
          <w:numId w:val="9"/>
        </w:numPr>
        <w:spacing w:after="60" w:line="276"/>
      </w:pPr>
      <w:r>
        <w:rPr>
          <w:rFonts w:ascii="Arial" w:cs="Arial" w:eastAsia="Arial" w:hAnsi="Arial"/>
          <w:color w:val="2D2D2D"/>
          <w:sz w:val="21"/>
          <w:szCs w:val="21"/>
        </w:rPr>
        <w:t xml:space="preserve">Enable prompt caching on all eligible workloads (H-12)</w:t>
      </w:r>
    </w:p>
    <w:p>
      <w:pPr>
        <w:pStyle w:val="ListParagraph"/>
        <w:numPr>
          <w:ilvl w:val="0"/>
          <w:numId w:val="9"/>
        </w:numPr>
        <w:spacing w:after="60" w:line="276"/>
      </w:pPr>
      <w:r>
        <w:rPr>
          <w:rFonts w:ascii="Arial" w:cs="Arial" w:eastAsia="Arial" w:hAnsi="Arial"/>
          <w:color w:val="2D2D2D"/>
          <w:sz w:val="21"/>
          <w:szCs w:val="21"/>
        </w:rPr>
        <w:t xml:space="preserve">Set max_tokens limits on all production LLM calls using the Output Cap Rule (H-13)</w:t>
      </w:r>
    </w:p>
    <w:p>
      <w:pPr>
        <w:pStyle w:val="ListParagraph"/>
        <w:numPr>
          <w:ilvl w:val="0"/>
          <w:numId w:val="9"/>
        </w:numPr>
        <w:spacing w:after="60" w:line="276"/>
      </w:pPr>
      <w:r>
        <w:rPr>
          <w:rFonts w:ascii="Arial" w:cs="Arial" w:eastAsia="Arial" w:hAnsi="Arial"/>
          <w:color w:val="2D2D2D"/>
          <w:sz w:val="21"/>
          <w:szCs w:val="21"/>
        </w:rPr>
        <w:t xml:space="preserve">Enforce the Runaway Loop Breaker (H-18) on all agent deployments</w:t>
      </w:r>
    </w:p>
    <w:p>
      <w:pPr>
        <w:pStyle w:val="Heading2"/>
        <w:spacing w:after="160" w:before="240"/>
      </w:pPr>
      <w:r>
        <w:rPr>
          <w:rFonts w:ascii="Georgia" w:cs="Georgia" w:eastAsia="Georgia" w:hAnsi="Georgia"/>
          <w:b/>
          <w:bCs/>
          <w:color w:val="2A7F8E"/>
          <w:sz w:val="26"/>
          <w:szCs w:val="26"/>
        </w:rPr>
        <w:t xml:space="preserve">13.2 Foundation (Weeks 2–4)</w:t>
      </w:r>
    </w:p>
    <w:p>
      <w:pPr>
        <w:pStyle w:val="ListParagraph"/>
        <w:numPr>
          <w:ilvl w:val="0"/>
          <w:numId w:val="10"/>
        </w:numPr>
        <w:spacing w:after="60" w:line="276"/>
      </w:pPr>
      <w:r>
        <w:rPr>
          <w:rFonts w:ascii="Arial" w:cs="Arial" w:eastAsia="Arial" w:hAnsi="Arial"/>
          <w:color w:val="2D2D2D"/>
          <w:sz w:val="21"/>
          <w:szCs w:val="21"/>
        </w:rPr>
        <w:t xml:space="preserve">Build or validate evaluation suites for top-5 workloads by spend (prerequisite for H-07)</w:t>
      </w:r>
    </w:p>
    <w:p>
      <w:pPr>
        <w:pStyle w:val="ListParagraph"/>
        <w:numPr>
          <w:ilvl w:val="0"/>
          <w:numId w:val="10"/>
        </w:numPr>
        <w:spacing w:after="60" w:line="276"/>
      </w:pPr>
      <w:r>
        <w:rPr>
          <w:rFonts w:ascii="Arial" w:cs="Arial" w:eastAsia="Arial" w:hAnsi="Arial"/>
          <w:color w:val="2D2D2D"/>
          <w:sz w:val="21"/>
          <w:szCs w:val="21"/>
        </w:rPr>
        <w:t xml:space="preserve">Measure actual token profiles and calculate context waste per workload (H-05)</w:t>
      </w:r>
    </w:p>
    <w:p>
      <w:pPr>
        <w:pStyle w:val="ListParagraph"/>
        <w:numPr>
          <w:ilvl w:val="0"/>
          <w:numId w:val="10"/>
        </w:numPr>
        <w:spacing w:after="60" w:line="276"/>
      </w:pPr>
      <w:r>
        <w:rPr>
          <w:rFonts w:ascii="Arial" w:cs="Arial" w:eastAsia="Arial" w:hAnsi="Arial"/>
          <w:color w:val="2D2D2D"/>
          <w:sz w:val="21"/>
          <w:szCs w:val="21"/>
        </w:rPr>
        <w:t xml:space="preserve">Instrument agent workloads to report loop amplification factor (H-16)</w:t>
      </w:r>
    </w:p>
    <w:p>
      <w:pPr>
        <w:pStyle w:val="ListParagraph"/>
        <w:numPr>
          <w:ilvl w:val="0"/>
          <w:numId w:val="10"/>
        </w:numPr>
        <w:spacing w:after="60" w:line="276"/>
      </w:pPr>
      <w:r>
        <w:rPr>
          <w:rFonts w:ascii="Arial" w:cs="Arial" w:eastAsia="Arial" w:hAnsi="Arial"/>
          <w:color w:val="2D2D2D"/>
          <w:sz w:val="21"/>
          <w:szCs w:val="21"/>
        </w:rPr>
        <w:t xml:space="preserve">Calculate unit economics for all material workloads and establish baselines (H-28)</w:t>
      </w:r>
    </w:p>
    <w:p>
      <w:pPr>
        <w:pStyle w:val="ListParagraph"/>
        <w:numPr>
          <w:ilvl w:val="0"/>
          <w:numId w:val="10"/>
        </w:numPr>
        <w:spacing w:after="60" w:line="276"/>
      </w:pPr>
      <w:r>
        <w:rPr>
          <w:rFonts w:ascii="Arial" w:cs="Arial" w:eastAsia="Arial" w:hAnsi="Arial"/>
          <w:color w:val="2D2D2D"/>
          <w:sz w:val="21"/>
          <w:szCs w:val="21"/>
        </w:rPr>
        <w:t xml:space="preserve">Assess provider concentration and document alternatives (H-09)</w:t>
      </w:r>
    </w:p>
    <w:p>
      <w:pPr>
        <w:pStyle w:val="Heading2"/>
        <w:spacing w:after="160" w:before="240"/>
      </w:pPr>
      <w:r>
        <w:rPr>
          <w:rFonts w:ascii="Georgia" w:cs="Georgia" w:eastAsia="Georgia" w:hAnsi="Georgia"/>
          <w:b/>
          <w:bCs/>
          <w:color w:val="2A7F8E"/>
          <w:sz w:val="26"/>
          <w:szCs w:val="26"/>
        </w:rPr>
        <w:t xml:space="preserve">13.3 Optimisation Sprint (Weeks 5–8)</w:t>
      </w:r>
    </w:p>
    <w:p>
      <w:pPr>
        <w:pStyle w:val="ListParagraph"/>
        <w:numPr>
          <w:ilvl w:val="0"/>
          <w:numId w:val="11"/>
        </w:numPr>
        <w:spacing w:after="60" w:line="276"/>
      </w:pPr>
      <w:r>
        <w:rPr>
          <w:rFonts w:ascii="Arial" w:cs="Arial" w:eastAsia="Arial" w:hAnsi="Arial"/>
          <w:color w:val="2D2D2D"/>
          <w:sz w:val="21"/>
          <w:szCs w:val="21"/>
        </w:rPr>
        <w:t xml:space="preserve">Run model downgrade experiments using the decision tree in Section 10.1</w:t>
      </w:r>
    </w:p>
    <w:p>
      <w:pPr>
        <w:pStyle w:val="ListParagraph"/>
        <w:numPr>
          <w:ilvl w:val="0"/>
          <w:numId w:val="11"/>
        </w:numPr>
        <w:spacing w:after="60" w:line="276"/>
      </w:pPr>
      <w:r>
        <w:rPr>
          <w:rFonts w:ascii="Arial" w:cs="Arial" w:eastAsia="Arial" w:hAnsi="Arial"/>
          <w:color w:val="2D2D2D"/>
          <w:sz w:val="21"/>
          <w:szCs w:val="21"/>
        </w:rPr>
        <w:t xml:space="preserve">Implement model tiering on at least two workloads (H-06)</w:t>
      </w:r>
    </w:p>
    <w:p>
      <w:pPr>
        <w:pStyle w:val="ListParagraph"/>
        <w:numPr>
          <w:ilvl w:val="0"/>
          <w:numId w:val="11"/>
        </w:numPr>
        <w:spacing w:after="60" w:line="276"/>
      </w:pPr>
      <w:r>
        <w:rPr>
          <w:rFonts w:ascii="Arial" w:cs="Arial" w:eastAsia="Arial" w:hAnsi="Arial"/>
          <w:color w:val="2D2D2D"/>
          <w:sz w:val="21"/>
          <w:szCs w:val="21"/>
        </w:rPr>
        <w:t xml:space="preserve">Execute prompt diet reviews for all workloads with system prompts &gt; 500 tokens (H-11)</w:t>
      </w:r>
    </w:p>
    <w:p>
      <w:pPr>
        <w:pStyle w:val="ListParagraph"/>
        <w:numPr>
          <w:ilvl w:val="0"/>
          <w:numId w:val="11"/>
        </w:numPr>
        <w:spacing w:after="60" w:line="276"/>
      </w:pPr>
      <w:r>
        <w:rPr>
          <w:rFonts w:ascii="Arial" w:cs="Arial" w:eastAsia="Arial" w:hAnsi="Arial"/>
          <w:color w:val="2D2D2D"/>
          <w:sz w:val="21"/>
          <w:szCs w:val="21"/>
        </w:rPr>
        <w:t xml:space="preserve">Implement planner-executor split on agent workloads with amplification &gt; 10x (H-19)</w:t>
      </w:r>
    </w:p>
    <w:p>
      <w:pPr>
        <w:pStyle w:val="ListParagraph"/>
        <w:numPr>
          <w:ilvl w:val="0"/>
          <w:numId w:val="11"/>
        </w:numPr>
        <w:spacing w:after="60" w:line="276"/>
      </w:pPr>
      <w:r>
        <w:rPr>
          <w:rFonts w:ascii="Arial" w:cs="Arial" w:eastAsia="Arial" w:hAnsi="Arial"/>
          <w:color w:val="2D2D2D"/>
          <w:sz w:val="21"/>
          <w:szCs w:val="21"/>
        </w:rPr>
        <w:t xml:space="preserve">Conduct the first full scorecard review (Section 11) in a FinOps meeting</w:t>
      </w:r>
    </w:p>
    <w:p>
      <w:pPr>
        <w:pStyle w:val="Heading2"/>
        <w:spacing w:after="160" w:before="240"/>
      </w:pPr>
      <w:r>
        <w:rPr>
          <w:rFonts w:ascii="Georgia" w:cs="Georgia" w:eastAsia="Georgia" w:hAnsi="Georgia"/>
          <w:b/>
          <w:bCs/>
          <w:color w:val="2A7F8E"/>
          <w:sz w:val="26"/>
          <w:szCs w:val="26"/>
        </w:rPr>
        <w:t xml:space="preserve">13.4 Ongoing Cadence</w:t>
      </w:r>
    </w:p>
    <w:p>
      <w:pPr>
        <w:pStyle w:val="ListParagraph"/>
        <w:numPr>
          <w:ilvl w:val="0"/>
          <w:numId w:val="12"/>
        </w:numPr>
        <w:spacing w:after="60" w:line="276"/>
      </w:pPr>
      <w:r>
        <w:rPr>
          <w:rFonts w:ascii="Arial" w:cs="Arial" w:eastAsia="Arial" w:hAnsi="Arial"/>
          <w:color w:val="2D2D2D"/>
          <w:sz w:val="21"/>
          <w:szCs w:val="21"/>
        </w:rPr>
        <w:t xml:space="preserve">Weekly: Run the Diagnostic Scorecard (Section 11) for all production workloads</w:t>
      </w:r>
    </w:p>
    <w:p>
      <w:pPr>
        <w:pStyle w:val="ListParagraph"/>
        <w:numPr>
          <w:ilvl w:val="0"/>
          <w:numId w:val="12"/>
        </w:numPr>
        <w:spacing w:after="60" w:line="276"/>
      </w:pPr>
      <w:r>
        <w:rPr>
          <w:rFonts w:ascii="Arial" w:cs="Arial" w:eastAsia="Arial" w:hAnsi="Arial"/>
          <w:color w:val="2D2D2D"/>
          <w:sz w:val="21"/>
          <w:szCs w:val="21"/>
        </w:rPr>
        <w:t xml:space="preserve">Monthly: Review unit economics trends and check for optimisation triggers (H-28)</w:t>
      </w:r>
    </w:p>
    <w:p>
      <w:pPr>
        <w:pStyle w:val="ListParagraph"/>
        <w:numPr>
          <w:ilvl w:val="0"/>
          <w:numId w:val="12"/>
        </w:numPr>
        <w:spacing w:after="60" w:line="276"/>
      </w:pPr>
      <w:r>
        <w:rPr>
          <w:rFonts w:ascii="Arial" w:cs="Arial" w:eastAsia="Arial" w:hAnsi="Arial"/>
          <w:color w:val="2D2D2D"/>
          <w:sz w:val="21"/>
          <w:szCs w:val="21"/>
        </w:rPr>
        <w:t xml:space="preserve">Quarterly: Re-calibrate heuristic thresholds using the guide in Section 12</w:t>
      </w:r>
    </w:p>
    <w:p>
      <w:pPr>
        <w:pStyle w:val="ListParagraph"/>
        <w:numPr>
          <w:ilvl w:val="0"/>
          <w:numId w:val="12"/>
        </w:numPr>
        <w:spacing w:after="60" w:line="276"/>
      </w:pPr>
      <w:r>
        <w:rPr>
          <w:rFonts w:ascii="Arial" w:cs="Arial" w:eastAsia="Arial" w:hAnsi="Arial"/>
          <w:color w:val="2D2D2D"/>
          <w:sz w:val="21"/>
          <w:szCs w:val="21"/>
        </w:rPr>
        <w:t xml:space="preserve">Annually: Conduct a full provider review and contract renegotiation assessment (H-29)</w:t>
      </w:r>
    </w:p>
    <w:p>
      <w:pPr>
        <w:spacing w:after="400"/>
      </w:pPr>
    </w:p>
    <w:p>
      <w:pPr>
        <w:pBdr>
          <w:top w:val="single" w:color="D4A843" w:sz="4" w:space="1"/>
        </w:pBdr>
        <w:spacing w:after="100" w:before="200"/>
        <w:jc w:val="center"/>
      </w:pPr>
    </w:p>
    <w:p>
      <w:pPr>
        <w:jc w:val="center"/>
      </w:pPr>
      <w:r>
        <w:rPr>
          <w:rFonts w:ascii="Georgia" w:cs="Georgia" w:eastAsia="Georgia" w:hAnsi="Georgia"/>
          <w:i/>
          <w:iCs/>
          <w:color w:val="1B2A4A"/>
          <w:sz w:val="22"/>
          <w:szCs w:val="22"/>
        </w:rPr>
        <w:t xml:space="preserve">End of Heuristics Document</w:t>
      </w:r>
    </w:p>
    <w:p>
      <w:pPr>
        <w:spacing w:after="100"/>
        <w:jc w:val="center"/>
      </w:pPr>
      <w:r>
        <w:rPr>
          <w:rFonts w:ascii="Arial" w:cs="Arial" w:eastAsia="Arial" w:hAnsi="Arial"/>
          <w:color w:val="2D2D2D"/>
          <w:sz w:val="18"/>
          <w:szCs w:val="18"/>
        </w:rPr>
        <w:t xml:space="preserve">[Organisation Name]  |  Version 1.0  |  [Date]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B2A4A"/>
        <w:sz w:val="16"/>
        <w:szCs w:val="16"/>
      </w:rPr>
      <w:t xml:space="preserve">Page </w:t>
    </w:r>
    <w:r>
      <w:rPr>
        <w:rFonts w:ascii="Arial" w:cs="Arial" w:eastAsia="Arial" w:hAnsi="Arial"/>
        <w:color w:val="1B2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1"/>
      </w:pBdr>
      <w:tabs>
        <w:tab w:val="right" w:pos="9026"/>
      </w:tabs>
    </w:pPr>
    <w:r>
      <w:rPr>
        <w:rFonts w:ascii="Arial" w:cs="Arial" w:eastAsia="Arial" w:hAnsi="Arial"/>
        <w:i/>
        <w:iCs/>
        <w:color w:val="2A7F8E"/>
        <w:sz w:val="16"/>
        <w:szCs w:val="16"/>
      </w:rPr>
      <w:t xml:space="preserve">FinOps Heuristics for LLM &amp; AI Agents</w:t>
    </w:r>
    <w:r>
      <w:rPr>
        <w:rFonts w:ascii="Arial" w:cs="Arial" w:eastAsia="Arial" w:hAnsi="Arial"/>
        <w:color w:val="1B2A4A"/>
        <w:sz w:val="16"/>
        <w:szCs w:val="16"/>
      </w:rPr>
      <w:t xml:space="preserve">	[Organisation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40"/>
      <w:outlineLvl w:val="1"/>
    </w:pPr>
    <w:rPr>
      <w:rFonts w:ascii="Georgia" w:cs="Georgia" w:eastAsia="Georgia" w:hAnsi="Georgia"/>
      <w:b/>
      <w:bCs/>
      <w:color w:val="2A7F8E"/>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2026-04-11T15:46:20.498Z</dcterms:created>
  <dcterms:modified xsi:type="dcterms:W3CDTF">2026-04-11T15:46:20.499Z</dcterms:modified>
</cp:coreProperties>
</file>

<file path=docProps/custom.xml><?xml version="1.0" encoding="utf-8"?>
<Properties xmlns="http://schemas.openxmlformats.org/officeDocument/2006/custom-properties" xmlns:vt="http://schemas.openxmlformats.org/officeDocument/2006/docPropsVTypes"/>
</file>