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4FF9B579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9D22FD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августа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9D22FD">
        <w:rPr>
          <w:rFonts w:ascii="Times New Roman" w:hAnsi="Times New Roman" w:cs="Times New Roman"/>
          <w:b/>
          <w:sz w:val="24"/>
          <w:szCs w:val="24"/>
          <w:lang w:val="kk-KZ"/>
        </w:rPr>
        <w:t>25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августа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91"/>
        <w:gridCol w:w="2115"/>
        <w:gridCol w:w="976"/>
        <w:gridCol w:w="3299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48E8201C" w:rsidR="00662839" w:rsidRPr="00BA1976" w:rsidRDefault="00BA1976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Социально-гуманитарных дисциплин</w:t>
            </w:r>
          </w:p>
        </w:tc>
        <w:tc>
          <w:tcPr>
            <w:tcW w:w="2115" w:type="dxa"/>
          </w:tcPr>
          <w:p w14:paraId="164A968D" w14:textId="5621E83C" w:rsidR="00662839" w:rsidRPr="00E6389E" w:rsidRDefault="00BA1976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Ассоциированный п</w:t>
            </w:r>
            <w:bookmarkStart w:id="0" w:name="_GoBack"/>
            <w:bookmarkEnd w:id="0"/>
            <w:proofErr w:type="spellStart"/>
            <w:r w:rsidR="00662839"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рофессор</w:t>
            </w:r>
            <w:proofErr w:type="spellEnd"/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9CA7940" w14:textId="77777777" w:rsidR="00662839" w:rsidRDefault="00BA1976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</w:p>
          <w:p w14:paraId="79A452C3" w14:textId="14B03D5B" w:rsidR="00BA1976" w:rsidRPr="00BA1976" w:rsidRDefault="00BA1976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Социология</w:t>
            </w:r>
          </w:p>
        </w:tc>
        <w:tc>
          <w:tcPr>
            <w:tcW w:w="1750" w:type="dxa"/>
          </w:tcPr>
          <w:p w14:paraId="45771E21" w14:textId="77777777" w:rsidR="00662839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14:paraId="319AFF99" w14:textId="70415CE7" w:rsidR="00BA1976" w:rsidRPr="00BA1976" w:rsidRDefault="00BA1976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Английский</w:t>
            </w:r>
          </w:p>
        </w:tc>
      </w:tr>
    </w:tbl>
    <w:p w14:paraId="208FA5ED" w14:textId="079A4C8B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кейсовой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офисных системах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Microsoft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Word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Power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Point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Adobe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Platonus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программах и/или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-сервисах для организации видеоконференций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zoom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google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meet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1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1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Expanded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Social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Arts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Humanities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статьи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3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lastRenderedPageBreak/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4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4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Вэб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15 августа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618E4032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9D22F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13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6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13 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9D22F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25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7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8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8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Видеоуроки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  <w:proofErr w:type="spellEnd"/>
          </w:p>
        </w:tc>
      </w:tr>
      <w:tr w:rsidR="007E3F58" w:rsidRPr="00BA1976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BA1976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BA197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4"/>
    <w:rsid w:val="000144BB"/>
    <w:rsid w:val="00064F57"/>
    <w:rsid w:val="00086E95"/>
    <w:rsid w:val="000D6EB2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818D1"/>
    <w:rsid w:val="009907B8"/>
    <w:rsid w:val="009B5181"/>
    <w:rsid w:val="009D22FD"/>
    <w:rsid w:val="009F2C89"/>
    <w:rsid w:val="009F7A20"/>
    <w:rsid w:val="00AB6E88"/>
    <w:rsid w:val="00B866B3"/>
    <w:rsid w:val="00B92356"/>
    <w:rsid w:val="00BA197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akaz.kz/pages/c/vakansii_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3788</Words>
  <Characters>21595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ПК9</cp:lastModifiedBy>
  <cp:revision>10</cp:revision>
  <dcterms:created xsi:type="dcterms:W3CDTF">2021-07-23T14:51:00Z</dcterms:created>
  <dcterms:modified xsi:type="dcterms:W3CDTF">2021-08-13T04:15:00Z</dcterms:modified>
</cp:coreProperties>
</file>