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rial" w:hAnsi="Arial"/>
          <w:b/>
          <w:color w:val="2E74B5"/>
          <w:sz w:val="20"/>
        </w:rPr>
        <w:t>DEEP RESEARCH · RECUPERACIÓN LOCAL</w:t>
      </w:r>
    </w:p>
    <w:p>
      <w:pPr>
        <w:spacing w:before="0" w:after="120"/>
      </w:pPr>
      <w:r>
        <w:rPr>
          <w:rFonts w:ascii="Arial" w:hAnsi="Arial"/>
          <w:b/>
          <w:color w:val="0B2545"/>
          <w:sz w:val="48"/>
        </w:rPr>
        <w:t>Deep Research: cómo llevar thoth-mem a RecallAny@5 ≈ 95% sin abandonar el CORE local</w:t>
      </w:r>
    </w:p>
    <w:p>
      <w:pPr>
        <w:spacing w:before="0" w:after="280"/>
      </w:pPr>
      <w:r>
        <w:rPr>
          <w:rFonts w:ascii="Arial" w:hAnsi="Arial"/>
          <w:color w:val="5E6A73"/>
          <w:sz w:val="26"/>
        </w:rPr>
        <w:t>Informe de decisión técnica · CORE SQLite-first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Fecha:</w:t>
      </w:r>
      <w:r>
        <w:rPr>
          <w:rFonts w:ascii="Arial" w:hAnsi="Arial"/>
          <w:color w:val="000000"/>
          <w:sz w:val="22"/>
        </w:rPr>
        <w:t xml:space="preserve"> 28 de agosto de 2026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Proyecto:</w:t>
      </w:r>
      <w:r>
        <w:rPr>
          <w:rFonts w:ascii="Arial" w:hAnsi="Arial"/>
          <w:color w:val="000000"/>
          <w:sz w:val="22"/>
        </w:rPr>
        <w:t xml:space="preserve"> thoth-mem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Decisión investigada:</w:t>
      </w:r>
      <w:r>
        <w:rPr>
          <w:rFonts w:ascii="Arial" w:hAnsi="Arial"/>
          <w:color w:val="000000"/>
          <w:sz w:val="22"/>
        </w:rPr>
        <w:t xml:space="preserve"> siguiente cuello de botella de recuperación en el CORE SQLite-first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Alcance:</w:t>
      </w:r>
      <w:r>
        <w:rPr>
          <w:rFonts w:ascii="Arial" w:hAnsi="Arial"/>
          <w:color w:val="000000"/>
          <w:sz w:val="22"/>
        </w:rPr>
        <w:t xml:space="preserve"> recuperación local; no propone ampliar la superficie pública de seis tools ni introducir servicios remotos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Resumen ejecutivo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thoth-mem ya tiene dos mitades de la solución, pero todavía no las reúne dentro del presupuesto de latencia: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El default local </w:t>
      </w:r>
      <w:r>
        <w:rPr>
          <w:rFonts w:ascii="Consolas" w:hAnsi="Consolas"/>
          <w:color w:val="0B2545"/>
          <w:sz w:val="21"/>
        </w:rPr>
        <w:t>any-prefix-v1</w:t>
      </w:r>
      <w:r>
        <w:rPr>
          <w:rFonts w:ascii="Arial" w:hAnsi="Arial"/>
          <w:color w:val="000000"/>
          <w:sz w:val="22"/>
        </w:rPr>
        <w:t xml:space="preserve"> cumple el gate de latencia y alcanza </w:t>
      </w:r>
      <w:r>
        <w:rPr>
          <w:rFonts w:ascii="Arial" w:hAnsi="Arial"/>
          <w:b/>
          <w:color w:val="000000"/>
          <w:sz w:val="22"/>
        </w:rPr>
        <w:t>RecallAny@5 82.553% (388/470)</w:t>
      </w:r>
      <w:r>
        <w:rPr>
          <w:rFonts w:ascii="Arial" w:hAnsi="Arial"/>
          <w:color w:val="000000"/>
          <w:sz w:val="22"/>
        </w:rPr>
        <w:t xml:space="preserve"> con p95 </w:t>
      </w:r>
      <w:r>
        <w:rPr>
          <w:rFonts w:ascii="Arial" w:hAnsi="Arial"/>
          <w:b/>
          <w:color w:val="000000"/>
          <w:sz w:val="22"/>
        </w:rPr>
        <w:t>1.3659 ms</w:t>
      </w:r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El pase amplio </w:t>
      </w:r>
      <w:r>
        <w:rPr>
          <w:rFonts w:ascii="Consolas" w:hAnsi="Consolas"/>
          <w:color w:val="0B2545"/>
          <w:sz w:val="21"/>
        </w:rPr>
        <w:t>all-then-any-prefix-v1</w:t>
      </w:r>
      <w:r>
        <w:rPr>
          <w:rFonts w:ascii="Arial" w:hAnsi="Arial"/>
          <w:color w:val="000000"/>
          <w:sz w:val="22"/>
        </w:rPr>
        <w:t xml:space="preserve"> alcanza </w:t>
      </w:r>
      <w:r>
        <w:rPr>
          <w:rFonts w:ascii="Arial" w:hAnsi="Arial"/>
          <w:b/>
          <w:color w:val="000000"/>
          <w:sz w:val="22"/>
        </w:rPr>
        <w:t>94.894% (446/470)</w:t>
      </w:r>
      <w:r>
        <w:rPr>
          <w:rFonts w:ascii="Arial" w:hAnsi="Arial"/>
          <w:color w:val="000000"/>
          <w:sz w:val="22"/>
        </w:rPr>
        <w:t>, prácticamente el nivel de agentmemory hybrid en las mismas 470 preguntas (</w:t>
      </w:r>
      <w:r>
        <w:rPr>
          <w:rFonts w:ascii="Arial" w:hAnsi="Arial"/>
          <w:b/>
          <w:color w:val="000000"/>
          <w:sz w:val="22"/>
        </w:rPr>
        <w:t>95.106%, 447/470</w:t>
      </w:r>
      <w:r>
        <w:rPr>
          <w:rFonts w:ascii="Arial" w:hAnsi="Arial"/>
          <w:color w:val="000000"/>
          <w:sz w:val="22"/>
        </w:rPr>
        <w:t xml:space="preserve">), pero su p95 </w:t>
      </w:r>
      <w:r>
        <w:rPr>
          <w:rFonts w:ascii="Arial" w:hAnsi="Arial"/>
          <w:b/>
          <w:color w:val="000000"/>
          <w:sz w:val="22"/>
        </w:rPr>
        <w:t>3.6591 ms</w:t>
      </w:r>
      <w:r>
        <w:rPr>
          <w:rFonts w:ascii="Arial" w:hAnsi="Arial"/>
          <w:color w:val="000000"/>
          <w:sz w:val="22"/>
        </w:rPr>
        <w:t xml:space="preserve"> incumple el techo congelado de </w:t>
      </w:r>
      <w:r>
        <w:rPr>
          <w:rFonts w:ascii="Arial" w:hAnsi="Arial"/>
          <w:b/>
          <w:color w:val="000000"/>
          <w:sz w:val="22"/>
        </w:rPr>
        <w:t>2× el control</w:t>
      </w:r>
      <w:r>
        <w:rPr>
          <w:rFonts w:ascii="Arial" w:hAnsi="Arial"/>
          <w:color w:val="000000"/>
          <w:sz w:val="22"/>
        </w:rPr>
        <w:t xml:space="preserve">, que en la corrida r4 equivale a </w:t>
      </w:r>
      <w:r>
        <w:rPr>
          <w:rFonts w:ascii="Arial" w:hAnsi="Arial"/>
          <w:b/>
          <w:color w:val="000000"/>
          <w:sz w:val="22"/>
        </w:rPr>
        <w:t>1.9054 ms</w:t>
      </w:r>
      <w:r>
        <w:rPr>
          <w:rFonts w:ascii="Arial" w:hAnsi="Arial"/>
          <w:color w:val="000000"/>
          <w:sz w:val="22"/>
        </w:rPr>
        <w:t>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La conclusión central es que </w:t>
      </w:r>
      <w:r>
        <w:rPr>
          <w:rFonts w:ascii="Arial" w:hAnsi="Arial"/>
          <w:b/>
          <w:color w:val="000000"/>
          <w:sz w:val="22"/>
        </w:rPr>
        <w:t>un router selectivo por sí solo no resuelve el problema</w:t>
      </w:r>
      <w:r>
        <w:rPr>
          <w:rFonts w:ascii="Arial" w:hAnsi="Arial"/>
          <w:color w:val="000000"/>
          <w:sz w:val="22"/>
        </w:rPr>
        <w:t xml:space="preserve">. El pase amplio recupera 66 consultas que el default pierde, pero el default conserva 8 que el pase amplio desplaza. Incluso un selector perfecto tendría que activar expansión para al menos </w:t>
      </w:r>
      <w:r>
        <w:rPr>
          <w:rFonts w:ascii="Arial" w:hAnsi="Arial"/>
          <w:b/>
          <w:color w:val="000000"/>
          <w:sz w:val="22"/>
        </w:rPr>
        <w:t>14.0%</w:t>
      </w:r>
      <w:r>
        <w:rPr>
          <w:rFonts w:ascii="Arial" w:hAnsi="Arial"/>
          <w:color w:val="000000"/>
          <w:sz w:val="22"/>
        </w:rPr>
        <w:t xml:space="preserve"> de las consultas. Si esa expansión sigue costando 3.66 ms, su masa cae dentro de la cola que determina p95. El segundo pase debe hacerse intrínsecamente barato; después tiene sentido decidir cuándo ejecutarlo.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La arquitectura recomendada es una </w:t>
      </w:r>
      <w:r>
        <w:rPr>
          <w:rFonts w:ascii="Arial" w:hAnsi="Arial"/>
          <w:b/>
          <w:color w:val="000000"/>
          <w:sz w:val="22"/>
        </w:rPr>
        <w:t>cascada léxica de dos fases con fusión estable</w:t>
      </w:r>
      <w:r>
        <w:rPr>
          <w:rFonts w:ascii="Arial" w:hAnsi="Arial"/>
          <w:color w:val="000000"/>
          <w:sz w:val="22"/>
        </w:rPr>
        <w:t>:</w:t>
      </w:r>
    </w:p>
    <w:p>
      <w:pPr>
        <w:numPr>
          <w:ilvl w:val="0"/>
          <w:numId w:val="500"/>
        </w:numPr>
      </w:pPr>
      <w:r>
        <w:rPr>
          <w:rFonts w:ascii="Arial" w:hAnsi="Arial"/>
          <w:color w:val="000000"/>
          <w:sz w:val="22"/>
        </w:rPr>
        <w:t>Mantener el lookup estructurado y el pase rápido.</w:t>
      </w:r>
    </w:p>
    <w:p>
      <w:pPr>
        <w:numPr>
          <w:ilvl w:val="0"/>
          <w:numId w:val="501"/>
        </w:numPr>
      </w:pPr>
      <w:r>
        <w:rPr>
          <w:rFonts w:ascii="Arial" w:hAnsi="Arial"/>
          <w:color w:val="000000"/>
          <w:sz w:val="22"/>
        </w:rPr>
        <w:t>Sustituir el proxy “términos más largos” por selección de términos realmente discriminativos mediante document frequency/IDF local.</w:t>
      </w:r>
    </w:p>
    <w:p>
      <w:pPr>
        <w:numPr>
          <w:ilvl w:val="0"/>
          <w:numId w:val="502"/>
        </w:numPr>
      </w:pPr>
      <w:r>
        <w:rPr>
          <w:rFonts w:ascii="Arial" w:hAnsi="Arial"/>
          <w:color w:val="000000"/>
          <w:sz w:val="22"/>
        </w:rPr>
        <w:t>Recuperar hasta cinco candidatos con un segundo pase barato, respaldado primero por FTS5 y, si no basta, por una proyección derivada de impactos/postings acotados.</w:t>
      </w:r>
    </w:p>
    <w:p>
      <w:pPr>
        <w:numPr>
          <w:ilvl w:val="0"/>
          <w:numId w:val="503"/>
        </w:numPr>
      </w:pPr>
      <w:r>
        <w:rPr>
          <w:rFonts w:ascii="Arial" w:hAnsi="Arial"/>
          <w:color w:val="000000"/>
          <w:sz w:val="22"/>
        </w:rPr>
        <w:t>Fusionar las listas rápida y ampliada en vez de dejar que una reemplace a la otra.</w:t>
      </w:r>
    </w:p>
    <w:p>
      <w:pPr>
        <w:numPr>
          <w:ilvl w:val="0"/>
          <w:numId w:val="504"/>
        </w:numPr>
      </w:pPr>
      <w:r>
        <w:rPr>
          <w:rFonts w:ascii="Arial" w:hAnsi="Arial"/>
          <w:color w:val="000000"/>
          <w:sz w:val="22"/>
        </w:rPr>
        <w:t>Añadir un gate de confianza solo cuando el segundo pase ya esté dentro del presupuesto.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El primer experimento es deliberadamente pequeño: </w:t>
      </w:r>
      <w:r>
        <w:rPr>
          <w:rFonts w:ascii="Arial" w:hAnsi="Arial"/>
          <w:b/>
          <w:color w:val="000000"/>
          <w:sz w:val="22"/>
        </w:rPr>
        <w:t>los tres términos seleccionados actuales, cap interno 5, fusión de listas y benchmark co-run</w:t>
      </w:r>
      <w:r>
        <w:rPr>
          <w:rFonts w:ascii="Arial" w:hAnsi="Arial"/>
          <w:color w:val="000000"/>
          <w:sz w:val="22"/>
        </w:rPr>
        <w:t xml:space="preserve">. Si no alcanza simultáneamente ≥95% y p95 ≤2×, el siguiente paso es </w:t>
      </w:r>
      <w:r>
        <w:rPr>
          <w:rFonts w:ascii="Arial" w:hAnsi="Arial"/>
          <w:b/>
          <w:color w:val="000000"/>
          <w:sz w:val="22"/>
        </w:rPr>
        <w:t>selección por IDF + cap 5</w:t>
      </w:r>
      <w:r>
        <w:rPr>
          <w:rFonts w:ascii="Arial" w:hAnsi="Arial"/>
          <w:color w:val="000000"/>
          <w:sz w:val="22"/>
        </w:rPr>
        <w:t>. La proyección de impactos es el plan B técnicamente sólido; embeddings locales no deben ser el siguiente movimiento porque agentmemory no publica una distribución de latencia comparable y la inferencia de la query amenaza el presupuesto de ~1.9 ms.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1. Pregunta y contrato de éxito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La pregunta no es “cómo mejorar la búsqueda” en abstracto. Es:</w:t>
      </w:r>
    </w:p>
    <w:p>
      <w:pPr>
        <w:spacing w:before="120" w:after="180"/>
        <w:ind w:left="346" w:right="216"/>
        <w:shd w:fill="F4F6F9"/>
      </w:pPr>
      <w:r>
        <w:rPr>
          <w:rFonts w:ascii="Arial" w:hAnsi="Arial"/>
          <w:i/>
          <w:color w:val="0B2545"/>
          <w:sz w:val="22"/>
        </w:rPr>
        <w:t>¿Cómo recuperar al menos 447 de las 470 preguntas no-abstention de LongMemEval-S en Top-5, preservando el CORE 100% local, SQLite-first, sin llamadas de red/modelo/LLM y sin superar 2× el p95 de un control co-ejecutado?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Se usa </w:t>
      </w:r>
      <w:r>
        <w:rPr>
          <w:rFonts w:ascii="Arial" w:hAnsi="Arial"/>
          <w:b/>
          <w:color w:val="000000"/>
          <w:sz w:val="22"/>
        </w:rPr>
        <w:t>RecallAny@5</w:t>
      </w:r>
      <w:r>
        <w:rPr>
          <w:rFonts w:ascii="Arial" w:hAnsi="Arial"/>
          <w:color w:val="000000"/>
          <w:sz w:val="22"/>
        </w:rPr>
        <w:t xml:space="preserve"> como métrica primaria porque el usuario preguntó por “Recall@5” en el sentido publicado por agentmemory: una pregunta cuenta como hit si al menos una sesión gold aparece en los primeros cinco resultados. Deben seguir visibles las métricas más exigentes —Recall@5 fraccional, RecallAll@5, NDCG@10 y MRR— para impedir que un hit binario oculte una degradación de cobertura o de ranking.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Gates propuestos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00"/>
        <w:gridCol w:w="49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Dimensión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Gate mínimo de investigación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Objetivo de paridad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RecallAny@5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≥ 95.0%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≥ 95.106% (447/470)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Recall@5 fraccional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no regresión frente al mejor candidato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≥ 89.415%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RecallAll@5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no regresión frente al mejor candidato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≥ 82.128%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NDCG@10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no regresión frente al mejor candidato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≥ 88.028%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Latencia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p95 ≤ 2× control co-run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margen operativo, no empate al límite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Huella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mismos bytes SQLite entre lanes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sin estado opaco no contabilizado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Dependencias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0 red, 0 modelo, 0 LLM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100% local y reproducible</w:t>
            </w:r>
          </w:p>
        </w:tc>
      </w:tr>
    </w:tbl>
    <w:p>
      <w:pPr>
        <w:spacing w:before="80" w:after="80"/>
      </w:pP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Los objetivos de paridad provienen de la recomputación de agentmemory hybrid sobre las mismas 470 preguntas. No son afirmaciones sobre su latencia.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2. Dónde estamos realmente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Fuente local: </w:t>
      </w:r>
      <w:r>
        <w:rPr>
          <w:rFonts w:ascii="Consolas" w:hAnsi="Consolas"/>
          <w:color w:val="0B2545"/>
          <w:sz w:val="21"/>
        </w:rPr>
        <w:t>benchmarks/results/longmemeval-s-lexical-latency-report-r4.json</w:t>
      </w:r>
      <w:r>
        <w:rPr>
          <w:rFonts w:ascii="Arial" w:hAnsi="Arial"/>
          <w:color w:val="000000"/>
          <w:sz w:val="22"/>
        </w:rPr>
        <w:t xml:space="preserve"> y recomputación del artefacto de agentmemory sobre el subconjunto común de 470 preguntas.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  <w:cantSplit/>
        </w:trPr>
        <w:tc>
          <w:tcPr>
            <w:tcW w:type="dxa" w:w="13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Sistema / estrategia</w:t>
            </w:r>
          </w:p>
        </w:tc>
        <w:tc>
          <w:tcPr>
            <w:tcW w:type="dxa" w:w="13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RecallAny@5</w:t>
            </w:r>
          </w:p>
        </w:tc>
        <w:tc>
          <w:tcPr>
            <w:tcW w:type="dxa" w:w="13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Recall@5 frac.</w:t>
            </w:r>
          </w:p>
        </w:tc>
        <w:tc>
          <w:tcPr>
            <w:tcW w:type="dxa" w:w="13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RecallAll@5</w:t>
            </w:r>
          </w:p>
        </w:tc>
        <w:tc>
          <w:tcPr>
            <w:tcW w:type="dxa" w:w="13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NDCG@10</w:t>
            </w:r>
          </w:p>
        </w:tc>
        <w:tc>
          <w:tcPr>
            <w:tcW w:type="dxa" w:w="13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MRR</w:t>
            </w:r>
          </w:p>
        </w:tc>
        <w:tc>
          <w:tcPr>
            <w:tcW w:type="dxa" w:w="133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p95 comparable</w:t>
            </w:r>
          </w:p>
        </w:tc>
      </w:tr>
      <w:tr>
        <w:trPr>
          <w:cantSplit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 xml:space="preserve">thoth default </w:t>
            </w:r>
            <w:r>
              <w:rPr>
                <w:rFonts w:ascii="Consolas" w:hAnsi="Consolas"/>
                <w:color w:val="0B2545"/>
                <w:sz w:val="17"/>
              </w:rPr>
              <w:t>any-prefix-v1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82.553%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67.702%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54.043%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69.654%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79.468%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1.3659 ms</w:t>
            </w:r>
          </w:p>
        </w:tc>
      </w:tr>
      <w:tr>
        <w:trPr>
          <w:cantSplit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 xml:space="preserve">thoth </w:t>
            </w:r>
            <w:r>
              <w:rPr>
                <w:rFonts w:ascii="Consolas" w:hAnsi="Consolas"/>
                <w:color w:val="0B2545"/>
                <w:sz w:val="17"/>
              </w:rPr>
              <w:t>all-then-any-prefix-v1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94.894%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87.926%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78.723%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85.383%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87.167%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3.6591 ms</w:t>
            </w:r>
          </w:p>
        </w:tc>
      </w:tr>
      <w:tr>
        <w:trPr>
          <w:cantSplit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agentmemory BM25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87.021%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76.507%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67.021%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74.039%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72.466%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publicado de forma comparable</w:t>
            </w:r>
          </w:p>
        </w:tc>
      </w:tr>
      <w:tr>
        <w:trPr>
          <w:cantSplit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agentmemory hybrid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95.106%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89.415%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82.128%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88.028%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88.378%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publicado de forma comparable</w:t>
            </w:r>
          </w:p>
        </w:tc>
      </w:tr>
    </w:tbl>
    <w:p>
      <w:pPr>
        <w:spacing w:before="80" w:after="80"/>
      </w:pP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La cifra headline de agentmemory, 95.2%, se calcula sobre 500 registros. En el protocolo de thoth-mem se excluyen las 30 preguntas cuyo ID termina en </w:t>
      </w:r>
      <w:r>
        <w:rPr>
          <w:rFonts w:ascii="Consolas" w:hAnsi="Consolas"/>
          <w:color w:val="0B2545"/>
          <w:sz w:val="21"/>
        </w:rPr>
        <w:t>_abs</w:t>
      </w:r>
      <w:r>
        <w:rPr>
          <w:rFonts w:ascii="Arial" w:hAnsi="Arial"/>
          <w:color w:val="000000"/>
          <w:sz w:val="22"/>
        </w:rPr>
        <w:t>, por lo que la comparación justa usa 470. La diferencia práctica es mínima para hybrid, pero importante para evitar comparar denominadores distintos.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El Pareto aprendido en cuatro rondas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300"/>
        <w:gridCol w:w="1200"/>
        <w:gridCol w:w="1050"/>
        <w:gridCol w:w="2960"/>
      </w:tblGrid>
      <w:tr>
        <w:trPr>
          <w:tblHeader w:val="true"/>
          <w:cantSplit/>
        </w:trP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Variante any-prefix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Selección / cap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RecallAny@5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p95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ronda inicial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hasta 10 filas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94.894%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2.9549 ms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calidad suficiente, cola demasiado cara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4 términos iniciales / 5 filas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53.191%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2.0404 ms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las palabras frecuentes destruyen selectividad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3 términos iniciales / 2 filas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28.511%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2.1348 ms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menos filas no arreglan posting lists malas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3 términos más largos / 2 filas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82.553%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1.3659 ms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seleccionar términos importa más que hidratar filas</w:t>
            </w:r>
          </w:p>
        </w:tc>
      </w:tr>
    </w:tbl>
    <w:p>
      <w:pPr>
        <w:spacing w:before="80" w:after="80"/>
      </w:pP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Esto invalida una intuición simplista: bajar Top-K no garantiza bajar la latencia si los términos elegidos abren posting lists muy largas. La mejora de r4 vino de selectividad, no solo del cap.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Qué revela el cruce por pregunta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Al comparar el Top-5 del default r4 con el pase amplio: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Caso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Preguntas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Ambos aciertan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380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Solo default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Solo pase amplio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Ninguno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</w:tr>
    </w:tbl>
    <w:p>
      <w:pPr>
        <w:spacing w:before="80" w:after="80"/>
      </w:pP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La unión oracle alcanza </w:t>
      </w:r>
      <w:r>
        <w:rPr>
          <w:rFonts w:ascii="Arial" w:hAnsi="Arial"/>
          <w:b/>
          <w:color w:val="000000"/>
          <w:sz w:val="22"/>
        </w:rPr>
        <w:t>454/470 = 96.596%</w:t>
      </w:r>
      <w:r>
        <w:rPr>
          <w:rFonts w:ascii="Arial" w:hAnsi="Arial"/>
          <w:color w:val="000000"/>
          <w:sz w:val="22"/>
        </w:rPr>
        <w:t>. Por tanto, el techo observado de una fusión léxica ya supera agentmemory hybrid; no hace falta asumir que embeddings son obligatorios para cruzar 95%. Sí hace falta preservar las ocho victorias del pase rápido y recuperar una parte suficiente de las 66 victorias del pase amplio.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3. Evidencia externa relevante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3.1 FTS5 ayuda, pero no incorpora una ejecución Top-K tipo WAND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SQLite FTS5 ofrece índices de prefijo, BM25, </w:t>
      </w:r>
      <w:r>
        <w:rPr>
          <w:rFonts w:ascii="Consolas" w:hAnsi="Consolas"/>
          <w:color w:val="0B2545"/>
          <w:sz w:val="21"/>
        </w:rPr>
        <w:t>fts5vocab</w:t>
      </w:r>
      <w:r>
        <w:rPr>
          <w:rFonts w:ascii="Arial" w:hAnsi="Arial"/>
          <w:color w:val="000000"/>
          <w:sz w:val="22"/>
        </w:rPr>
        <w:t xml:space="preserve">, custom tokenizers y funciones auxiliares. Los índices de prefijo evitan que cada prefijo tenga que resolverse como un rango sobre el vocabulario, a cambio de más entradas de índice. La documentación también permite que una función auxiliar itere coincidencias y ejecute una query de una frase; no expone, sin embargo, una abstracción pública de upper bounds por bloque equivalente a Block-Max WAND. Por eso una implementación WAND real requeriría una extensión nativa más profunda o una proyección derivada propia, no solo cambiar el SQL. Fuente oficial: </w:t>
      </w:r>
      <w:hyperlink r:id="rId11">
        <w:r>
          <w:rPr>
            <w:rFonts w:ascii="Arial" w:hAnsi="Arial"/>
            <w:color w:val="2E74B5"/>
            <w:u w:val="single"/>
          </w:rPr>
          <w:t>SQLite FTS5</w:t>
        </w:r>
      </w:hyperlink>
      <w:r>
        <w:rPr>
          <w:rFonts w:ascii="Arial" w:hAnsi="Arial"/>
          <w:color w:val="000000"/>
          <w:sz w:val="22"/>
        </w:rPr>
        <w:t xml:space="preserve"> y </w:t>
      </w:r>
      <w:hyperlink r:id="rId12">
        <w:r>
          <w:rPr>
            <w:rFonts w:ascii="Arial" w:hAnsi="Arial"/>
            <w:color w:val="2E74B5"/>
            <w:u w:val="single"/>
          </w:rPr>
          <w:t>API de extensión FTS5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3.2 La poda dinámica demuestra que Top-K no requiere evaluación exhaustiva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WAND usa información parcial y upper bounds para descartar documentos que no pueden entrar al Top-K. El trabajo original reportó más de 90% menos evaluaciones completas con pérdidas prácticamente nulas de precisión/recall en su colección. Block-Max WAND refina el principio con upper bounds por bloques; la variante de bloques variables reportó aproximadamente 2× sobre el estado del arte y una representación comprimida de bounds cercana a 50%, con degradación de velocidad menor a 10%. No son números transferibles directamente a thoth-mem, pero sí evidencia fuerte de que el cuello es algorítmico, no inherente a un OR amplio. Fuentes primarias: </w:t>
      </w:r>
      <w:hyperlink r:id="rId13">
        <w:r>
          <w:rPr>
            <w:rFonts w:ascii="Arial" w:hAnsi="Arial"/>
            <w:color w:val="2E74B5"/>
            <w:u w:val="single"/>
          </w:rPr>
          <w:t>Broder et al., WAND</w:t>
        </w:r>
      </w:hyperlink>
      <w:r>
        <w:rPr>
          <w:rFonts w:ascii="Arial" w:hAnsi="Arial"/>
          <w:color w:val="000000"/>
          <w:sz w:val="22"/>
        </w:rPr>
        <w:t xml:space="preserve"> y </w:t>
      </w:r>
      <w:hyperlink r:id="rId14">
        <w:r>
          <w:rPr>
            <w:rFonts w:ascii="Arial" w:hAnsi="Arial"/>
            <w:color w:val="2E74B5"/>
            <w:u w:val="single"/>
          </w:rPr>
          <w:t>Mallia et al., Variable Block-Max WAND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3.3 Una primera cascada especializada puede ser mucho más barata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Wang, Dimopoulos y Suel propusieron estructuras de uno y dos términos, acceso condicionado por un presupuesto y terminación temprana. Su evaluación encontró candidatos aproximadamente un orden de magnitud más rápido que un Top-K conjuntivo, con calidad esencialmente equivalente en su pipeline. La equivalencia útil para thoth-mem es una proyección rebuildable de candidatos por término —y, solo si los datos lo justifican, por pares— seguida de BM25 exacto sobre una unión acotada. Fuente primaria: </w:t>
      </w:r>
      <w:hyperlink r:id="rId15">
        <w:r>
          <w:rPr>
            <w:rFonts w:ascii="Arial" w:hAnsi="Arial"/>
            <w:color w:val="2E74B5"/>
            <w:u w:val="single"/>
          </w:rPr>
          <w:t>Fast First-Phase Candidate Generation for Cascading Rankers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3.4 El costo debe optimizarse junto con la efectividad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Las cascadas multi-stage no se optimizan únicamente por relevancia: deben considerar costo de features, número de candidatos y cutoffs por etapa. Esa es precisamente la forma correcta de tratar los features de confianza y una expansión léxica: el gate no es “inteligente” si ignora el costo del branch que activa. Fuente primaria: </w:t>
      </w:r>
      <w:hyperlink r:id="rId16">
        <w:r>
          <w:rPr>
            <w:rFonts w:ascii="Arial" w:hAnsi="Arial"/>
            <w:color w:val="2E74B5"/>
            <w:u w:val="single"/>
          </w:rPr>
          <w:t>Efficient Cost-Aware Cascade Ranking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3.5 Query performance prediction es útil, pero frágil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NQC y predictores relacionados usan la dispersión de scores del ranking inicial como señal de dificultad o query drift. Son baratos y compatibles con BM25. Pero el trabajo sobre selective query expansion encontró que, incluso en un escenario ideal, se necesitaba Kendall τ ≥ 0.5 para mejorar de forma consistente, un nivel que muchos predictores no alcanzaban. Por ello, el router debe entrenarse y evaluarse en split retenido contra la decisión real “¿el segundo pase aporta un gold Top-5?”, no validarse solo por correlación global. Fuentes primarias: </w:t>
      </w:r>
      <w:hyperlink r:id="rId17">
        <w:r>
          <w:rPr>
            <w:rFonts w:ascii="Arial" w:hAnsi="Arial"/>
            <w:color w:val="2E74B5"/>
            <w:u w:val="single"/>
          </w:rPr>
          <w:t>Normalized Query Commitment Revisited</w:t>
        </w:r>
      </w:hyperlink>
      <w:r>
        <w:rPr>
          <w:rFonts w:ascii="Arial" w:hAnsi="Arial"/>
          <w:color w:val="000000"/>
          <w:sz w:val="22"/>
        </w:rPr>
        <w:t xml:space="preserve"> y </w:t>
      </w:r>
      <w:hyperlink r:id="rId18">
        <w:r>
          <w:rPr>
            <w:rFonts w:ascii="Arial" w:hAnsi="Arial"/>
            <w:color w:val="2E74B5"/>
            <w:u w:val="single"/>
          </w:rPr>
          <w:t>When is query performance prediction effective?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3.6 Agentmemory confirma el valor de la fusión, no nuestro presupuesto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El código local de agentmemory genera candidatos BM25 y vectoriales, añade resultados de grafo y los combina mediante reciprocal rank fusion ponderado, con un bonus por acuerdo y diversificación por sesión. Esa arquitectura explica por qué hybrid mejora BM25. Sin una distribución de latencia LongMemEval comparable —mismo hardware, corpus residente, definición query-only y percentiles— no demuestra que su query embedding o su triple stream quepan en el gate de thoth-mem. La enseñanza transferible inmediata es la </w:t>
      </w:r>
      <w:r>
        <w:rPr>
          <w:rFonts w:ascii="Arial" w:hAnsi="Arial"/>
          <w:b/>
          <w:color w:val="000000"/>
          <w:sz w:val="22"/>
        </w:rPr>
        <w:t>fusión de listas heterogéneas</w:t>
      </w:r>
      <w:r>
        <w:rPr>
          <w:rFonts w:ascii="Arial" w:hAnsi="Arial"/>
          <w:color w:val="000000"/>
          <w:sz w:val="22"/>
        </w:rPr>
        <w:t>, no la adopción automática de embeddings.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4. Arquitectura recomendada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4.1 Flujo objetivo</w:t>
      </w:r>
    </w:p>
    <w:p>
      <w:pPr>
        <w:spacing w:before="80" w:after="160"/>
        <w:ind w:left="259" w:right="259"/>
        <w:shd w:fill="F4F6F9"/>
      </w:pPr>
      <w:r>
        <w:rPr>
          <w:rFonts w:ascii="Consolas" w:hAnsi="Consolas"/>
          <w:color w:val="0B2545"/>
          <w:sz w:val="17"/>
        </w:rPr>
        <w:t>query</w:t>
      </w:r>
      <w:r>
        <w:br/>
      </w:r>
      <w:r>
        <w:rPr>
          <w:rFonts w:ascii="Consolas" w:hAnsi="Consolas"/>
          <w:color w:val="0B2545"/>
          <w:sz w:val="17"/>
        </w:rPr>
        <w:t xml:space="preserve">  ├─ lookup estructurado exacto</w:t>
      </w:r>
      <w:r>
        <w:br/>
      </w:r>
      <w:r>
        <w:rPr>
          <w:rFonts w:ascii="Consolas" w:hAnsi="Consolas"/>
          <w:color w:val="0B2545"/>
          <w:sz w:val="17"/>
        </w:rPr>
        <w:t xml:space="preserve">  └─ Stage A: selección discriminativa → OR acotado → top-5 rápido</w:t>
      </w:r>
      <w:r>
        <w:br/>
      </w:r>
      <w:r>
        <w:rPr>
          <w:rFonts w:ascii="Consolas" w:hAnsi="Consolas"/>
          <w:color w:val="0B2545"/>
          <w:sz w:val="17"/>
        </w:rPr>
        <w:t xml:space="preserve">         ├─ confianza alta → fusión/finalización</w:t>
      </w:r>
      <w:r>
        <w:br/>
      </w:r>
      <w:r>
        <w:rPr>
          <w:rFonts w:ascii="Consolas" w:hAnsi="Consolas"/>
          <w:color w:val="0B2545"/>
          <w:sz w:val="17"/>
        </w:rPr>
        <w:t xml:space="preserve">         └─ confianza baja → Stage B: proyección de impactos acotada</w:t>
      </w:r>
      <w:r>
        <w:br/>
      </w:r>
      <w:r>
        <w:rPr>
          <w:rFonts w:ascii="Consolas" w:hAnsi="Consolas"/>
          <w:color w:val="0B2545"/>
          <w:sz w:val="17"/>
        </w:rPr>
        <w:t xml:space="preserve">                                → rerank BM25 exacto de candidatos</w:t>
      </w:r>
      <w:r>
        <w:br/>
      </w:r>
      <w:r>
        <w:rPr>
          <w:rFonts w:ascii="Consolas" w:hAnsi="Consolas"/>
          <w:color w:val="0B2545"/>
          <w:sz w:val="17"/>
        </w:rPr>
        <w:t xml:space="preserve">                                → fusión con Stage A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4.2 Stage A: de “más largo” a “más discriminativo”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La longitud funcionó como proxy barato de rareza, pero no representa document frequency. FTS5 ya ofrece </w:t>
      </w:r>
      <w:r>
        <w:rPr>
          <w:rFonts w:ascii="Consolas" w:hAnsi="Consolas"/>
          <w:color w:val="0B2545"/>
          <w:sz w:val="21"/>
        </w:rPr>
        <w:t>fts5vocab</w:t>
      </w:r>
      <w:r>
        <w:rPr>
          <w:rFonts w:ascii="Arial" w:hAnsi="Arial"/>
          <w:color w:val="000000"/>
          <w:sz w:val="22"/>
        </w:rPr>
        <w:t xml:space="preserve">; la implementación puede mantener un mapa in-memory </w:t>
      </w:r>
      <w:r>
        <w:rPr>
          <w:rFonts w:ascii="Consolas" w:hAnsi="Consolas"/>
          <w:color w:val="0B2545"/>
          <w:sz w:val="21"/>
        </w:rPr>
        <w:t>{token → doc_freq}</w:t>
      </w:r>
      <w:r>
        <w:rPr>
          <w:rFonts w:ascii="Arial" w:hAnsi="Arial"/>
          <w:color w:val="000000"/>
          <w:sz w:val="22"/>
        </w:rPr>
        <w:t xml:space="preserve"> reconstruible al abrir/rebuild del índice o consultar una tabla derivada indexada. Para cada query:</w:t>
      </w:r>
    </w:p>
    <w:p>
      <w:pPr>
        <w:numPr>
          <w:ilvl w:val="0"/>
          <w:numId w:val="505"/>
        </w:numPr>
      </w:pPr>
      <w:r>
        <w:rPr>
          <w:rFonts w:ascii="Arial" w:hAnsi="Arial"/>
          <w:color w:val="000000"/>
          <w:sz w:val="22"/>
        </w:rPr>
        <w:t>sanitizar/deduplicar dentro de la ventana congelada de 32 términos;</w:t>
      </w:r>
    </w:p>
    <w:p>
      <w:pPr>
        <w:numPr>
          <w:ilvl w:val="0"/>
          <w:numId w:val="506"/>
        </w:numPr>
      </w:pPr>
      <w:r>
        <w:rPr>
          <w:rFonts w:ascii="Arial" w:hAnsi="Arial"/>
          <w:color w:val="000000"/>
          <w:sz w:val="22"/>
        </w:rPr>
        <w:t>asignar IDF o una función monotónica de document frequency;</w:t>
      </w:r>
    </w:p>
    <w:p>
      <w:pPr>
        <w:numPr>
          <w:ilvl w:val="0"/>
          <w:numId w:val="507"/>
        </w:numPr>
      </w:pPr>
      <w:r>
        <w:rPr>
          <w:rFonts w:ascii="Arial" w:hAnsi="Arial"/>
          <w:color w:val="000000"/>
          <w:sz w:val="22"/>
        </w:rPr>
        <w:t>conservar tres términos discriminativos con desempate estable por posición;</w:t>
      </w:r>
    </w:p>
    <w:p>
      <w:pPr>
        <w:numPr>
          <w:ilvl w:val="0"/>
          <w:numId w:val="508"/>
        </w:numPr>
      </w:pPr>
      <w:r>
        <w:rPr>
          <w:rFonts w:ascii="Arial" w:hAnsi="Arial"/>
          <w:color w:val="000000"/>
          <w:sz w:val="22"/>
        </w:rPr>
        <w:t>preservar el orden original para construir la query;</w:t>
      </w:r>
    </w:p>
    <w:p>
      <w:pPr>
        <w:numPr>
          <w:ilvl w:val="0"/>
          <w:numId w:val="509"/>
        </w:numPr>
      </w:pPr>
      <w:r>
        <w:rPr>
          <w:rFonts w:ascii="Arial" w:hAnsi="Arial"/>
          <w:color w:val="000000"/>
          <w:sz w:val="22"/>
        </w:rPr>
        <w:t>pedir cinco resultados, no dos;</w:t>
      </w:r>
    </w:p>
    <w:p>
      <w:pPr>
        <w:numPr>
          <w:ilvl w:val="0"/>
          <w:numId w:val="510"/>
        </w:numPr>
      </w:pPr>
      <w:r>
        <w:rPr>
          <w:rFonts w:ascii="Arial" w:hAnsi="Arial"/>
          <w:color w:val="000000"/>
          <w:sz w:val="22"/>
        </w:rPr>
        <w:t>devolver features numéricos de diagnóstico sin texto privado.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Este cambio ataca simultáneamente calidad y costo: evita listas frecuentes y aprovecha el Top-5 real. Debe congelarse en el </w:t>
      </w:r>
      <w:r>
        <w:rPr>
          <w:rFonts w:ascii="Consolas" w:hAnsi="Consolas"/>
          <w:color w:val="0B2545"/>
          <w:sz w:val="21"/>
        </w:rPr>
        <w:t>configHash</w:t>
      </w:r>
      <w:r>
        <w:rPr>
          <w:rFonts w:ascii="Arial" w:hAnsi="Arial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4.3 Stage B: proyección de impactos rebuildable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Si FTS5 con tres términos IDF y cap 5 aún rebasa el p95 o queda por debajo de 95%, crear una proyección derivada, no autoritativa: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por token discriminativo, conservar una lista corta de </w:t>
      </w:r>
      <w:r>
        <w:rPr>
          <w:rFonts w:ascii="Consolas" w:hAnsi="Consolas"/>
          <w:color w:val="0B2545"/>
          <w:sz w:val="21"/>
        </w:rPr>
        <w:t>memory_id</w:t>
      </w:r>
      <w:r>
        <w:rPr>
          <w:rFonts w:ascii="Arial" w:hAnsi="Arial"/>
          <w:color w:val="000000"/>
          <w:sz w:val="22"/>
        </w:rPr>
        <w:t xml:space="preserve"> ordenada por impacto estático compatible con BM25;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opcionalmente materializar pares solo para combinaciones frecuentes donde el análisis offline demuestre ganancia;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en query, unir listas de los términos seleccionados bajo un presupuesto fijo de postings/candidatos;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hidratar y calcular BM25/temporalidad exactos únicamente para esa unión;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registrar versión, config hash, source watermark, bytes y estado ready/stale/rebuilding con </w:t>
      </w:r>
      <w:r>
        <w:rPr>
          <w:rFonts w:ascii="Consolas" w:hAnsi="Consolas"/>
          <w:color w:val="0B2545"/>
          <w:sz w:val="21"/>
        </w:rPr>
        <w:t>ProjectionRegistry</w:t>
      </w:r>
      <w:r>
        <w:rPr>
          <w:rFonts w:ascii="Arial" w:hAnsi="Arial"/>
          <w:color w:val="000000"/>
          <w:sz w:val="22"/>
        </w:rPr>
        <w:t>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Esta proyección sigue el patrón ya existente de estado rebuildable y permite invalidación determinista. No sustituye el ledger SQLite ni se convierte en una nueva fuente de verdad.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4.4 Fusión estable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El servicio actual llena una </w:t>
      </w:r>
      <w:r>
        <w:rPr>
          <w:rFonts w:ascii="Consolas" w:hAnsi="Consolas"/>
          <w:color w:val="0B2545"/>
          <w:sz w:val="21"/>
        </w:rPr>
        <w:t>Map</w:t>
      </w:r>
      <w:r>
        <w:rPr>
          <w:rFonts w:ascii="Arial" w:hAnsi="Arial"/>
          <w:color w:val="000000"/>
          <w:sz w:val="22"/>
        </w:rPr>
        <w:t xml:space="preserve"> en orden de etapa; el segundo pase no vuelve a puntuar la primera lista. Debe existir un componente explícito de fusión: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unión por </w:t>
      </w:r>
      <w:r>
        <w:rPr>
          <w:rFonts w:ascii="Consolas" w:hAnsi="Consolas"/>
          <w:color w:val="0B2545"/>
          <w:sz w:val="21"/>
        </w:rPr>
        <w:t>memory_id</w:t>
      </w:r>
      <w:r>
        <w:rPr>
          <w:rFonts w:ascii="Arial" w:hAnsi="Arial"/>
          <w:color w:val="000000"/>
          <w:sz w:val="22"/>
        </w:rPr>
        <w:t>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RRF de dos listas o normalización rank-based, evitando comparar BM25 crudo entre queries/planes distintos;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bonus pequeño y versionado para acuerdo entre stages;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desempate estable por mejor rank, </w:t>
      </w:r>
      <w:r>
        <w:rPr>
          <w:rFonts w:ascii="Consolas" w:hAnsi="Consolas"/>
          <w:color w:val="0B2545"/>
          <w:sz w:val="21"/>
        </w:rPr>
        <w:t>created_at</w:t>
      </w:r>
      <w:r>
        <w:rPr>
          <w:rFonts w:ascii="Arial" w:hAnsi="Arial"/>
          <w:color w:val="000000"/>
          <w:sz w:val="22"/>
        </w:rPr>
        <w:t xml:space="preserve"> e ID;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diversificación por sesión/topic solo si la métrica muestra duplicación problemática;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structured exact siempre conserva prioridad.</w:t>
      </w:r>
    </w:p>
    <w:p>
      <w:pPr>
        <w:spacing w:before="200"/>
        <w:ind w:left="0" w:right="0" w:firstLine="0"/>
        <w:jc w:val="left"/>
      </w:pPr>
      <w:r>
        <w:rPr>
          <w:rFonts w:ascii="Arial" w:hAnsi="Arial"/>
          <w:color w:val="000000"/>
          <w:sz w:val="22"/>
        </w:rPr>
        <w:t>La fusión es obligatoria porque el pase amplio pierde ocho casos que el default gana. Un reemplazo secuencial nunca puede alcanzar el techo oracle de 96.596%.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4.5 Gate de confianza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El gate se añade después de abaratar Stage B. Features candidatas, todas locales y numéricas: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cantidad de resultados Stage A;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score gap rank 1–2 y rank 2–5;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dispersión/NQC de scores;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suma/promedio de IDF y cobertura de términos seleccionados;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overlap entre resultados strict y relaxed;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número de términos con document frequency alta;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costo estimado: suma de longitudes de posting lists.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La etiqueta offline correcta es ganancia marginal de Stage B en Top-5, no question type ni el ID gold. Entrenar/tunear en una partición y congelar umbral antes de evaluar el holdout. Un gate que solo reduce promedio pero no p95 no cumple el contrato.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5. Secuencia de experimentos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E0 — Cap 5 con los tres términos largos actuales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Cambio: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Consolas" w:hAnsi="Consolas"/>
          <w:color w:val="0B2545"/>
          <w:sz w:val="21"/>
        </w:rPr>
        <w:t>maxLexicalResults: 5</w:t>
      </w:r>
      <w:r>
        <w:rPr>
          <w:rFonts w:ascii="Arial" w:hAnsi="Arial"/>
          <w:color w:val="000000"/>
          <w:sz w:val="22"/>
        </w:rPr>
        <w:t>, fusión explícita Stage A/strict cuando aplique, sin nueva proyección.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Por qué primero:</w:t>
      </w:r>
      <w:r>
        <w:rPr>
          <w:rFonts w:ascii="Arial" w:hAnsi="Arial"/>
          <w:color w:val="000000"/>
          <w:sz w:val="22"/>
        </w:rPr>
        <w:t xml:space="preserve"> es el experimento más barato que falta en el Pareto; r2 no lo representa porque usaba términos iniciales no selectivos.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Decisión:</w:t>
      </w:r>
      <w:r>
        <w:rPr>
          <w:rFonts w:ascii="Arial" w:hAnsi="Arial"/>
          <w:color w:val="000000"/>
          <w:sz w:val="22"/>
        </w:rPr>
        <w:t xml:space="preserve"> promover solo si ≥95% RecallAny@5 y p95 ≤2× control. Si la calidad sube pero el p95 falla por poco, pasar a E1.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E1 — Tres términos por IDF, cap 5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Cambio:</w:t>
      </w:r>
      <w:r>
        <w:rPr>
          <w:rFonts w:ascii="Arial" w:hAnsi="Arial"/>
          <w:color w:val="000000"/>
          <w:sz w:val="22"/>
        </w:rPr>
        <w:t xml:space="preserve"> document frequency local versionada; seleccionar rarest/discriminative; mismo SQL/hidratación.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Ablaciones:</w:t>
      </w:r>
      <w:r>
        <w:rPr>
          <w:rFonts w:ascii="Arial" w:hAnsi="Arial"/>
          <w:color w:val="000000"/>
          <w:sz w:val="22"/>
        </w:rPr>
        <w:t xml:space="preserve"> 2/3/4 términos × cap 3/5; exact token vs prefix; longest vs IDF.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Decisión:</w:t>
      </w:r>
      <w:r>
        <w:rPr>
          <w:rFonts w:ascii="Arial" w:hAnsi="Arial"/>
          <w:color w:val="000000"/>
          <w:sz w:val="22"/>
        </w:rPr>
        <w:t xml:space="preserve"> escoger el punto Pareto por gate, no por una métrica aislada.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E2 — Proyección de candidatos por impacto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Cambio:</w:t>
      </w:r>
      <w:r>
        <w:rPr>
          <w:rFonts w:ascii="Arial" w:hAnsi="Arial"/>
          <w:color w:val="000000"/>
          <w:sz w:val="22"/>
        </w:rPr>
        <w:t xml:space="preserve"> nueva proyección derivada y rebuildable con listas Top-M por token; unión presupuestada; rerank exacto.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Ablaciones:</w:t>
      </w:r>
      <w:r>
        <w:rPr>
          <w:rFonts w:ascii="Arial" w:hAnsi="Arial"/>
          <w:color w:val="000000"/>
          <w:sz w:val="22"/>
        </w:rPr>
        <w:t xml:space="preserve"> M ∈ {8,16,32}; candidate union ∈ {16,32,64}; uno vs dos términos; con/sin pares.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Decisión:</w:t>
      </w:r>
      <w:r>
        <w:rPr>
          <w:rFonts w:ascii="Arial" w:hAnsi="Arial"/>
          <w:color w:val="000000"/>
          <w:sz w:val="22"/>
        </w:rPr>
        <w:t xml:space="preserve"> exigir igualdad de bytes por lane y contabilizar los bytes de la proyección. Medir p50/p95/p99, postings visitados y candidatos exact-scored.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E3 — Router de confianza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Cambio:</w:t>
      </w:r>
      <w:r>
        <w:rPr>
          <w:rFonts w:ascii="Arial" w:hAnsi="Arial"/>
          <w:color w:val="000000"/>
          <w:sz w:val="22"/>
        </w:rPr>
        <w:t xml:space="preserve"> activar Stage B selectivamente usando features del Stage A.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Validación:</w:t>
      </w:r>
      <w:r>
        <w:rPr>
          <w:rFonts w:ascii="Arial" w:hAnsi="Arial"/>
          <w:color w:val="000000"/>
          <w:sz w:val="22"/>
        </w:rPr>
        <w:t xml:space="preserve"> split fijo, config hash, curva RecallAny@5 contra trigger rate y p95; comparar contra always-on Stage B.</w:t>
      </w:r>
    </w:p>
    <w:p>
      <w:pPr>
        <w:ind w:left="0" w:right="0" w:firstLine="0"/>
        <w:jc w:val="left"/>
      </w:pPr>
      <w:r>
        <w:rPr>
          <w:rFonts w:ascii="Arial" w:hAnsi="Arial"/>
          <w:b/>
          <w:color w:val="000000"/>
          <w:sz w:val="22"/>
        </w:rPr>
        <w:t>Decisión:</w:t>
      </w:r>
      <w:r>
        <w:rPr>
          <w:rFonts w:ascii="Arial" w:hAnsi="Arial"/>
          <w:color w:val="000000"/>
          <w:sz w:val="22"/>
        </w:rPr>
        <w:t xml:space="preserve"> aceptar solo si no pierde el gate de calidad y crea margen real de cola.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E4 — Residual semántico local, solo si queda una brecha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Si E0–E3 quedan por debajo de 95%, estudiar una proyección semántica local únicamente sobre los 16 casos que ambas estrategias léxicas pierden o sobre clases de fallo verificadas. Requisitos antes de adoptarla: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corpus embeddings offline y rebuildables;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query encoder medido en el mismo host;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modelo/índice contabilizados;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query inference dentro de un subpresupuesto explícito o fuera de la ruta síncrona;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fusión con BM25 mediante ranks, no scores crudos;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>benchmark sin red y con warm/cold separados.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No debe saltarse directamente a embeddings: podrían mejorar recall y aun así hacer imposible el gate de latencia.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6. Mapeo al CORE actual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Superficies de implementación identificadas: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src/memory-core/sqlite/fts.ts</w:t>
      </w:r>
      <w:r>
        <w:rPr>
          <w:rFonts w:ascii="Arial" w:hAnsi="Arial"/>
          <w:color w:val="000000"/>
          <w:sz w:val="22"/>
        </w:rPr>
        <w:t>: configuración versionada, selección de términos y query plan.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src/memory-core/service.ts</w:t>
      </w:r>
      <w:r>
        <w:rPr>
          <w:rFonts w:ascii="Arial" w:hAnsi="Arial"/>
          <w:color w:val="000000"/>
          <w:sz w:val="22"/>
        </w:rPr>
        <w:t>: ejecución de stages, cap, unión, hidratación, scoring y diagnostics.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src/memory-core/retrieval/projections.ts</w:t>
      </w:r>
      <w:r>
        <w:rPr>
          <w:rFonts w:ascii="Arial" w:hAnsi="Arial"/>
          <w:color w:val="000000"/>
          <w:sz w:val="22"/>
        </w:rPr>
        <w:t>: lifecycle rebuildable para una eventual proyección de impactos.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tests/memory-core/retrieval.test.ts</w:t>
      </w:r>
      <w:r>
        <w:rPr>
          <w:rFonts w:ascii="Arial" w:hAnsi="Arial"/>
          <w:color w:val="000000"/>
          <w:sz w:val="22"/>
        </w:rPr>
        <w:t>: contratos de plan, caps, orden y fusión.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benchmarks/longmemeval/run.mjs</w:t>
      </w:r>
      <w:r>
        <w:rPr>
          <w:rFonts w:ascii="Arial" w:hAnsi="Arial"/>
          <w:color w:val="000000"/>
          <w:sz w:val="22"/>
        </w:rPr>
        <w:t>: evidencia co-run y gates.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El diseño no requiere una tool nueva. Recall continúa entrando por la misma API pública; la cascada es un detalle del CORE.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7. Riesgos y controles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Riesgo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b/>
                <w:color w:val="0B2545"/>
              </w:rPr>
            </w:r>
            <w:r>
              <w:rPr>
                <w:rFonts w:ascii="Arial" w:hAnsi="Arial"/>
                <w:b/>
                <w:color w:val="0B2545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Leakage al ajustar sobre las 470 preguntas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split train/validation/holdout fijo; reporte separado del headline final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Sobreajuste a inglés/LongMemEval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features lingüísticamente neutras; corpus secundario de sesiones de código; análisis por tipo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p95 inestable por caché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warm-up declarado, query order hash, co-run control, repetir semillas/órdenes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Proyección desactualizada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watermark + config hash + fail-closed a FTS5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Bytes ocultos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incluir tabla, índices, sidecar y memoria residente en recursos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Fusión mejora hits pero empeora rank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gates simultáneos de NDCG@10, MRR, fraccional y RecallAll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Router parece bueno por correlación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evaluar decisión downstream y curva trigger-rate, no solo Kendall/Pearson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hAnsi="Arial"/>
          <w:color w:val="2E74B5"/>
          <w:sz w:val="32"/>
        </w:rPr>
        <w:t>8. Recomendación final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El siguiente cuello de botella no es “falta de semántica”; es </w:t>
      </w:r>
      <w:r>
        <w:rPr>
          <w:rFonts w:ascii="Arial" w:hAnsi="Arial"/>
          <w:b/>
          <w:color w:val="000000"/>
          <w:sz w:val="22"/>
        </w:rPr>
        <w:t>falta de un Top-5 léxico amplio que sea barato y que se fusione con el ranking rápido</w:t>
      </w:r>
      <w:r>
        <w:rPr>
          <w:rFonts w:ascii="Arial" w:hAnsi="Arial"/>
          <w:color w:val="000000"/>
          <w:sz w:val="22"/>
        </w:rPr>
        <w:t>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La orden de trabajo recomendada es:</w:t>
      </w:r>
    </w:p>
    <w:p>
      <w:pPr>
        <w:numPr>
          <w:ilvl w:val="0"/>
          <w:numId w:val="511"/>
        </w:numPr>
      </w:pPr>
      <w:r>
        <w:rPr>
          <w:rFonts w:ascii="Arial" w:hAnsi="Arial"/>
          <w:color w:val="000000"/>
          <w:sz w:val="22"/>
        </w:rPr>
        <w:t>ejecutar E0: tres términos largos + cap 5 + fusión;</w:t>
      </w:r>
    </w:p>
    <w:p>
      <w:pPr>
        <w:numPr>
          <w:ilvl w:val="0"/>
          <w:numId w:val="512"/>
        </w:numPr>
      </w:pPr>
      <w:r>
        <w:rPr>
          <w:rFonts w:ascii="Arial" w:hAnsi="Arial"/>
          <w:color w:val="000000"/>
          <w:sz w:val="22"/>
        </w:rPr>
        <w:t>si falla, ejecutar E1: selección IDF + matriz pequeña de caps/términos;</w:t>
      </w:r>
    </w:p>
    <w:p>
      <w:pPr>
        <w:numPr>
          <w:ilvl w:val="0"/>
          <w:numId w:val="513"/>
        </w:numPr>
      </w:pPr>
      <w:r>
        <w:rPr>
          <w:rFonts w:ascii="Arial" w:hAnsi="Arial"/>
          <w:color w:val="000000"/>
          <w:sz w:val="22"/>
        </w:rPr>
        <w:t>si el MATCH sigue dominando p95, implementar E2 como proyección de impactos rebuildable;</w:t>
      </w:r>
    </w:p>
    <w:p>
      <w:pPr>
        <w:numPr>
          <w:ilvl w:val="0"/>
          <w:numId w:val="514"/>
        </w:numPr>
      </w:pPr>
      <w:r>
        <w:rPr>
          <w:rFonts w:ascii="Arial" w:hAnsi="Arial"/>
          <w:color w:val="000000"/>
          <w:sz w:val="22"/>
        </w:rPr>
        <w:t>solo entonces entrenar E3 para ahorrar trabajo sin depender de un branch lento;</w:t>
      </w:r>
    </w:p>
    <w:p>
      <w:pPr>
        <w:numPr>
          <w:ilvl w:val="0"/>
          <w:numId w:val="515"/>
        </w:numPr>
      </w:pPr>
      <w:r>
        <w:rPr>
          <w:rFonts w:ascii="Arial" w:hAnsi="Arial"/>
          <w:color w:val="000000"/>
          <w:sz w:val="22"/>
        </w:rPr>
        <w:t>abrir E4 semántico únicamente contra fallos residuales demostrados.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 xml:space="preserve">Esta ruta tiene una ventaja estratégica: el corpus local ya demuestra un techo lexical-fusion de </w:t>
      </w:r>
      <w:r>
        <w:rPr>
          <w:rFonts w:ascii="Arial" w:hAnsi="Arial"/>
          <w:b/>
          <w:color w:val="000000"/>
          <w:sz w:val="22"/>
        </w:rPr>
        <w:t>96.596%</w:t>
      </w:r>
      <w:r>
        <w:rPr>
          <w:rFonts w:ascii="Arial" w:hAnsi="Arial"/>
          <w:color w:val="000000"/>
          <w:sz w:val="22"/>
        </w:rPr>
        <w:t>, superior a agentmemory hybrid en el mismo denominador. El objetivo de 95% es plausible sin renunciar a SQLite-first, pero no se conseguirá haciendo selectivo un pase que todavía es demasiado caro. Primero se abarata el candidato; luego se enruta.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E74B5"/>
          <w:sz w:val="32"/>
        </w:rPr>
        <w:t>Fuentes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Evidencia local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benchmarks/results/longmemeval-s-lexical-latency-report-r4.json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benchmarks/results/longmemeval-s-lexical-latency-report.json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benchmarks/results/longmemeval-s-lexical-latency-report-r2.json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benchmarks/results/longmemeval-s-lexical-latency-report-r3.json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benchmarks/results/longmemeval-s-lexical-comparison-report.json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openspec/changes/archive/2026-08-28-optimize-relaxed-lexical-latency/research.md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C:/DEV/Proyectos/Webstorm/agentmemory/src/state/hybrid-search.ts</w:t>
      </w:r>
    </w:p>
    <w:p>
      <w:pPr>
        <w:numPr>
          <w:ilvl w:val="0"/>
          <w:numId w:val="91"/>
        </w:numPr>
      </w:pPr>
      <w:r>
        <w:rPr>
          <w:rFonts w:ascii="Consolas" w:hAnsi="Consolas"/>
          <w:color w:val="0B2545"/>
          <w:sz w:val="21"/>
        </w:rPr>
        <w:t>C:/DEV/Proyectos/Webstorm/agentmemory/eval/runner/adapters/agentmemory.ts</w:t>
      </w:r>
    </w:p>
    <w:p>
      <w:pPr>
        <w:pStyle w:val="Heading2"/>
      </w:pPr>
      <w:r>
        <w:rPr>
          <w:rFonts w:ascii="Arial" w:hAnsi="Arial"/>
          <w:color w:val="2E74B5"/>
          <w:sz w:val="26"/>
        </w:rPr>
        <w:t>Literatura y documentación primaria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SQLite. </w:t>
      </w:r>
      <w:hyperlink r:id="rId11">
        <w:r>
          <w:rPr>
            <w:rFonts w:ascii="Arial" w:hAnsi="Arial"/>
            <w:color w:val="2E74B5"/>
            <w:u w:val="single"/>
          </w:rPr>
          <w:t>SQLite FTS5 Extension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SQLite. </w:t>
      </w:r>
      <w:hyperlink r:id="rId12">
        <w:r>
          <w:rPr>
            <w:rFonts w:ascii="Arial" w:hAnsi="Arial"/>
            <w:color w:val="2E74B5"/>
            <w:u w:val="single"/>
          </w:rPr>
          <w:t>FTS5 Extension API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Broder et al. (2003). </w:t>
      </w:r>
      <w:hyperlink r:id="rId13">
        <w:r>
          <w:rPr>
            <w:rFonts w:ascii="Arial" w:hAnsi="Arial"/>
            <w:color w:val="2E74B5"/>
            <w:u w:val="single"/>
          </w:rPr>
          <w:t>Efficient query evaluation using a two-level retrieval process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Mallia et al. (2017). </w:t>
      </w:r>
      <w:hyperlink r:id="rId14">
        <w:r>
          <w:rPr>
            <w:rFonts w:ascii="Arial" w:hAnsi="Arial"/>
            <w:color w:val="2E74B5"/>
            <w:u w:val="single"/>
          </w:rPr>
          <w:t>Faster BlockMax WAND with Variable-sized Blocks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Wang, Dimopoulos y Suel (2016). </w:t>
      </w:r>
      <w:hyperlink r:id="rId15">
        <w:r>
          <w:rPr>
            <w:rFonts w:ascii="Arial" w:hAnsi="Arial"/>
            <w:color w:val="2E74B5"/>
            <w:u w:val="single"/>
          </w:rPr>
          <w:t>Fast First-Phase Candidate Generation for Cascading Rankers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Chen et al. (2017). </w:t>
      </w:r>
      <w:hyperlink r:id="rId16">
        <w:r>
          <w:rPr>
            <w:rFonts w:ascii="Arial" w:hAnsi="Arial"/>
            <w:color w:val="2E74B5"/>
            <w:u w:val="single"/>
          </w:rPr>
          <w:t>Efficient Cost-Aware Cascade Ranking in Multi-Stage Retrieval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Hauff y Azzopardi (2009). </w:t>
      </w:r>
      <w:hyperlink r:id="rId18">
        <w:r>
          <w:rPr>
            <w:rFonts w:ascii="Arial" w:hAnsi="Arial"/>
            <w:color w:val="2E74B5"/>
            <w:u w:val="single"/>
          </w:rPr>
          <w:t>When is query performance prediction effective?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Roitman (2019). </w:t>
      </w:r>
      <w:hyperlink r:id="rId17">
        <w:r>
          <w:rPr>
            <w:rFonts w:ascii="Arial" w:hAnsi="Arial"/>
            <w:color w:val="2E74B5"/>
            <w:u w:val="single"/>
          </w:rPr>
          <w:t>Normalized Query Commitment Revisited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numPr>
          <w:ilvl w:val="0"/>
          <w:numId w:val="91"/>
        </w:numPr>
      </w:pPr>
      <w:r>
        <w:rPr>
          <w:rFonts w:ascii="Arial" w:hAnsi="Arial"/>
          <w:color w:val="000000"/>
          <w:sz w:val="22"/>
        </w:rPr>
        <w:t xml:space="preserve">Cronen-Townsend, Zhou y Croft (2004). </w:t>
      </w:r>
      <w:hyperlink r:id="rId19">
        <w:r>
          <w:rPr>
            <w:rFonts w:ascii="Arial" w:hAnsi="Arial"/>
            <w:color w:val="2E74B5"/>
            <w:u w:val="single"/>
          </w:rPr>
          <w:t>A framework for selective query expansion</w:t>
        </w:r>
      </w:hyperlink>
      <w:r>
        <w:rPr>
          <w:rFonts w:ascii="Arial" w:hAnsi="Arial"/>
          <w:color w:val="000000"/>
          <w:sz w:val="22"/>
        </w:rPr>
        <w:t>.</w:t>
      </w:r>
    </w:p>
    <w:p>
      <w:pPr>
        <w:pStyle w:val="Heading1"/>
      </w:pPr>
      <w:r>
        <w:rPr>
          <w:rFonts w:ascii="Arial" w:hAnsi="Arial"/>
          <w:color w:val="2E74B5"/>
          <w:sz w:val="32"/>
        </w:rPr>
        <w:t>Nota metodológica</w:t>
      </w:r>
    </w:p>
    <w:p>
      <w:pPr>
        <w:ind w:left="0" w:right="0" w:firstLine="0"/>
        <w:jc w:val="left"/>
      </w:pPr>
      <w:r>
        <w:rPr>
          <w:rFonts w:ascii="Arial" w:hAnsi="Arial"/>
          <w:color w:val="000000"/>
          <w:sz w:val="22"/>
        </w:rPr>
        <w:t>La investigación separa hechos de inferencias. Las métricas de thoth-mem y agentmemory son hechos recalculados en artefactos locales. Los speedups de WAND/cascades pertenecen a sus colecciones y solo justifican la dirección algorítmica. Que una proyección de impactos permitirá cumplir 1.9 ms es una hipótesis a verificar, no un resultado. La priorización E0→E4 combina esas fuentes con el perfil observado del CORE actual.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A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5E6A73"/>
        <w:sz w:val="17"/>
      </w:rPr>
      <w:t>THOTH-MEM  ·  DEEP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abstractNum w:abstractNumId="8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81"/>
    <w:lvlOverride w:ilvl="0">
      <w:startOverride w:val="1"/>
    </w:lvlOverride>
  </w:num>
  <w:num w:numId="92">
    <w:abstractNumId w:val="82"/>
    <w:lvlOverride w:ilvl="0">
      <w:startOverride w:val="1"/>
    </w:lvlOverride>
  </w:num>
  <w:num w:numId="500">
    <w:abstractNumId w:val="82"/>
    <w:lvlOverride w:ilvl="0">
      <w:startOverride w:val="1"/>
    </w:lvlOverride>
  </w:num>
  <w:num w:numId="501">
    <w:abstractNumId w:val="82"/>
    <w:lvlOverride w:ilvl="0">
      <w:startOverride w:val="2"/>
    </w:lvlOverride>
  </w:num>
  <w:num w:numId="502">
    <w:abstractNumId w:val="82"/>
    <w:lvlOverride w:ilvl="0">
      <w:startOverride w:val="3"/>
    </w:lvlOverride>
  </w:num>
  <w:num w:numId="503">
    <w:abstractNumId w:val="82"/>
    <w:lvlOverride w:ilvl="0">
      <w:startOverride w:val="4"/>
    </w:lvlOverride>
  </w:num>
  <w:num w:numId="504">
    <w:abstractNumId w:val="82"/>
    <w:lvlOverride w:ilvl="0">
      <w:startOverride w:val="5"/>
    </w:lvlOverride>
  </w:num>
  <w:num w:numId="505">
    <w:abstractNumId w:val="82"/>
    <w:lvlOverride w:ilvl="0">
      <w:startOverride w:val="1"/>
    </w:lvlOverride>
  </w:num>
  <w:num w:numId="506">
    <w:abstractNumId w:val="82"/>
    <w:lvlOverride w:ilvl="0">
      <w:startOverride w:val="2"/>
    </w:lvlOverride>
  </w:num>
  <w:num w:numId="507">
    <w:abstractNumId w:val="82"/>
    <w:lvlOverride w:ilvl="0">
      <w:startOverride w:val="3"/>
    </w:lvlOverride>
  </w:num>
  <w:num w:numId="508">
    <w:abstractNumId w:val="82"/>
    <w:lvlOverride w:ilvl="0">
      <w:startOverride w:val="4"/>
    </w:lvlOverride>
  </w:num>
  <w:num w:numId="509">
    <w:abstractNumId w:val="82"/>
    <w:lvlOverride w:ilvl="0">
      <w:startOverride w:val="5"/>
    </w:lvlOverride>
  </w:num>
  <w:num w:numId="510">
    <w:abstractNumId w:val="82"/>
    <w:lvlOverride w:ilvl="0">
      <w:startOverride w:val="6"/>
    </w:lvlOverride>
  </w:num>
  <w:num w:numId="511">
    <w:abstractNumId w:val="82"/>
    <w:lvlOverride w:ilvl="0">
      <w:startOverride w:val="1"/>
    </w:lvlOverride>
  </w:num>
  <w:num w:numId="512">
    <w:abstractNumId w:val="82"/>
    <w:lvlOverride w:ilvl="0">
      <w:startOverride w:val="2"/>
    </w:lvlOverride>
  </w:num>
  <w:num w:numId="513">
    <w:abstractNumId w:val="82"/>
    <w:lvlOverride w:ilvl="0">
      <w:startOverride w:val="3"/>
    </w:lvlOverride>
  </w:num>
  <w:num w:numId="514">
    <w:abstractNumId w:val="82"/>
    <w:lvlOverride w:ilvl="0">
      <w:startOverride w:val="4"/>
    </w:lvlOverride>
  </w:num>
  <w:num w:numId="515">
    <w:abstractNumId w:val="8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qlite.org/fts5.html" TargetMode="External"/><Relationship Id="rId12" Type="http://schemas.openxmlformats.org/officeDocument/2006/relationships/hyperlink" Target="https://sqlite.org/src/doc/trunk/ext/fts5/fts5.h" TargetMode="External"/><Relationship Id="rId13" Type="http://schemas.openxmlformats.org/officeDocument/2006/relationships/hyperlink" Target="https://doi.org/10.1145/956863.956944" TargetMode="External"/><Relationship Id="rId14" Type="http://schemas.openxmlformats.org/officeDocument/2006/relationships/hyperlink" Target="https://pages.di.unipi.it/rossano/assets/pdf/papers/SIGIR17A.pdf" TargetMode="External"/><Relationship Id="rId15" Type="http://schemas.openxmlformats.org/officeDocument/2006/relationships/hyperlink" Target="https://research.engineering.nyu.edu/~suel/papers/candi.pdf" TargetMode="External"/><Relationship Id="rId16" Type="http://schemas.openxmlformats.org/officeDocument/2006/relationships/hyperlink" Target="https://rueycheng.github.io/paper/efficient-cost-aware-cascade.pdf" TargetMode="External"/><Relationship Id="rId17" Type="http://schemas.openxmlformats.org/officeDocument/2006/relationships/hyperlink" Target="https://research.ibm.com/publications/normalized-query-commitment-revisited" TargetMode="External"/><Relationship Id="rId18" Type="http://schemas.openxmlformats.org/officeDocument/2006/relationships/hyperlink" Target="https://eprints.gla.ac.uk/34668/" TargetMode="External"/><Relationship Id="rId19" Type="http://schemas.openxmlformats.org/officeDocument/2006/relationships/hyperlink" Target="https://ciir.cs.umass.edu/pubfiles/ir-37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Research: cómo llevar thoth-mem a RecallAny@5 ≈ 95% sin abandonar el CORE local</dc:title>
  <dc:subject>Estrategia de recuperación Top-5 para thoth-mem</dc:subject>
  <dc:creator>OpenAI Codex · Deep Research</dc:creator>
  <cp:keywords>thoth-mem, RecallAny@5, SQLite FTS5, WAND, retrieval, agentmemory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