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lastRenderedPageBreak/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6558E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6558E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lastRenderedPageBreak/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lastRenderedPageBreak/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lastRenderedPageBreak/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A715" w14:textId="77777777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  <w:r w:rsidR="00757911">
              <w:rPr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23E14F7A" w14:textId="34F43092" w:rsidR="001229F6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 w:rsidRPr="00757911">
              <w:rPr>
                <w:sz w:val="20"/>
                <w:szCs w:val="20"/>
                <w:lang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757911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6F15" w14:textId="10121194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  <w:p w14:paraId="05AB4D93" w14:textId="502755C4" w:rsidR="00757911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6558E5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lastRenderedPageBreak/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6558E5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6558E5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6558E5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6558E5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6558E5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6558E5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6558E5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6558E5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6558E5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6558E5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  <w:tr w:rsidR="00761294" w:rsidRPr="007B6587" w14:paraId="5784D7F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20BB" w14:textId="1977700A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2F7" w14:textId="1611FCE3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16B7" w14:textId="1014650C" w:rsidR="00761294" w:rsidRPr="00761294" w:rsidRDefault="0076129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5207" w14:textId="45383337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 документа (</w:t>
            </w:r>
            <w:r>
              <w:t>см. примечание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761294" w:rsidRPr="007B6587" w14:paraId="2F90ACCE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FE5F" w14:textId="7358DD9A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DA0" w14:textId="1A086AA1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82B" w14:textId="4D601D80" w:rsidR="00761294" w:rsidRDefault="0076129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89AD" w14:textId="79753C85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Время присвоения статуса</w:t>
            </w:r>
          </w:p>
        </w:tc>
      </w:tr>
      <w:tr w:rsidR="00761294" w:rsidRPr="007B6587" w14:paraId="6118314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B8F0" w14:textId="15741CDB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ReturnTypeID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3FA" w14:textId="2283ADBD" w:rsidR="00761294" w:rsidRP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EC6" w14:textId="30ACFDA2" w:rsidR="00761294" w:rsidRPr="00761294" w:rsidRDefault="0076129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3C7" w14:textId="240D71D0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Тип корректировки используется для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возратов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юр лиц (см примечание)</w:t>
            </w: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4951A8F7" w:rsidR="0082466C" w:rsidRPr="00D04662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58E5">
              <w:rPr>
                <w:rFonts w:ascii="Arial" w:hAnsi="Arial" w:cs="Arial"/>
                <w:color w:val="000000"/>
                <w:sz w:val="22"/>
                <w:szCs w:val="22"/>
              </w:rPr>
              <w:t>Платежного документа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lastRenderedPageBreak/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6558E5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540E6CE" w14:textId="77777777" w:rsidR="00C70E0E" w:rsidRPr="00C70E0E" w:rsidRDefault="00C70E0E" w:rsidP="00C70E0E">
      <w:pPr>
        <w:rPr>
          <w:lang w:val="en-US"/>
        </w:rPr>
      </w:pPr>
    </w:p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088F19A" w14:textId="1041201E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26142CD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="003A110E" w:rsidRPr="003A110E">
              <w:t>(</w:t>
            </w:r>
            <w:proofErr w:type="gramEnd"/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08A29B55" w14:textId="05BA119A" w:rsidR="00761294" w:rsidRDefault="00761294" w:rsidP="00761294">
      <w:pPr>
        <w:pStyle w:val="2"/>
        <w:rPr>
          <w:lang w:val="en-US"/>
        </w:rPr>
      </w:pPr>
      <w:r>
        <w:rPr>
          <w:lang w:val="en-US"/>
        </w:rPr>
        <w:t>Request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27BAE07F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AB7078" w14:textId="77777777" w:rsidR="00761294" w:rsidRPr="00D04662" w:rsidRDefault="00761294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A0669C8" w14:textId="77777777" w:rsidR="00761294" w:rsidRPr="00D04662" w:rsidRDefault="00761294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1514B7" w14:textId="77777777" w:rsidR="00761294" w:rsidRPr="00D04662" w:rsidRDefault="00761294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AC8A272" w14:textId="77777777" w:rsidR="00761294" w:rsidRPr="007B6587" w:rsidRDefault="00761294" w:rsidP="000C32E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E0CD3D2" w14:textId="77777777" w:rsidR="00761294" w:rsidRPr="007B6587" w:rsidRDefault="00761294" w:rsidP="000C32E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D26E20E" w14:textId="77777777" w:rsidR="00761294" w:rsidRPr="00D04662" w:rsidRDefault="00761294" w:rsidP="000C32EE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443CDCC4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1E76" w14:textId="52337D8A" w:rsidR="00761294" w:rsidRPr="00D04662" w:rsidRDefault="00761294" w:rsidP="000C32EE">
            <w:pPr>
              <w:spacing w:after="0" w:line="240" w:lineRule="auto"/>
              <w:ind w:firstLine="0"/>
            </w:pPr>
            <w:proofErr w:type="spellStart"/>
            <w:r w:rsidRPr="00761294">
              <w:t>Statuses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62CA" w14:textId="4EA4809C" w:rsidR="00761294" w:rsidRPr="00D04662" w:rsidRDefault="00761294" w:rsidP="000C32EE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Statuses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DBFD" w14:textId="77777777" w:rsidR="00761294" w:rsidRPr="00D04662" w:rsidRDefault="00761294" w:rsidP="000C32E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5572" w14:textId="17E6CC0C" w:rsidR="00761294" w:rsidRPr="00D04662" w:rsidRDefault="00761294" w:rsidP="000C32EE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14:paraId="70BA0E72" w14:textId="10E756CF" w:rsidR="00761294" w:rsidRDefault="00761294" w:rsidP="00761294">
      <w:pPr>
        <w:pStyle w:val="2"/>
        <w:rPr>
          <w:lang w:val="en-US"/>
        </w:rPr>
      </w:pPr>
      <w:r w:rsidRPr="00761294">
        <w:rPr>
          <w:lang w:val="en-US"/>
        </w:rPr>
        <w:t>Statuses</w:t>
      </w:r>
    </w:p>
    <w:tbl>
      <w:tblPr>
        <w:tblpPr w:leftFromText="180" w:rightFromText="180" w:vertAnchor="text" w:tblpX="-142" w:tblpY="1"/>
        <w:tblOverlap w:val="never"/>
        <w:tblW w:w="949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309CDEC1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C9246D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72A90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789C4C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D10DC1C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AD90978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34D1EA1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7009D5B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6AE8" w14:textId="77777777" w:rsidR="00761294" w:rsidRPr="00D04662" w:rsidRDefault="00761294" w:rsidP="00BD2751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031F" w14:textId="39E7D08E" w:rsidR="00761294" w:rsidRPr="00D04662" w:rsidRDefault="00761294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Order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8FB" w14:textId="77777777" w:rsidR="00761294" w:rsidRPr="00D04662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9486" w14:textId="3898DFA9" w:rsidR="00761294" w:rsidRPr="00D04662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t>Информация о документе</w:t>
            </w:r>
          </w:p>
        </w:tc>
      </w:tr>
      <w:tr w:rsidR="00761294" w:rsidRPr="007B6587" w14:paraId="4681E3CF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6D48" w14:textId="3664AA24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30DC" w14:textId="4FEF6D91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942" w14:textId="77777777" w:rsidR="00761294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B1CE" w14:textId="7223B25D" w:rsidR="00761294" w:rsidRPr="00761294" w:rsidRDefault="00761294" w:rsidP="00BD2751">
            <w:pPr>
              <w:spacing w:after="0" w:line="240" w:lineRule="auto"/>
              <w:ind w:firstLine="0"/>
            </w:pPr>
            <w:r>
              <w:t>Дата смены статуса</w:t>
            </w:r>
          </w:p>
        </w:tc>
      </w:tr>
      <w:tr w:rsidR="00BD2751" w:rsidRPr="007B6587" w14:paraId="4B9DEF0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61D" w14:textId="72605E3F" w:rsidR="00BD2751" w:rsidRPr="00761294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9F37" w14:textId="7B23B2C5" w:rsidR="00BD2751" w:rsidRPr="00BD2751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E22A" w14:textId="50F4FF02" w:rsidR="00BD2751" w:rsidRDefault="00BD2751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2F49" w14:textId="4E2CF7E9" w:rsidR="00BD2751" w:rsidRDefault="00BD2751" w:rsidP="00BD2751">
            <w:pPr>
              <w:spacing w:after="0" w:line="240" w:lineRule="auto"/>
              <w:ind w:firstLine="0"/>
            </w:pPr>
            <w:r>
              <w:t>ИД статуса (см прим)</w:t>
            </w:r>
          </w:p>
        </w:tc>
      </w:tr>
    </w:tbl>
    <w:p w14:paraId="0FC31117" w14:textId="763A47B0" w:rsidR="00BD2751" w:rsidRDefault="00BD2751" w:rsidP="00BD2751">
      <w:pPr>
        <w:pStyle w:val="2"/>
        <w:rPr>
          <w:lang w:val="en-US"/>
        </w:rPr>
      </w:pPr>
      <w:r>
        <w:rPr>
          <w:lang w:val="en-US"/>
        </w:rPr>
        <w:t>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BD2751" w:rsidRPr="00D04662" w14:paraId="4426668D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97353C4" w14:textId="77777777" w:rsidR="00BD2751" w:rsidRPr="00D04662" w:rsidRDefault="00BD2751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861756F" w14:textId="77777777" w:rsidR="00BD2751" w:rsidRPr="00D04662" w:rsidRDefault="00BD2751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DE302C8" w14:textId="77777777" w:rsidR="00BD2751" w:rsidRPr="00D04662" w:rsidRDefault="00BD2751" w:rsidP="000C32EE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8EE9C3C" w14:textId="77777777" w:rsidR="00BD2751" w:rsidRPr="007B6587" w:rsidRDefault="00BD2751" w:rsidP="000C32E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EC5ABA" w14:textId="77777777" w:rsidR="00BD2751" w:rsidRPr="007B6587" w:rsidRDefault="00BD2751" w:rsidP="000C32E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A615C80" w14:textId="77777777" w:rsidR="00BD2751" w:rsidRPr="00D04662" w:rsidRDefault="00BD2751" w:rsidP="000C32EE">
            <w:pPr>
              <w:spacing w:after="0" w:line="240" w:lineRule="auto"/>
              <w:ind w:firstLine="0"/>
              <w:jc w:val="center"/>
            </w:pPr>
          </w:p>
        </w:tc>
      </w:tr>
      <w:tr w:rsidR="00BD2751" w:rsidRPr="00D04662" w14:paraId="530776C3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1714" w14:textId="689A7E42" w:rsidR="00BD2751" w:rsidRPr="00D04662" w:rsidRDefault="00BD2751" w:rsidP="000C32EE">
            <w:pPr>
              <w:spacing w:after="0" w:line="240" w:lineRule="auto"/>
              <w:ind w:firstLine="0"/>
            </w:pPr>
            <w:proofErr w:type="spellStart"/>
            <w:r w:rsidRPr="00BD2751">
              <w:t>OrderID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44C" w14:textId="0919C933" w:rsidR="00BD2751" w:rsidRPr="00D04662" w:rsidRDefault="00BD2751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</w:t>
            </w:r>
            <w:r>
              <w:rPr>
                <w:szCs w:val="20"/>
                <w:lang w:val="en-US"/>
              </w:rPr>
              <w:t>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D3FD" w14:textId="77777777" w:rsidR="00BD2751" w:rsidRPr="00D04662" w:rsidRDefault="00BD2751" w:rsidP="000C32E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7ED4" w14:textId="03CD0998" w:rsidR="00BD2751" w:rsidRPr="00BD2751" w:rsidRDefault="00BD2751" w:rsidP="000C32EE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</w:t>
            </w:r>
          </w:p>
        </w:tc>
      </w:tr>
      <w:tr w:rsidR="00BD2751" w:rsidRPr="00D04662" w14:paraId="35FB9EDA" w14:textId="77777777" w:rsidTr="000C32EE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72A8" w14:textId="184A16C7" w:rsidR="00BD2751" w:rsidRPr="00BD2751" w:rsidRDefault="00BD2751" w:rsidP="000C32EE">
            <w:pPr>
              <w:spacing w:after="0" w:line="240" w:lineRule="auto"/>
              <w:ind w:firstLine="0"/>
            </w:pPr>
            <w:proofErr w:type="spellStart"/>
            <w:r w:rsidRPr="00BD2751">
              <w:t>DocTypeID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8540" w14:textId="6D588198" w:rsidR="00BD2751" w:rsidRPr="00761294" w:rsidRDefault="00BD2751" w:rsidP="00BD2751">
            <w:pPr>
              <w:spacing w:after="0" w:line="240" w:lineRule="auto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983" w14:textId="777091FC" w:rsidR="00BD2751" w:rsidRPr="00BD2751" w:rsidRDefault="00BD2751" w:rsidP="000C32EE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5160" w14:textId="349D74CC" w:rsidR="00BD2751" w:rsidRPr="00BD2751" w:rsidRDefault="00BD2751" w:rsidP="000C32EE">
            <w:pPr>
              <w:spacing w:after="0" w:line="240" w:lineRule="auto"/>
              <w:ind w:firstLine="0"/>
            </w:pPr>
            <w:r>
              <w:t>Тип документа</w:t>
            </w:r>
          </w:p>
        </w:tc>
      </w:tr>
    </w:tbl>
    <w:p w14:paraId="000D49FB" w14:textId="238E3ADC" w:rsidR="00761294" w:rsidRDefault="00BD2751" w:rsidP="00761294">
      <w:pPr>
        <w:ind w:firstLine="0"/>
        <w:rPr>
          <w:lang w:val="en-US"/>
        </w:rPr>
      </w:pPr>
      <w:r>
        <w:rPr>
          <w:lang w:val="en-US"/>
        </w:rPr>
        <w:br w:type="textWrapping" w:clear="all"/>
      </w:r>
    </w:p>
    <w:p w14:paraId="6A95891D" w14:textId="77777777" w:rsidR="00761294" w:rsidRPr="00761294" w:rsidRDefault="00761294" w:rsidP="00761294">
      <w:pPr>
        <w:ind w:firstLine="0"/>
        <w:rPr>
          <w:lang w:val="en-US"/>
        </w:rPr>
      </w:pPr>
      <w:bookmarkStart w:id="14" w:name="_GoBack"/>
      <w:bookmarkEnd w:id="14"/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8C5990">
        <w:trPr>
          <w:trHeight w:val="420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6558E5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6558E5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6558E5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6558E5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77777777" w:rsidR="003A110E" w:rsidRDefault="003A110E" w:rsidP="001229F6">
            <w:pPr>
              <w:ind w:firstLine="0"/>
            </w:pPr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12F9BD52" w:rsidR="008C5990" w:rsidRDefault="006558E5" w:rsidP="001229F6">
      <w:pPr>
        <w:ind w:firstLine="0"/>
      </w:pPr>
      <w:r>
        <w:t>Статусы Реализации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6B74535E" w14:textId="77777777" w:rsidTr="006558E5">
        <w:tc>
          <w:tcPr>
            <w:tcW w:w="1413" w:type="dxa"/>
          </w:tcPr>
          <w:p w14:paraId="1EDAF5C5" w14:textId="39C64F6D" w:rsidR="006558E5" w:rsidRDefault="006558E5" w:rsidP="001229F6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11354DE" w14:textId="6273052B" w:rsidR="006558E5" w:rsidRDefault="006558E5" w:rsidP="001229F6">
            <w:pPr>
              <w:ind w:firstLine="0"/>
            </w:pPr>
            <w:r>
              <w:t>Реализовано</w:t>
            </w:r>
          </w:p>
        </w:tc>
        <w:tc>
          <w:tcPr>
            <w:tcW w:w="3115" w:type="dxa"/>
          </w:tcPr>
          <w:p w14:paraId="6DAB9B5E" w14:textId="1BF95171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перешло</w:t>
            </w:r>
          </w:p>
        </w:tc>
      </w:tr>
      <w:tr w:rsidR="006558E5" w14:paraId="322B14B6" w14:textId="77777777" w:rsidTr="006558E5">
        <w:tc>
          <w:tcPr>
            <w:tcW w:w="1413" w:type="dxa"/>
          </w:tcPr>
          <w:p w14:paraId="68AF1E7A" w14:textId="07E1E31D" w:rsidR="006558E5" w:rsidRDefault="006558E5" w:rsidP="001229F6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21312CBA" w14:textId="4395BCA6" w:rsidR="006558E5" w:rsidRDefault="006558E5" w:rsidP="001229F6">
            <w:pPr>
              <w:ind w:firstLine="0"/>
            </w:pPr>
            <w:r>
              <w:t>В ПУТИ</w:t>
            </w:r>
          </w:p>
        </w:tc>
        <w:tc>
          <w:tcPr>
            <w:tcW w:w="3115" w:type="dxa"/>
          </w:tcPr>
          <w:p w14:paraId="768D9F74" w14:textId="719A2CCB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еще не перешло</w:t>
            </w:r>
          </w:p>
        </w:tc>
      </w:tr>
    </w:tbl>
    <w:p w14:paraId="5CCBD6BB" w14:textId="77777777" w:rsidR="006558E5" w:rsidRDefault="006558E5" w:rsidP="001229F6">
      <w:pPr>
        <w:ind w:firstLine="0"/>
      </w:pPr>
    </w:p>
    <w:p w14:paraId="46B62E52" w14:textId="1BD01193" w:rsidR="006558E5" w:rsidRDefault="006558E5" w:rsidP="001229F6">
      <w:pPr>
        <w:ind w:firstLine="0"/>
      </w:pPr>
      <w:r>
        <w:t>Вид Корректировки Реализации (Возврат товара Юр лица)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389A7453" w14:textId="77777777" w:rsidTr="006558E5">
        <w:tc>
          <w:tcPr>
            <w:tcW w:w="1413" w:type="dxa"/>
          </w:tcPr>
          <w:p w14:paraId="3F2A58FD" w14:textId="72BB4911" w:rsidR="006558E5" w:rsidRDefault="006558E5" w:rsidP="006558E5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6A4B3BB" w14:textId="3C9672B4" w:rsidR="006558E5" w:rsidRDefault="006558E5" w:rsidP="006558E5">
            <w:pPr>
              <w:ind w:firstLine="0"/>
            </w:pPr>
            <w:r>
              <w:t>корректировка по соглашению сторон.</w:t>
            </w:r>
          </w:p>
        </w:tc>
        <w:tc>
          <w:tcPr>
            <w:tcW w:w="3115" w:type="dxa"/>
          </w:tcPr>
          <w:p w14:paraId="078FF443" w14:textId="77777777" w:rsidR="006558E5" w:rsidRDefault="006558E5" w:rsidP="001229F6">
            <w:pPr>
              <w:ind w:firstLine="0"/>
            </w:pPr>
          </w:p>
        </w:tc>
      </w:tr>
      <w:tr w:rsidR="006558E5" w14:paraId="13890D79" w14:textId="77777777" w:rsidTr="006558E5">
        <w:tc>
          <w:tcPr>
            <w:tcW w:w="1413" w:type="dxa"/>
          </w:tcPr>
          <w:p w14:paraId="186D60A8" w14:textId="15EEFDAD" w:rsidR="006558E5" w:rsidRDefault="006558E5" w:rsidP="006558E5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3721D1F7" w14:textId="23639441" w:rsidR="006558E5" w:rsidRDefault="006558E5" w:rsidP="006558E5">
            <w:pPr>
              <w:tabs>
                <w:tab w:val="left" w:pos="1440"/>
              </w:tabs>
              <w:ind w:firstLine="0"/>
            </w:pPr>
            <w:r>
              <w:t>возврат недопоставленного товара</w:t>
            </w:r>
          </w:p>
        </w:tc>
        <w:tc>
          <w:tcPr>
            <w:tcW w:w="3115" w:type="dxa"/>
          </w:tcPr>
          <w:p w14:paraId="2780CEC4" w14:textId="77777777" w:rsidR="006558E5" w:rsidRDefault="006558E5" w:rsidP="001229F6">
            <w:pPr>
              <w:ind w:firstLine="0"/>
            </w:pPr>
          </w:p>
        </w:tc>
      </w:tr>
    </w:tbl>
    <w:p w14:paraId="183EE389" w14:textId="77777777" w:rsidR="006558E5" w:rsidRDefault="006558E5" w:rsidP="001229F6">
      <w:pPr>
        <w:ind w:firstLine="0"/>
      </w:pPr>
    </w:p>
    <w:p w14:paraId="561BEA90" w14:textId="77777777" w:rsidR="006558E5" w:rsidRDefault="006558E5" w:rsidP="001229F6">
      <w:pPr>
        <w:ind w:firstLine="0"/>
      </w:pPr>
    </w:p>
    <w:sectPr w:rsidR="0065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3A110E"/>
    <w:rsid w:val="00446484"/>
    <w:rsid w:val="005935C1"/>
    <w:rsid w:val="005B300E"/>
    <w:rsid w:val="005B45D2"/>
    <w:rsid w:val="005F5396"/>
    <w:rsid w:val="006510C4"/>
    <w:rsid w:val="006558E5"/>
    <w:rsid w:val="00685618"/>
    <w:rsid w:val="007525AD"/>
    <w:rsid w:val="00757911"/>
    <w:rsid w:val="00761294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BD2751"/>
    <w:rsid w:val="00C70E0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13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17</cp:revision>
  <dcterms:created xsi:type="dcterms:W3CDTF">2023-02-10T06:35:00Z</dcterms:created>
  <dcterms:modified xsi:type="dcterms:W3CDTF">2023-07-13T09:50:00Z</dcterms:modified>
</cp:coreProperties>
</file>