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300"/>
      </w:pPr>
      <w:r>
        <w:rPr>
          <w:b/>
          <w:bCs/>
          <w:sz w:val="44"/>
          <w:szCs w:val="44"/>
        </w:rPr>
        <w:t xml:space="preserve">Orbital Compute Cyber-Physical Threat Model</w:t>
      </w:r>
    </w:p>
    <w:p>
      <w:pPr>
        <w:spacing w:after="240"/>
      </w:pPr>
      <w:r>
        <w:rPr>
          <w:color w:val="595959"/>
          <w:sz w:val="26"/>
          <w:szCs w:val="26"/>
        </w:rPr>
        <w:t xml:space="preserve">SPARTA-Based Risk Engineering and Assurance Documentation</w:t>
      </w:r>
    </w:p>
    <w:p>
      <w:pPr>
        <w:pBdr>
          <w:top w:val="single" w:color="B3541E" w:sz="12" w:space="6"/>
        </w:pBdr>
        <w:spacing w:after="200"/>
      </w:pPr>
    </w:p>
    <w:p>
      <w:pPr>
        <w:spacing w:after="60"/>
      </w:pPr>
      <w:r>
        <w:t>Version 0.4.4 — Safety Framing and Numerical Validation Baseline</w:t>
      </w:r>
    </w:p>
    <w:p>
      <w:pPr>
        <w:spacing w:after="120" w:line="276"/>
      </w:pPr>
      <w:r>
        <w:rPr>
          <w:sz w:val="22"/>
          <w:szCs w:val="22"/>
        </w:rPr>
        <w:t xml:space="preserve">Kernel Guard / Eren Arı</w:t>
      </w:r>
    </w:p>
    <w:p>
      <w:pPr>
        <w:spacing w:after="120" w:line="276"/>
      </w:pPr>
      <w:r>
        <w:rPr>
          <w:color w:val="595959"/>
          <w:sz w:val="22"/>
          <w:szCs w:val="22"/>
        </w:rPr>
        <w:t>8 August 2026</w:t>
      </w:r>
    </w:p>
    <w:p>
      <w:pPr>
        <w:spacing w:after="280"/>
      </w:pPr>
    </w:p>
    <w:p>
      <w:pPr>
        <w:pBdr>
          <w:top w:val="single" w:color="FDF2F2" w:sz="2" w:space="8"/>
          <w:bottom w:val="single" w:color="FDF2F2" w:sz="2" w:space="8"/>
          <w:left w:val="single" w:color="9B2226" w:sz="18" w:space="10"/>
          <w:right w:val="single" w:color="FDF2F2" w:sz="2" w:space="8"/>
        </w:pBdr>
        <w:shd w:fill="FDF2F2" w:val="clear"/>
        <w:spacing w:after="160" w:before="140" w:line="276"/>
        <w:ind w:left="120" w:right="120"/>
      </w:pPr>
      <w:r>
        <w:t>Version 0.4.4 reframes the retained timing-to-temperature result as a thermal-safety/resource-control coupling rather than an intrinsically adversarial effect; corrects the sensitivity-case accounting; decomposes the observed sensitivity range by parameter class; replaces the stochastic timestep check with a true fixed-forcing numerical-convergence experiment; makes QA provenance explicit; and strengthens release-distribution integrity. Earlier v0.4-series releases remain superseded or withdrawn as recorded in Section 1.</w:t>
      </w:r>
    </w:p>
    <w:p>
      <w:pPr>
        <w:spacing w:after="120"/>
      </w:pPr>
    </w:p>
    <w:p>
      <w:pPr>
        <w:spacing w:after="120" w:line="276"/>
      </w:pPr>
      <w:r>
        <w:t>TSM-01 supports one primary mechanism claim, now stated as a safety finding before it is interpreted as a security scenario:</w:t>
      </w:r>
    </w:p>
    <w:p>
      <w:pPr>
        <w:pBdr>
          <w:top w:val="single" w:color="F4F6F8" w:sz="2" w:space="8"/>
          <w:bottom w:val="single" w:color="F4F6F8" w:sz="2" w:space="8"/>
          <w:left w:val="single" w:color="1F4E79" w:sz="18" w:space="10"/>
          <w:right w:val="single" w:color="F4F6F8" w:sz="2" w:space="8"/>
        </w:pBdr>
        <w:shd w:fill="F4F6F8" w:val="clear"/>
        <w:spacing w:after="160" w:before="140" w:line="276"/>
        <w:ind w:left="120" w:right="120"/>
      </w:pPr>
      <w:r>
        <w:t>Under TSM-01's stated assumptions, compute traces matched to the same sampled post-warmup orbit-average power can yield materially different modelled peak thermal states when workload timing couples to a time-varying orbital thermal environment. A separately generated non-malicious synthetic power-aware schedule reproduces 84.0 % of the full phase-shaped excursion. Cumulative energy accounting alone is therefore not sufficient evidence of thermal safety in this model; adversarial timing is one possible exploitation of an underlying resource-safety coupling.</w:t>
      </w:r>
    </w:p>
    <w:p>
      <w:r>
        <w:br w:type="page"/>
      </w:r>
    </w:p>
    <w:p>
      <w:pPr>
        <w:pStyle w:val="Heading1"/>
      </w:pPr>
      <w:r>
        <w:t xml:space="preserve">Contents</w:t>
      </w:r>
    </w:p>
    <w:p>
      <w:pPr>
        <w:spacing w:after="80"/>
      </w:pPr>
      <w:r>
        <w:rPr>
          <w:b/>
          <w:bCs/>
          <w:color w:val="B3541E"/>
          <w:sz w:val="20"/>
          <w:szCs w:val="20"/>
        </w:rPr>
        <w:t xml:space="preserve">1  </w:t>
      </w:r>
      <w:r>
        <w:rPr>
          <w:sz w:val="20"/>
          <w:szCs w:val="20"/>
        </w:rPr>
        <w:t xml:space="preserve">Document Control</w:t>
      </w:r>
    </w:p>
    <w:p>
      <w:pPr>
        <w:spacing w:after="80"/>
      </w:pPr>
      <w:r>
        <w:rPr>
          <w:b/>
          <w:bCs/>
          <w:color w:val="B3541E"/>
          <w:sz w:val="20"/>
          <w:szCs w:val="20"/>
        </w:rPr>
        <w:t xml:space="preserve">2  </w:t>
      </w:r>
      <w:r>
        <w:rPr>
          <w:sz w:val="20"/>
          <w:szCs w:val="20"/>
        </w:rPr>
        <w:t xml:space="preserve">Executive Summary</w:t>
      </w:r>
    </w:p>
    <w:p>
      <w:pPr>
        <w:spacing w:after="80"/>
      </w:pPr>
      <w:r>
        <w:rPr>
          <w:b/>
          <w:bCs/>
          <w:color w:val="B3541E"/>
          <w:sz w:val="20"/>
          <w:szCs w:val="20"/>
        </w:rPr>
        <w:t xml:space="preserve">3  </w:t>
      </w:r>
      <w:r>
        <w:rPr>
          <w:sz w:val="20"/>
          <w:szCs w:val="20"/>
        </w:rPr>
        <w:t xml:space="preserve">Findings from Model TSM-01</w:t>
      </w:r>
    </w:p>
    <w:p>
      <w:pPr>
        <w:spacing w:after="80"/>
      </w:pPr>
      <w:r>
        <w:rPr>
          <w:b/>
          <w:bCs/>
          <w:color w:val="B3541E"/>
          <w:sz w:val="20"/>
          <w:szCs w:val="20"/>
        </w:rPr>
        <w:t xml:space="preserve">4  </w:t>
      </w:r>
      <w:r>
        <w:rPr>
          <w:sz w:val="20"/>
          <w:szCs w:val="20"/>
        </w:rPr>
        <w:t xml:space="preserve">Threat-Modelling and SPARTA/NRS Method</w:t>
      </w:r>
    </w:p>
    <w:p>
      <w:pPr>
        <w:spacing w:after="80"/>
      </w:pPr>
      <w:r>
        <w:rPr>
          <w:b/>
          <w:bCs/>
          <w:color w:val="B3541E"/>
          <w:sz w:val="20"/>
          <w:szCs w:val="20"/>
        </w:rPr>
        <w:t xml:space="preserve">5  </w:t>
      </w:r>
      <w:r>
        <w:rPr>
          <w:sz w:val="20"/>
          <w:szCs w:val="20"/>
        </w:rPr>
        <w:t xml:space="preserve">Scenarios</w:t>
      </w:r>
    </w:p>
    <w:p>
      <w:pPr>
        <w:spacing w:after="80"/>
      </w:pPr>
      <w:r>
        <w:rPr>
          <w:b/>
          <w:bCs/>
          <w:color w:val="B3541E"/>
          <w:sz w:val="20"/>
          <w:szCs w:val="20"/>
        </w:rPr>
        <w:t xml:space="preserve">6  </w:t>
      </w:r>
      <w:r>
        <w:rPr>
          <w:sz w:val="20"/>
          <w:szCs w:val="20"/>
        </w:rPr>
        <w:t xml:space="preserve">Prioritised Risk Register</w:t>
      </w:r>
    </w:p>
    <w:p>
      <w:pPr>
        <w:spacing w:after="80"/>
      </w:pPr>
      <w:r>
        <w:rPr>
          <w:b/>
          <w:bCs/>
          <w:color w:val="B3541E"/>
          <w:sz w:val="20"/>
          <w:szCs w:val="20"/>
        </w:rPr>
        <w:t xml:space="preserve">7  </w:t>
      </w:r>
      <w:r>
        <w:rPr>
          <w:sz w:val="20"/>
          <w:szCs w:val="20"/>
        </w:rPr>
        <w:t xml:space="preserve">Requirements</w:t>
      </w:r>
    </w:p>
    <w:p>
      <w:pPr>
        <w:spacing w:after="80"/>
      </w:pPr>
      <w:r>
        <w:rPr>
          <w:b/>
          <w:bCs/>
          <w:color w:val="B3541E"/>
          <w:sz w:val="20"/>
          <w:szCs w:val="20"/>
        </w:rPr>
        <w:t xml:space="preserve">8  </w:t>
      </w:r>
      <w:r>
        <w:rPr>
          <w:sz w:val="20"/>
          <w:szCs w:val="20"/>
        </w:rPr>
        <w:t xml:space="preserve">Open Actions</w:t>
      </w:r>
    </w:p>
    <w:p>
      <w:pPr>
        <w:spacing w:after="80"/>
      </w:pPr>
      <w:r>
        <w:rPr>
          <w:b/>
          <w:bCs/>
          <w:color w:val="B3541E"/>
          <w:sz w:val="20"/>
          <w:szCs w:val="20"/>
        </w:rPr>
        <w:t xml:space="preserve">9  </w:t>
      </w:r>
      <w:r>
        <w:rPr>
          <w:sz w:val="20"/>
          <w:szCs w:val="20"/>
        </w:rPr>
        <w:t xml:space="preserve">Assumption Register</w:t>
      </w:r>
    </w:p>
    <w:p>
      <w:pPr>
        <w:spacing w:after="80"/>
      </w:pPr>
      <w:r>
        <w:rPr>
          <w:b/>
          <w:bCs/>
          <w:color w:val="B3541E"/>
          <w:sz w:val="20"/>
          <w:szCs w:val="20"/>
        </w:rPr>
        <w:t xml:space="preserve">A  </w:t>
      </w:r>
      <w:r>
        <w:rPr>
          <w:sz w:val="20"/>
          <w:szCs w:val="20"/>
        </w:rPr>
        <w:t xml:space="preserve">TSM-01 Parameters, Provenance and Uncertainty</w:t>
      </w:r>
    </w:p>
    <w:p>
      <w:pPr>
        <w:spacing w:after="80"/>
      </w:pPr>
      <w:r>
        <w:rPr>
          <w:b/>
          <w:bCs/>
          <w:color w:val="B3541E"/>
          <w:sz w:val="20"/>
          <w:szCs w:val="20"/>
        </w:rPr>
        <w:t xml:space="preserve">B  </w:t>
      </w:r>
      <w:r>
        <w:rPr>
          <w:sz w:val="20"/>
          <w:szCs w:val="20"/>
        </w:rPr>
        <w:t xml:space="preserve">Documentation Practice</w:t>
      </w:r>
    </w:p>
    <w:p>
      <w:pPr>
        <w:spacing w:after="80"/>
      </w:pPr>
      <w:r>
        <w:rPr>
          <w:b/>
          <w:bCs/>
          <w:color w:val="B3541E"/>
          <w:sz w:val="20"/>
          <w:szCs w:val="20"/>
        </w:rPr>
        <w:t xml:space="preserve">C  </w:t>
      </w:r>
      <w:r>
        <w:rPr>
          <w:sz w:val="20"/>
          <w:szCs w:val="20"/>
        </w:rPr>
        <w:t xml:space="preserve">Source Register</w:t>
      </w:r>
    </w:p>
    <w:p>
      <w:pPr>
        <w:spacing w:after="60" w:line="276"/>
      </w:pPr>
      <w:r>
        <w:rPr>
          <w:color w:val="595959"/>
          <w:sz w:val="18"/>
          <w:szCs w:val="18"/>
        </w:rPr>
        <w:t xml:space="preserve">Section numbering is stable across revisions; page numbers appear in the footer.</w:t>
      </w:r>
    </w:p>
    <w:p>
      <w:r>
        <w:br w:type="page"/>
      </w:r>
    </w:p>
    <w:p>
      <w:pPr>
        <w:pStyle w:val="Heading1"/>
      </w:pPr>
      <w:r>
        <w:t xml:space="preserve">1  Document Control</w:t>
      </w:r>
    </w:p>
    <w:p>
      <w:pPr>
        <w:pStyle w:val="Heading2"/>
      </w:pPr>
      <w:r>
        <w:t xml:space="preserve">1.1  Revision History</w:t>
      </w:r>
    </w:p>
    <w:tbl>
      <w:tblPr>
        <w:tblW w:type="dxa" w:w="9026"/>
        <w:jc w:val="center"/>
        <w:tblBorders>
          <w:top w:val="single" w:color="AAAAAA" w:sz="4"/>
          <w:left w:val="single" w:color="AAAAAA" w:sz="4"/>
          <w:bottom w:val="single" w:color="AAAAAA" w:sz="4"/>
          <w:right w:val="single" w:color="AAAAAA" w:sz="4"/>
          <w:insideH w:val="single" w:color="CCCCCC" w:sz="2"/>
          <w:insideV w:val="single" w:color="CCCCCC" w:sz="2"/>
        </w:tblBorders>
        <w:tblLayout w:type="fixed"/>
      </w:tblPr>
      <w:tblGrid>
        <w:gridCol w:w="812"/>
        <w:gridCol w:w="993"/>
        <w:gridCol w:w="5596"/>
        <w:gridCol w:w="1625"/>
      </w:tblGrid>
      <w:tr>
        <w:trPr>
          <w:tblHeader/>
          <w:tblHeader w:val="true"/>
        </w:trPr>
        <w:tc>
          <w:tcPr>
            <w:tcW w:type="dxa" w:w="812"/>
            <w:shd w:fill="17365D" w:val="clear"/>
            <w:tcMar>
              <w:top w:type="dxa" w:w="50"/>
              <w:left w:type="dxa" w:w="90"/>
              <w:bottom w:type="dxa" w:w="50"/>
              <w:right w:type="dxa" w:w="90"/>
              <w:start w:w="75" w:type="dxa"/>
              <w:end w:w="75" w:type="dxa"/>
            </w:tcMar>
          </w:tcPr>
          <w:p>
            <w:pPr>
              <w:spacing w:after="20" w:line="250"/>
            </w:pPr>
            <w:r>
              <w:rPr>
                <w:b/>
                <w:bCs/>
                <w:color w:val="FFFFFF"/>
                <w:sz w:val="17"/>
                <w:szCs w:val="17"/>
              </w:rPr>
              <w:t xml:space="preserve">Version</w:t>
            </w:r>
          </w:p>
        </w:tc>
        <w:tc>
          <w:tcPr>
            <w:tcW w:type="dxa" w:w="993"/>
            <w:shd w:fill="17365D" w:val="clear"/>
            <w:tcMar>
              <w:top w:type="dxa" w:w="50"/>
              <w:left w:type="dxa" w:w="90"/>
              <w:bottom w:type="dxa" w:w="50"/>
              <w:right w:type="dxa" w:w="90"/>
              <w:start w:w="75" w:type="dxa"/>
              <w:end w:w="75" w:type="dxa"/>
            </w:tcMar>
          </w:tcPr>
          <w:p>
            <w:pPr>
              <w:spacing w:after="20" w:line="250"/>
            </w:pPr>
            <w:r>
              <w:rPr>
                <w:b/>
                <w:bCs/>
                <w:color w:val="FFFFFF"/>
                <w:sz w:val="17"/>
                <w:szCs w:val="17"/>
              </w:rPr>
              <w:t xml:space="preserve">Date</w:t>
            </w:r>
          </w:p>
        </w:tc>
        <w:tc>
          <w:tcPr>
            <w:tcW w:type="dxa" w:w="5596"/>
            <w:shd w:fill="17365D" w:val="clear"/>
            <w:tcMar>
              <w:top w:type="dxa" w:w="50"/>
              <w:left w:type="dxa" w:w="90"/>
              <w:bottom w:type="dxa" w:w="50"/>
              <w:right w:type="dxa" w:w="90"/>
              <w:start w:w="75" w:type="dxa"/>
              <w:end w:w="75" w:type="dxa"/>
            </w:tcMar>
          </w:tcPr>
          <w:p>
            <w:pPr>
              <w:spacing w:after="20" w:line="250"/>
            </w:pPr>
            <w:r>
              <w:rPr>
                <w:b/>
                <w:bCs/>
                <w:color w:val="FFFFFF"/>
                <w:sz w:val="17"/>
                <w:szCs w:val="17"/>
              </w:rPr>
              <w:t xml:space="preserve">Change</w:t>
            </w:r>
          </w:p>
        </w:tc>
        <w:tc>
          <w:tcPr>
            <w:tcW w:type="dxa" w:w="1625"/>
            <w:shd w:fill="17365D" w:val="clear"/>
            <w:tcMar>
              <w:top w:type="dxa" w:w="50"/>
              <w:left w:type="dxa" w:w="90"/>
              <w:bottom w:type="dxa" w:w="50"/>
              <w:right w:type="dxa" w:w="90"/>
              <w:start w:w="75" w:type="dxa"/>
              <w:end w:w="75" w:type="dxa"/>
            </w:tcMar>
          </w:tcPr>
          <w:p>
            <w:pPr>
              <w:spacing w:after="20" w:line="250"/>
            </w:pPr>
            <w:r>
              <w:rPr>
                <w:b/>
                <w:bCs/>
                <w:color w:val="FFFFFF"/>
                <w:sz w:val="17"/>
                <w:szCs w:val="17"/>
              </w:rPr>
              <w:t xml:space="preserve">Status</w:t>
            </w:r>
          </w:p>
        </w:tc>
      </w:tr>
      <w:tr>
        <w:tc>
          <w:tcPr>
            <w:tcW w:type="dxa" w:w="812"/>
            <w:tcMar>
              <w:top w:type="dxa" w:w="50"/>
              <w:left w:type="dxa" w:w="90"/>
              <w:bottom w:type="dxa" w:w="50"/>
              <w:right w:type="dxa" w:w="90"/>
              <w:start w:w="75" w:type="dxa"/>
              <w:end w:w="75" w:type="dxa"/>
            </w:tcMar>
          </w:tcPr>
          <w:p>
            <w:pPr>
              <w:spacing w:after="20" w:line="250"/>
            </w:pPr>
            <w:r>
              <w:rPr>
                <w:sz w:val="17"/>
                <w:szCs w:val="17"/>
              </w:rPr>
              <w:t xml:space="preserve">0.3.1</w:t>
            </w:r>
          </w:p>
        </w:tc>
        <w:tc>
          <w:tcPr>
            <w:tcW w:type="dxa" w:w="993"/>
            <w:tcMar>
              <w:top w:type="dxa" w:w="50"/>
              <w:left w:type="dxa" w:w="90"/>
              <w:bottom w:type="dxa" w:w="50"/>
              <w:right w:type="dxa" w:w="90"/>
              <w:start w:w="75" w:type="dxa"/>
              <w:end w:w="75" w:type="dxa"/>
            </w:tcMar>
          </w:tcPr>
          <w:p>
            <w:pPr>
              <w:spacing w:after="20" w:line="250"/>
            </w:pPr>
            <w:r>
              <w:rPr>
                <w:sz w:val="17"/>
                <w:szCs w:val="17"/>
              </w:rPr>
              <w:t xml:space="preserve">7 Aug 2026</w:t>
            </w:r>
          </w:p>
        </w:tc>
        <w:tc>
          <w:tcPr>
            <w:tcW w:type="dxa" w:w="5596"/>
            <w:tcMar>
              <w:top w:type="dxa" w:w="50"/>
              <w:left w:type="dxa" w:w="90"/>
              <w:bottom w:type="dxa" w:w="50"/>
              <w:right w:type="dxa" w:w="90"/>
              <w:start w:w="75" w:type="dxa"/>
              <w:end w:w="75" w:type="dxa"/>
            </w:tcMar>
          </w:tcPr>
          <w:p>
            <w:pPr>
              <w:spacing w:after="20" w:line="250"/>
            </w:pPr>
            <w:r>
              <w:rPr>
                <w:sz w:val="17"/>
                <w:szCs w:val="17"/>
              </w:rPr>
              <w:t xml:space="preserve">Vendor-independent restructuring; expert input incorporated as method, not finding.</w:t>
            </w:r>
          </w:p>
        </w:tc>
        <w:tc>
          <w:tcPr>
            <w:tcW w:type="dxa" w:w="1625"/>
            <w:tcMar>
              <w:top w:type="dxa" w:w="50"/>
              <w:left w:type="dxa" w:w="90"/>
              <w:bottom w:type="dxa" w:w="50"/>
              <w:right w:type="dxa" w:w="90"/>
              <w:start w:w="75" w:type="dxa"/>
              <w:end w:w="75" w:type="dxa"/>
            </w:tcMar>
          </w:tcPr>
          <w:p>
            <w:pPr>
              <w:spacing w:after="20" w:line="250"/>
            </w:pPr>
            <w:r>
              <w:rPr>
                <w:sz w:val="17"/>
                <w:szCs w:val="17"/>
              </w:rPr>
              <w:t xml:space="preserve">Superseded</w:t>
            </w:r>
          </w:p>
        </w:tc>
      </w:tr>
      <w:tr>
        <w:tc>
          <w:tcPr>
            <w:tcW w:type="dxa" w:w="812"/>
            <w:tcMar>
              <w:top w:type="dxa" w:w="50"/>
              <w:left w:type="dxa" w:w="90"/>
              <w:bottom w:type="dxa" w:w="50"/>
              <w:right w:type="dxa" w:w="90"/>
              <w:start w:w="75" w:type="dxa"/>
              <w:end w:w="75" w:type="dxa"/>
            </w:tcMar>
            <w:shd w:fill="EAF0F5"/>
          </w:tcPr>
          <w:p>
            <w:pPr>
              <w:spacing w:after="20" w:line="250"/>
            </w:pPr>
            <w:r>
              <w:rPr>
                <w:sz w:val="17"/>
                <w:szCs w:val="17"/>
              </w:rPr>
              <w:t xml:space="preserve">0.4</w:t>
            </w:r>
          </w:p>
        </w:tc>
        <w:tc>
          <w:tcPr>
            <w:tcW w:type="dxa" w:w="993"/>
            <w:tcMar>
              <w:top w:type="dxa" w:w="50"/>
              <w:left w:type="dxa" w:w="90"/>
              <w:bottom w:type="dxa" w:w="50"/>
              <w:right w:type="dxa" w:w="90"/>
              <w:start w:w="75" w:type="dxa"/>
              <w:end w:w="75" w:type="dxa"/>
            </w:tcMar>
            <w:shd w:fill="EAF0F5"/>
          </w:tcPr>
          <w:p>
            <w:pPr>
              <w:spacing w:after="20" w:line="250"/>
            </w:pPr>
            <w:r>
              <w:rPr>
                <w:sz w:val="17"/>
                <w:szCs w:val="17"/>
              </w:rPr>
              <w:t xml:space="preserve">7 Aug 2026</w:t>
            </w:r>
          </w:p>
        </w:tc>
        <w:tc>
          <w:tcPr>
            <w:tcW w:type="dxa" w:w="5596"/>
            <w:tcMar>
              <w:top w:type="dxa" w:w="50"/>
              <w:left w:type="dxa" w:w="90"/>
              <w:bottom w:type="dxa" w:w="50"/>
              <w:right w:type="dxa" w:w="90"/>
              <w:start w:w="75" w:type="dxa"/>
              <w:end w:w="75" w:type="dxa"/>
            </w:tcMar>
            <w:shd w:fill="EAF0F5"/>
          </w:tcPr>
          <w:p>
            <w:pPr>
              <w:spacing w:after="20" w:line="250"/>
            </w:pPr>
            <w:r>
              <w:rPr>
                <w:sz w:val="17"/>
                <w:szCs w:val="17"/>
              </w:rPr>
              <w:t xml:space="preserve">Model TSM-01 built and executed; six findings published.</w:t>
            </w:r>
          </w:p>
        </w:tc>
        <w:tc>
          <w:tcPr>
            <w:tcW w:type="dxa" w:w="1625"/>
            <w:tcMar>
              <w:top w:type="dxa" w:w="50"/>
              <w:left w:type="dxa" w:w="90"/>
              <w:bottom w:type="dxa" w:w="50"/>
              <w:right w:type="dxa" w:w="90"/>
              <w:start w:w="75" w:type="dxa"/>
              <w:end w:w="75" w:type="dxa"/>
            </w:tcMar>
            <w:shd w:fill="EAF0F5"/>
          </w:tcPr>
          <w:p>
            <w:pPr>
              <w:spacing w:after="20" w:line="250"/>
            </w:pPr>
            <w:r>
              <w:rPr>
                <w:sz w:val="17"/>
                <w:szCs w:val="17"/>
              </w:rPr>
              <w:t xml:space="preserve">Withdrawn — see 1.2</w:t>
            </w:r>
          </w:p>
        </w:tc>
      </w:tr>
      <w:tr>
        <w:tc>
          <w:tcPr>
            <w:tcW w:type="dxa" w:w="812"/>
            <w:tcMar>
              <w:top w:type="dxa" w:w="50"/>
              <w:left w:type="dxa" w:w="90"/>
              <w:bottom w:type="dxa" w:w="50"/>
              <w:right w:type="dxa" w:w="90"/>
              <w:start w:w="75" w:type="dxa"/>
              <w:end w:w="75" w:type="dxa"/>
            </w:tcMar>
          </w:tcPr>
          <w:p>
            <w:pPr>
              <w:spacing w:after="20" w:line="250"/>
            </w:pPr>
            <w:r>
              <w:rPr>
                <w:sz w:val="17"/>
                <w:szCs w:val="17"/>
              </w:rPr>
              <w:t xml:space="preserve">0.4.1</w:t>
            </w:r>
          </w:p>
        </w:tc>
        <w:tc>
          <w:tcPr>
            <w:tcW w:type="dxa" w:w="993"/>
            <w:tcMar>
              <w:top w:type="dxa" w:w="50"/>
              <w:left w:type="dxa" w:w="90"/>
              <w:bottom w:type="dxa" w:w="50"/>
              <w:right w:type="dxa" w:w="90"/>
              <w:start w:w="75" w:type="dxa"/>
              <w:end w:w="75" w:type="dxa"/>
            </w:tcMar>
          </w:tcPr>
          <w:p>
            <w:pPr>
              <w:spacing w:after="20" w:line="250"/>
            </w:pPr>
            <w:r>
              <w:rPr>
                <w:sz w:val="17"/>
                <w:szCs w:val="17"/>
              </w:rPr>
              <w:t xml:space="preserve">7 Aug 2026</w:t>
            </w:r>
          </w:p>
        </w:tc>
        <w:tc>
          <w:tcPr>
            <w:tcW w:type="dxa" w:w="5596"/>
            <w:tcMar>
              <w:top w:type="dxa" w:w="50"/>
              <w:left w:type="dxa" w:w="90"/>
              <w:bottom w:type="dxa" w:w="50"/>
              <w:right w:type="dxa" w:w="90"/>
              <w:start w:w="75" w:type="dxa"/>
              <w:end w:w="75" w:type="dxa"/>
            </w:tcMar>
          </w:tcPr>
          <w:p>
            <w:pPr>
              <w:spacing w:after="20" w:line="250"/>
            </w:pPr>
            <w:r>
              <w:rPr>
                <w:sz w:val="17"/>
                <w:szCs w:val="17"/>
              </w:rPr>
              <w:t xml:space="preserve">Four numbered findings retracted or replaced after audit. Corrective experiments X1–X3 added. Two code defects fixed.</w:t>
            </w:r>
          </w:p>
        </w:tc>
        <w:tc>
          <w:tcPr>
            <w:tcW w:type="dxa" w:w="1625"/>
            <w:tcMar>
              <w:top w:type="dxa" w:w="50"/>
              <w:left w:type="dxa" w:w="90"/>
              <w:bottom w:type="dxa" w:w="50"/>
              <w:right w:type="dxa" w:w="90"/>
              <w:start w:w="75" w:type="dxa"/>
              <w:end w:w="75" w:type="dxa"/>
            </w:tcMar>
          </w:tcPr>
          <w:p>
            <w:pPr>
              <w:spacing w:after="20" w:line="250"/>
            </w:pPr>
            <w:r>
              <w:rPr>
                <w:sz w:val="17"/>
                <w:szCs w:val="17"/>
              </w:rPr>
              <w:t xml:space="preserve">Superseded</w:t>
            </w:r>
          </w:p>
        </w:tc>
      </w:tr>
      <w:tr>
        <w:tc>
          <w:tcPr>
            <w:tcW w:type="dxa" w:w="812"/>
            <w:tcMar>
              <w:top w:type="dxa" w:w="50"/>
              <w:left w:type="dxa" w:w="90"/>
              <w:bottom w:type="dxa" w:w="50"/>
              <w:right w:type="dxa" w:w="90"/>
              <w:start w:w="75" w:type="dxa"/>
              <w:end w:w="75" w:type="dxa"/>
            </w:tcMar>
            <w:shd w:fill="EAF0F5"/>
          </w:tcPr>
          <w:p>
            <w:pPr>
              <w:spacing w:after="20" w:line="250"/>
            </w:pPr>
            <w:r>
              <w:rPr>
                <w:sz w:val="17"/>
                <w:szCs w:val="17"/>
              </w:rPr>
              <w:t>0.4.2</w:t>
            </w:r>
          </w:p>
        </w:tc>
        <w:tc>
          <w:tcPr>
            <w:tcW w:type="dxa" w:w="993"/>
            <w:tcMar>
              <w:top w:type="dxa" w:w="50"/>
              <w:left w:type="dxa" w:w="90"/>
              <w:bottom w:type="dxa" w:w="50"/>
              <w:right w:type="dxa" w:w="90"/>
              <w:start w:w="75" w:type="dxa"/>
              <w:end w:w="75" w:type="dxa"/>
            </w:tcMar>
            <w:shd w:fill="EAF0F5"/>
          </w:tcPr>
          <w:p>
            <w:pPr>
              <w:spacing w:after="20" w:line="250"/>
            </w:pPr>
            <w:r>
              <w:rPr>
                <w:sz w:val="17"/>
                <w:szCs w:val="17"/>
              </w:rPr>
              <w:t>7 Aug 2026</w:t>
            </w:r>
          </w:p>
        </w:tc>
        <w:tc>
          <w:tcPr>
            <w:tcW w:type="dxa" w:w="5596"/>
            <w:tcMar>
              <w:top w:type="dxa" w:w="50"/>
              <w:left w:type="dxa" w:w="90"/>
              <w:bottom w:type="dxa" w:w="50"/>
              <w:right w:type="dxa" w:w="90"/>
              <w:start w:w="75" w:type="dxa"/>
              <w:end w:w="75" w:type="dxa"/>
            </w:tcMar>
            <w:shd w:fill="EAF0F5"/>
          </w:tcPr>
          <w:p>
            <w:pPr>
              <w:spacing w:after="20" w:line="250"/>
            </w:pPr>
            <w:r>
              <w:rPr>
                <w:sz w:val="17"/>
                <w:szCs w:val="17"/>
              </w:rPr>
              <w:t>Second corrective audit; narrowed inference and improved figure/document reproducibility, but revision contamination and experiment-control defects remained.</w:t>
            </w:r>
          </w:p>
        </w:tc>
        <w:tc>
          <w:tcPr>
            <w:tcW w:type="dxa" w:w="1625"/>
            <w:tcMar>
              <w:top w:type="dxa" w:w="50"/>
              <w:left w:type="dxa" w:w="90"/>
              <w:bottom w:type="dxa" w:w="50"/>
              <w:right w:type="dxa" w:w="90"/>
              <w:start w:w="75" w:type="dxa"/>
              <w:end w:w="75" w:type="dxa"/>
            </w:tcMar>
            <w:shd w:fill="EAF0F5"/>
          </w:tcPr>
          <w:p>
            <w:pPr>
              <w:spacing w:after="20" w:line="250"/>
            </w:pPr>
            <w:r>
              <w:rPr>
                <w:sz w:val="17"/>
                <w:szCs w:val="17"/>
              </w:rPr>
              <w:t>Superseded</w:t>
            </w:r>
          </w:p>
        </w:tc>
      </w:tr>
      <w:tr>
        <w:tc>
          <w:tcPr>
            <w:tcW w:type="dxa" w:w="812"/>
            <w:tcMar>
              <w:top w:w="50" w:type="dxa"/>
              <w:start w:w="75" w:type="dxa"/>
              <w:bottom w:w="50" w:type="dxa"/>
              <w:end w:w="75" w:type="dxa"/>
            </w:tcMar>
          </w:tcPr>
          <w:p>
            <w:pPr>
              <w:spacing w:after="20" w:line="250"/>
            </w:pPr>
            <w:r>
              <w:rPr>
                <w:sz w:val="17"/>
                <w:szCs w:val="17"/>
              </w:rPr>
              <w:t>0.4.3</w:t>
            </w:r>
          </w:p>
        </w:tc>
        <w:tc>
          <w:tcPr>
            <w:tcW w:type="dxa" w:w="993"/>
            <w:tcMar>
              <w:top w:w="50" w:type="dxa"/>
              <w:start w:w="75" w:type="dxa"/>
              <w:bottom w:w="50" w:type="dxa"/>
              <w:end w:w="75" w:type="dxa"/>
            </w:tcMar>
          </w:tcPr>
          <w:p>
            <w:pPr>
              <w:spacing w:after="20" w:line="250"/>
            </w:pPr>
            <w:r>
              <w:rPr>
                <w:sz w:val="17"/>
                <w:szCs w:val="17"/>
              </w:rPr>
              <w:t>8 Aug 2026</w:t>
            </w:r>
          </w:p>
        </w:tc>
        <w:tc>
          <w:tcPr>
            <w:tcW w:type="dxa" w:w="5596"/>
            <w:tcMar>
              <w:top w:w="50" w:type="dxa"/>
              <w:start w:w="75" w:type="dxa"/>
              <w:bottom w:w="50" w:type="dxa"/>
              <w:end w:w="75" w:type="dxa"/>
            </w:tcMar>
          </w:tcPr>
          <w:p>
            <w:pPr>
              <w:spacing w:after="20" w:line="250"/>
            </w:pPr>
            <w:r>
              <w:rPr>
                <w:sz w:val="17"/>
                <w:szCs w:val="17"/>
              </w:rPr>
              <w:t>Single authoritative numerical pipeline/result file; legacy claim-generating scripts removed; hazard terminology normalised; controlled uncertainty calibration and period-relative warmup added; source register itemised; residual claims narrowed.</w:t>
            </w:r>
          </w:p>
        </w:tc>
        <w:tc>
          <w:tcPr>
            <w:tcW w:type="dxa" w:w="1625"/>
            <w:vAlign w:val="center"/>
            <w:tcMar>
              <w:top w:w="50" w:type="dxa"/>
              <w:start w:w="75" w:type="dxa"/>
              <w:bottom w:w="50" w:type="dxa"/>
              <w:end w:w="75" w:type="dxa"/>
            </w:tcMar>
          </w:tcPr>
          <w:p>
            <w:r/>
            <w:r>
              <w:rPr>
                <w:rFonts w:ascii="Aptos" w:hAnsi="Aptos"/>
                <w:b w:val="0"/>
                <w:sz w:val="16"/>
              </w:rPr>
              <w:t>Superseded</w:t>
            </w:r>
          </w:p>
        </w:tc>
      </w:tr>
      <w:tr>
        <w:tc>
          <w:tcPr>
            <w:tcW w:type="dxa" w:w="812"/>
            <w:vAlign w:val="center"/>
            <w:tcMar>
              <w:top w:w="50" w:type="dxa"/>
              <w:start w:w="75" w:type="dxa"/>
              <w:bottom w:w="50" w:type="dxa"/>
              <w:end w:w="75" w:type="dxa"/>
            </w:tcMar>
            <w:shd w:fill="EAF0F5"/>
          </w:tcPr>
          <w:p>
            <w:r/>
            <w:r>
              <w:rPr>
                <w:rFonts w:ascii="Aptos" w:hAnsi="Aptos"/>
                <w:b w:val="0"/>
                <w:sz w:val="14"/>
              </w:rPr>
              <w:t>0.4.4</w:t>
            </w:r>
          </w:p>
        </w:tc>
        <w:tc>
          <w:tcPr>
            <w:tcW w:type="dxa" w:w="993"/>
            <w:vAlign w:val="center"/>
            <w:tcMar>
              <w:top w:w="50" w:type="dxa"/>
              <w:start w:w="75" w:type="dxa"/>
              <w:bottom w:w="50" w:type="dxa"/>
              <w:end w:w="75" w:type="dxa"/>
            </w:tcMar>
            <w:shd w:fill="EAF0F5"/>
          </w:tcPr>
          <w:p>
            <w:r/>
            <w:r>
              <w:rPr>
                <w:rFonts w:ascii="Aptos" w:hAnsi="Aptos"/>
                <w:b w:val="0"/>
                <w:sz w:val="14"/>
              </w:rPr>
              <w:t>8 Aug 2026</w:t>
            </w:r>
          </w:p>
        </w:tc>
        <w:tc>
          <w:tcPr>
            <w:tcW w:type="dxa" w:w="5596"/>
            <w:vAlign w:val="center"/>
            <w:tcMar>
              <w:top w:w="50" w:type="dxa"/>
              <w:start w:w="75" w:type="dxa"/>
              <w:bottom w:w="50" w:type="dxa"/>
              <w:end w:w="75" w:type="dxa"/>
            </w:tcMar>
            <w:shd w:fill="EAF0F5"/>
          </w:tcPr>
          <w:p>
            <w:r/>
            <w:r>
              <w:rPr>
                <w:rFonts w:ascii="Aptos" w:hAnsi="Aptos"/>
                <w:b w:val="0"/>
                <w:sz w:val="14"/>
              </w:rPr>
              <w:t>Safety-first F-01 framing; sensitivity accounting and range-driver decomposition corrected; deterministic fixed-forcing convergence added; QA provenance and distribution-integrity rules made explicit; Turyshev order-of-magnitude corroboration elevated with limits.</w:t>
            </w:r>
          </w:p>
        </w:tc>
        <w:tc>
          <w:tcPr>
            <w:tcW w:type="dxa" w:w="1625"/>
            <w:vAlign w:val="center"/>
            <w:tcMar>
              <w:top w:w="50" w:type="dxa"/>
              <w:start w:w="75" w:type="dxa"/>
              <w:bottom w:w="50" w:type="dxa"/>
              <w:end w:w="75" w:type="dxa"/>
            </w:tcMar>
            <w:shd w:fill="EAF0F5"/>
          </w:tcPr>
          <w:p>
            <w:r/>
            <w:r>
              <w:rPr>
                <w:rFonts w:ascii="Aptos" w:hAnsi="Aptos"/>
                <w:b w:val="0"/>
                <w:sz w:val="14"/>
              </w:rPr>
              <w:t>Current</w:t>
            </w:r>
          </w:p>
        </w:tc>
      </w:tr>
    </w:tbl>
    <w:p>
      <w:pPr>
        <w:pStyle w:val="Heading2"/>
      </w:pPr>
      <w:r>
        <w:t xml:space="preserve">1.2  Retraction Record</w:t>
      </w:r>
    </w:p>
    <w:p>
      <w:pPr>
        <w:spacing w:after="120" w:line="276"/>
      </w:pPr>
      <w:r>
        <w:t>Findings were re-examined through AI-assisted technical audits and direct project re-execution of the released code. Version 0.4.4 additionally separates the underlying thermal-safety mechanism from its adversarial exploitation, corrects sensitivity-case taxonomy, and replaces a mixed stochastic timestep check with a fixed-forcing numerical-convergence experiment. This is not independent human peer review, spacecraft-thermal validation, certification, or organisational endorsement.</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2347"/>
        <w:gridCol w:w="1083"/>
        <w:gridCol w:w="5596"/>
      </w:tblGrid>
      <w:tr>
        <w:trPr>
          <w:tblHeader/>
          <w:tblHeader w:val="true"/>
        </w:trPr>
        <w:tc>
          <w:tcPr>
            <w:tcW w:type="dxa" w:w="2347"/>
            <w:shd w:fill="EFEFEF" w:val="clear"/>
            <w:tcMar>
              <w:top w:type="dxa" w:w="70"/>
              <w:left w:type="dxa" w:w="90"/>
              <w:bottom w:type="dxa" w:w="70"/>
              <w:right w:type="dxa" w:w="90"/>
            </w:tcMar>
          </w:tcPr>
          <w:p>
            <w:pPr>
              <w:spacing w:after="20" w:line="250"/>
            </w:pPr>
            <w:r>
              <w:rPr>
                <w:b/>
                <w:bCs/>
                <w:sz w:val="17"/>
                <w:szCs w:val="17"/>
              </w:rPr>
              <w:t xml:space="preserve">v0.4 claim</w:t>
            </w:r>
          </w:p>
        </w:tc>
        <w:tc>
          <w:tcPr>
            <w:tcW w:type="dxa" w:w="1083"/>
            <w:shd w:fill="EFEFEF" w:val="clear"/>
            <w:tcMar>
              <w:top w:type="dxa" w:w="70"/>
              <w:left w:type="dxa" w:w="90"/>
              <w:bottom w:type="dxa" w:w="70"/>
              <w:right w:type="dxa" w:w="90"/>
            </w:tcMar>
          </w:tcPr>
          <w:p>
            <w:pPr>
              <w:spacing w:after="20" w:line="250"/>
            </w:pPr>
            <w:r>
              <w:rPr>
                <w:b/>
                <w:bCs/>
                <w:sz w:val="17"/>
                <w:szCs w:val="17"/>
              </w:rPr>
              <w:t xml:space="preserve">Status</w:t>
            </w:r>
          </w:p>
        </w:tc>
        <w:tc>
          <w:tcPr>
            <w:tcW w:type="dxa" w:w="5596"/>
            <w:shd w:fill="EFEFEF" w:val="clear"/>
            <w:tcMar>
              <w:top w:type="dxa" w:w="70"/>
              <w:left w:type="dxa" w:w="90"/>
              <w:bottom w:type="dxa" w:w="70"/>
              <w:right w:type="dxa" w:w="90"/>
            </w:tcMar>
          </w:tcPr>
          <w:p>
            <w:pPr>
              <w:spacing w:after="20" w:line="250"/>
            </w:pPr>
            <w:r>
              <w:rPr>
                <w:b/>
                <w:bCs/>
                <w:sz w:val="17"/>
                <w:szCs w:val="17"/>
              </w:rPr>
              <w:t xml:space="preserve">Basis for retraction</w:t>
            </w:r>
          </w:p>
        </w:tc>
      </w:tr>
      <w:tr>
        <w:tc>
          <w:tcPr>
            <w:tcW w:type="dxa" w:w="2347"/>
            <w:tcMar>
              <w:top w:type="dxa" w:w="70"/>
              <w:left w:type="dxa" w:w="90"/>
              <w:bottom w:type="dxa" w:w="70"/>
              <w:right w:type="dxa" w:w="90"/>
            </w:tcMar>
          </w:tcPr>
          <w:p>
            <w:pPr>
              <w:spacing w:after="20" w:line="250"/>
            </w:pPr>
            <w:r>
              <w:rPr>
                <w:sz w:val="17"/>
                <w:szCs w:val="17"/>
              </w:rPr>
              <w:t xml:space="preserve">F-02 — "Temperature telemetry cannot attribute the fault."</w:t>
            </w:r>
          </w:p>
        </w:tc>
        <w:tc>
          <w:tcPr>
            <w:tcW w:type="dxa" w:w="1083"/>
            <w:tcMar>
              <w:top w:type="dxa" w:w="70"/>
              <w:left w:type="dxa" w:w="90"/>
              <w:bottom w:type="dxa" w:w="70"/>
              <w:right w:type="dxa" w:w="90"/>
            </w:tcMar>
          </w:tcPr>
          <w:p>
            <w:pPr>
              <w:spacing w:after="20" w:line="250"/>
            </w:pPr>
            <w:r>
              <w:rPr>
                <w:sz w:val="17"/>
                <w:szCs w:val="17"/>
              </w:rPr>
              <w:t xml:space="preserve">RETRACTED</w:t>
            </w:r>
          </w:p>
        </w:tc>
        <w:tc>
          <w:tcPr>
            <w:tcW w:type="dxa" w:w="5596"/>
            <w:tcMar>
              <w:top w:type="dxa" w:w="70"/>
              <w:left w:type="dxa" w:w="90"/>
              <w:bottom w:type="dxa" w:w="70"/>
              <w:right w:type="dxa" w:w="90"/>
            </w:tcMar>
          </w:tcPr>
          <w:p>
            <w:pPr>
              <w:spacing w:after="20" w:line="250"/>
            </w:pPr>
            <w:r>
              <w:rPr>
                <w:sz w:val="17"/>
                <w:szCs w:val="17"/>
              </w:rPr>
              <w:t xml:space="preserve">Only peak temperature was matched. Full trajectories differ by 17.9–22.9 K RMSE and mean node temperature differs by 13–17 K. The evidence supports only the far weaker claim that peak temperature alone is insufficient.</w:t>
            </w:r>
          </w:p>
        </w:tc>
      </w:tr>
      <w:tr>
        <w:tc>
          <w:tcPr>
            <w:tcW w:type="dxa" w:w="2347"/>
            <w:tcMar>
              <w:top w:type="dxa" w:w="70"/>
              <w:left w:type="dxa" w:w="90"/>
              <w:bottom w:type="dxa" w:w="70"/>
              <w:right w:type="dxa" w:w="90"/>
            </w:tcMar>
          </w:tcPr>
          <w:p>
            <w:pPr>
              <w:spacing w:after="20" w:line="250"/>
            </w:pPr>
            <w:r>
              <w:rPr>
                <w:sz w:val="17"/>
                <w:szCs w:val="17"/>
              </w:rPr>
              <w:t xml:space="preserve">F-03 — "Natural and induced faults separate at 414σ."</w:t>
            </w:r>
          </w:p>
        </w:tc>
        <w:tc>
          <w:tcPr>
            <w:tcW w:type="dxa" w:w="1083"/>
            <w:tcMar>
              <w:top w:type="dxa" w:w="70"/>
              <w:left w:type="dxa" w:w="90"/>
              <w:bottom w:type="dxa" w:w="70"/>
              <w:right w:type="dxa" w:w="90"/>
            </w:tcMar>
          </w:tcPr>
          <w:p>
            <w:pPr>
              <w:spacing w:after="20" w:line="250"/>
            </w:pPr>
            <w:r>
              <w:rPr>
                <w:sz w:val="17"/>
                <w:szCs w:val="17"/>
              </w:rPr>
              <w:t xml:space="preserve">RETRACTED</w:t>
            </w:r>
          </w:p>
        </w:tc>
        <w:tc>
          <w:tcPr>
            <w:tcW w:type="dxa" w:w="5596"/>
            <w:tcMar>
              <w:top w:type="dxa" w:w="70"/>
              <w:left w:type="dxa" w:w="90"/>
              <w:bottom w:type="dxa" w:w="70"/>
              <w:right w:type="dxa" w:w="90"/>
            </w:tcMar>
          </w:tcPr>
          <w:p>
            <w:pPr>
              <w:spacing w:after="20" w:line="250"/>
            </w:pPr>
            <w:r>
              <w:rPr>
                <w:sz w:val="17"/>
                <w:szCs w:val="17"/>
              </w:rPr>
              <w:t xml:space="preserve">Only radiator-emissivity degradation was used as the natural comparator. Loop/pump degradation yields a residual of −11.2 W against the induced load's −11.3 W: identical. Detector A is structurally blind to internal heat-transfer faults.</w:t>
            </w:r>
          </w:p>
        </w:tc>
      </w:tr>
      <w:tr>
        <w:tc>
          <w:tcPr>
            <w:tcW w:type="dxa" w:w="2347"/>
            <w:tcMar>
              <w:top w:type="dxa" w:w="70"/>
              <w:left w:type="dxa" w:w="90"/>
              <w:bottom w:type="dxa" w:w="70"/>
              <w:right w:type="dxa" w:w="90"/>
            </w:tcMar>
          </w:tcPr>
          <w:p>
            <w:pPr>
              <w:spacing w:after="20" w:line="250"/>
            </w:pPr>
            <w:r>
              <w:rPr>
                <w:sz w:val="17"/>
                <w:szCs w:val="17"/>
              </w:rPr>
              <w:t>F-03 — the 414σ figure itself</w:t>
            </w:r>
          </w:p>
        </w:tc>
        <w:tc>
          <w:tcPr>
            <w:tcW w:type="dxa" w:w="1083"/>
            <w:tcMar>
              <w:top w:type="dxa" w:w="70"/>
              <w:left w:type="dxa" w:w="90"/>
              <w:bottom w:type="dxa" w:w="70"/>
              <w:right w:type="dxa" w:w="90"/>
            </w:tcMar>
          </w:tcPr>
          <w:p>
            <w:pPr>
              <w:spacing w:after="20" w:line="250"/>
            </w:pPr>
            <w:r>
              <w:rPr>
                <w:sz w:val="17"/>
                <w:szCs w:val="17"/>
              </w:rPr>
              <w:t>RETRACTED</w:t>
            </w:r>
          </w:p>
        </w:tc>
        <w:tc>
          <w:tcPr>
            <w:tcW w:type="dxa" w:w="5596"/>
            <w:tcMar>
              <w:top w:type="dxa" w:w="70"/>
              <w:left w:type="dxa" w:w="90"/>
              <w:bottom w:type="dxa" w:w="70"/>
              <w:right w:type="dxa" w:w="90"/>
            </w:tcMar>
            <w:vAlign w:val="center"/>
          </w:tcPr>
          <w:p>
            <w:r/>
            <w:r>
              <w:rPr>
                <w:rFonts w:ascii="Aptos" w:hAnsi="Aptos"/>
                <w:b w:val="0"/>
                <w:sz w:val="14"/>
              </w:rPr>
              <w:t>Sensor-only noise was not an adequate operational uncertainty model. v0.4.4 reports pooled effect size, empirical AUC and TPR at a project-selected 5 % induced false-positive threshold under an explicitly illustrative uncertainty model; no sigma-significance claim remains.</w:t>
            </w:r>
          </w:p>
        </w:tc>
      </w:tr>
      <w:tr>
        <w:tc>
          <w:tcPr>
            <w:tcW w:type="dxa" w:w="2347"/>
            <w:tcMar>
              <w:top w:type="dxa" w:w="70"/>
              <w:left w:type="dxa" w:w="90"/>
              <w:bottom w:type="dxa" w:w="70"/>
              <w:right w:type="dxa" w:w="90"/>
            </w:tcMar>
          </w:tcPr>
          <w:p>
            <w:pPr>
              <w:spacing w:after="20" w:line="250"/>
            </w:pPr>
            <w:r>
              <w:rPr>
                <w:sz w:val="17"/>
                <w:szCs w:val="17"/>
              </w:rPr>
              <w:t xml:space="preserve">F-04 — "31 % power under-reporting is required to mimic a natural fault."</w:t>
            </w:r>
          </w:p>
        </w:tc>
        <w:tc>
          <w:tcPr>
            <w:tcW w:type="dxa" w:w="1083"/>
            <w:tcMar>
              <w:top w:type="dxa" w:w="70"/>
              <w:left w:type="dxa" w:w="90"/>
              <w:bottom w:type="dxa" w:w="70"/>
              <w:right w:type="dxa" w:w="90"/>
            </w:tcMar>
          </w:tcPr>
          <w:p>
            <w:pPr>
              <w:spacing w:after="20" w:line="250"/>
            </w:pPr>
            <w:r>
              <w:rPr>
                <w:sz w:val="17"/>
                <w:szCs w:val="17"/>
              </w:rPr>
              <w:t xml:space="preserve">RETRACTED</w:t>
            </w:r>
          </w:p>
        </w:tc>
        <w:tc>
          <w:tcPr>
            <w:tcW w:type="dxa" w:w="5596"/>
            <w:tcMar>
              <w:top w:type="dxa" w:w="70"/>
              <w:left w:type="dxa" w:w="90"/>
              <w:bottom w:type="dxa" w:w="70"/>
              <w:right w:type="dxa" w:w="90"/>
            </w:tcMar>
          </w:tcPr>
          <w:p>
            <w:pPr>
              <w:spacing w:after="20" w:line="250"/>
            </w:pPr>
            <w:r>
              <w:rPr>
                <w:sz w:val="17"/>
                <w:szCs w:val="17"/>
              </w:rPr>
              <w:t xml:space="preserve">Fault-specific, not a threshold: 30.6 % for emissivity, 24.0 % for environmental, and 0 % for loop/pump degradation, which requires no manipulation at all.</w:t>
            </w:r>
          </w:p>
        </w:tc>
      </w:tr>
      <w:tr>
        <w:tc>
          <w:tcPr>
            <w:tcW w:type="dxa" w:w="2347"/>
            <w:tcMar>
              <w:top w:type="dxa" w:w="70"/>
              <w:left w:type="dxa" w:w="90"/>
              <w:bottom w:type="dxa" w:w="70"/>
              <w:right w:type="dxa" w:w="90"/>
            </w:tcMar>
          </w:tcPr>
          <w:p>
            <w:pPr>
              <w:spacing w:after="20" w:line="250"/>
            </w:pPr>
            <w:r>
              <w:rPr>
                <w:sz w:val="17"/>
                <w:szCs w:val="17"/>
              </w:rPr>
              <w:t xml:space="preserve">F-04 — "Attribution difficulty is a property of telemetry independence, not thermal physics."</w:t>
            </w:r>
          </w:p>
        </w:tc>
        <w:tc>
          <w:tcPr>
            <w:tcW w:type="dxa" w:w="1083"/>
            <w:tcMar>
              <w:top w:type="dxa" w:w="70"/>
              <w:left w:type="dxa" w:w="90"/>
              <w:bottom w:type="dxa" w:w="70"/>
              <w:right w:type="dxa" w:w="90"/>
            </w:tcMar>
          </w:tcPr>
          <w:p>
            <w:pPr>
              <w:spacing w:after="20" w:line="250"/>
            </w:pPr>
            <w:r>
              <w:rPr>
                <w:sz w:val="17"/>
                <w:szCs w:val="17"/>
              </w:rPr>
              <w:t xml:space="preserve">RETRACTED</w:t>
            </w:r>
          </w:p>
        </w:tc>
        <w:tc>
          <w:tcPr>
            <w:tcW w:type="dxa" w:w="5596"/>
            <w:tcMar>
              <w:top w:type="dxa" w:w="70"/>
              <w:left w:type="dxa" w:w="90"/>
              <w:bottom w:type="dxa" w:w="70"/>
              <w:right w:type="dxa" w:w="90"/>
            </w:tcMar>
          </w:tcPr>
          <w:p>
            <w:pPr>
              <w:spacing w:after="20" w:line="250"/>
            </w:pPr>
            <w:r>
              <w:rPr>
                <w:sz w:val="17"/>
                <w:szCs w:val="17"/>
              </w:rPr>
              <w:t xml:space="preserve">Attribution depends jointly on the telemetry architecture and on which physical fault family is in question. The dichotomy was false.</w:t>
            </w:r>
          </w:p>
        </w:tc>
      </w:tr>
      <w:tr>
        <w:tc>
          <w:tcPr>
            <w:tcW w:type="dxa" w:w="2347"/>
            <w:tcMar>
              <w:top w:type="dxa" w:w="70"/>
              <w:left w:type="dxa" w:w="90"/>
              <w:bottom w:type="dxa" w:w="70"/>
              <w:right w:type="dxa" w:w="90"/>
            </w:tcMar>
          </w:tcPr>
          <w:p>
            <w:pPr>
              <w:spacing w:after="20" w:line="250"/>
            </w:pPr>
            <w:r>
              <w:rPr>
                <w:sz w:val="17"/>
                <w:szCs w:val="17"/>
              </w:rPr>
              <w:t xml:space="preserve">F-05 — "The attack evades the two most likely controls."</w:t>
            </w:r>
          </w:p>
        </w:tc>
        <w:tc>
          <w:tcPr>
            <w:tcW w:type="dxa" w:w="1083"/>
            <w:tcMar>
              <w:top w:type="dxa" w:w="70"/>
              <w:left w:type="dxa" w:w="90"/>
              <w:bottom w:type="dxa" w:w="70"/>
              <w:right w:type="dxa" w:w="90"/>
            </w:tcMar>
          </w:tcPr>
          <w:p>
            <w:pPr>
              <w:spacing w:after="20" w:line="250"/>
            </w:pPr>
            <w:r>
              <w:rPr>
                <w:sz w:val="17"/>
                <w:szCs w:val="17"/>
              </w:rPr>
              <w:t xml:space="preserve">RETRACTED</w:t>
            </w:r>
          </w:p>
        </w:tc>
        <w:tc>
          <w:tcPr>
            <w:tcW w:type="dxa" w:w="5596"/>
            <w:tcMar>
              <w:top w:type="dxa" w:w="70"/>
              <w:left w:type="dxa" w:w="90"/>
              <w:bottom w:type="dxa" w:w="70"/>
              <w:right w:type="dxa" w:w="90"/>
            </w:tcMar>
            <w:vAlign w:val="center"/>
          </w:tcPr>
          <w:p>
            <w:r/>
            <w:r>
              <w:rPr>
                <w:rFonts w:ascii="Aptos" w:hAnsi="Aptos"/>
                <w:b w:val="0"/>
                <w:sz w:val="14"/>
              </w:rPr>
              <w:t>The two controls named were selected, not established as ‘most likely’. In the v0.4.4 marginal reference case, the specified 75 °C / 30 % shed policy stays below the assumed model limit at the tested 1 400 s latency and exceeds it at 1 500 s; this remains a model-specific reference result. An energy-balance residual is not a thermal safety control.</w:t>
            </w:r>
          </w:p>
        </w:tc>
      </w:tr>
      <w:tr>
        <w:tc>
          <w:tcPr>
            <w:tcW w:type="dxa" w:w="2347"/>
            <w:tcMar>
              <w:top w:type="dxa" w:w="70"/>
              <w:left w:type="dxa" w:w="90"/>
              <w:bottom w:type="dxa" w:w="70"/>
              <w:right w:type="dxa" w:w="90"/>
            </w:tcMar>
          </w:tcPr>
          <w:p>
            <w:pPr>
              <w:spacing w:after="20" w:line="250"/>
            </w:pPr>
            <w:r>
              <w:rPr>
                <w:sz w:val="17"/>
                <w:szCs w:val="17"/>
              </w:rPr>
              <w:t xml:space="preserve">F-05 — "ρ = 1.00 vs 0.001 nominal."</w:t>
            </w:r>
          </w:p>
        </w:tc>
        <w:tc>
          <w:tcPr>
            <w:tcW w:type="dxa" w:w="1083"/>
            <w:tcMar>
              <w:top w:type="dxa" w:w="70"/>
              <w:left w:type="dxa" w:w="90"/>
              <w:bottom w:type="dxa" w:w="70"/>
              <w:right w:type="dxa" w:w="90"/>
            </w:tcMar>
          </w:tcPr>
          <w:p>
            <w:pPr>
              <w:spacing w:after="20" w:line="250"/>
            </w:pPr>
            <w:r>
              <w:rPr>
                <w:sz w:val="17"/>
                <w:szCs w:val="17"/>
              </w:rPr>
              <w:t xml:space="preserve">RETRACTED</w:t>
            </w:r>
          </w:p>
        </w:tc>
        <w:tc>
          <w:tcPr>
            <w:tcW w:type="dxa" w:w="5596"/>
            <w:tcMar>
              <w:top w:type="dxa" w:w="70"/>
              <w:left w:type="dxa" w:w="90"/>
              <w:bottom w:type="dxa" w:w="70"/>
              <w:right w:type="dxa" w:w="90"/>
            </w:tcMar>
          </w:tcPr>
          <w:p>
            <w:pPr>
              <w:spacing w:after="20" w:line="250"/>
            </w:pPr>
            <w:r>
              <w:rPr>
                <w:sz w:val="17"/>
                <w:szCs w:val="17"/>
              </w:rPr>
              <w:t xml:space="preserve">Circular: the attack was generated from in_hot_phase() and correlated against in_hot_phase(). The v0.4.1 replacement was also invalid — its depth sweep changed generator function at depth 0, and its 'benign' case was the attack generator itself. Rebuilt in X3 with a controlled interpolation and an independent benign generator.</w:t>
            </w:r>
          </w:p>
        </w:tc>
      </w:tr>
      <w:tr>
        <w:tc>
          <w:tcPr>
            <w:tcW w:type="dxa" w:w="2347"/>
            <w:tcMar>
              <w:top w:type="dxa" w:w="70"/>
              <w:left w:type="dxa" w:w="90"/>
              <w:bottom w:type="dxa" w:w="70"/>
              <w:right w:type="dxa" w:w="90"/>
            </w:tcMar>
          </w:tcPr>
          <w:p>
            <w:pPr>
              <w:spacing w:after="20" w:line="250"/>
            </w:pPr>
            <w:r>
              <w:rPr>
                <w:sz w:val="17"/>
                <w:szCs w:val="17"/>
              </w:rPr>
              <w:t xml:space="preserve">"Any node carrying less than roughly 17 K of margin is reachable."</w:t>
            </w:r>
          </w:p>
        </w:tc>
        <w:tc>
          <w:tcPr>
            <w:tcW w:type="dxa" w:w="1083"/>
            <w:tcMar>
              <w:top w:type="dxa" w:w="70"/>
              <w:left w:type="dxa" w:w="90"/>
              <w:bottom w:type="dxa" w:w="70"/>
              <w:right w:type="dxa" w:w="90"/>
            </w:tcMar>
          </w:tcPr>
          <w:p>
            <w:pPr>
              <w:spacing w:after="20" w:line="250"/>
            </w:pPr>
            <w:r>
              <w:rPr>
                <w:sz w:val="17"/>
                <w:szCs w:val="17"/>
              </w:rPr>
              <w:t xml:space="preserve">RETRACTED</w:t>
            </w:r>
          </w:p>
        </w:tc>
        <w:tc>
          <w:tcPr>
            <w:tcW w:type="dxa" w:w="5596"/>
            <w:tcMar>
              <w:top w:type="dxa" w:w="70"/>
              <w:left w:type="dxa" w:w="90"/>
              <w:bottom w:type="dxa" w:w="70"/>
              <w:right w:type="dxa" w:w="90"/>
            </w:tcMar>
          </w:tcPr>
          <w:p>
            <w:pPr>
              <w:spacing w:after="20" w:line="250"/>
            </w:pPr>
            <w:r>
              <w:rPr>
                <w:sz w:val="17"/>
                <w:szCs w:val="17"/>
              </w:rPr>
              <w:t xml:space="preserve">The 14.1–16.8 K range came from sweeping radiator area and emissivity only. Varying design power, average load, loop conductance, capacitance and orbit period gives 8.0–23.7 K. SR-THM-06 is withdrawn.</w:t>
            </w:r>
          </w:p>
        </w:tc>
      </w:tr>
      <w:tr>
        <w:tc>
          <w:tcPr>
            <w:tcW w:type="dxa" w:w="2347"/>
            <w:tcMar>
              <w:top w:type="dxa" w:w="70"/>
              <w:left w:type="dxa" w:w="90"/>
              <w:bottom w:type="dxa" w:w="70"/>
              <w:right w:type="dxa" w:w="90"/>
            </w:tcMar>
          </w:tcPr>
          <w:p>
            <w:pPr>
              <w:spacing w:after="20" w:line="250"/>
            </w:pPr>
            <w:r>
              <w:rPr>
                <w:sz w:val="17"/>
                <w:szCs w:val="17"/>
              </w:rPr>
              <w:t xml:space="preserve">"The flagship hypothesis is no longer a hypothesis."</w:t>
            </w:r>
          </w:p>
        </w:tc>
        <w:tc>
          <w:tcPr>
            <w:tcW w:type="dxa" w:w="1083"/>
            <w:tcMar>
              <w:top w:type="dxa" w:w="70"/>
              <w:left w:type="dxa" w:w="90"/>
              <w:bottom w:type="dxa" w:w="70"/>
              <w:right w:type="dxa" w:w="90"/>
            </w:tcMar>
          </w:tcPr>
          <w:p>
            <w:pPr>
              <w:spacing w:after="20" w:line="250"/>
            </w:pPr>
            <w:r>
              <w:rPr>
                <w:sz w:val="17"/>
                <w:szCs w:val="17"/>
              </w:rPr>
              <w:t xml:space="preserve">RETRACTED</w:t>
            </w:r>
          </w:p>
        </w:tc>
        <w:tc>
          <w:tcPr>
            <w:tcW w:type="dxa" w:w="5596"/>
            <w:tcMar>
              <w:top w:type="dxa" w:w="70"/>
              <w:left w:type="dxa" w:w="90"/>
              <w:bottom w:type="dxa" w:w="70"/>
              <w:right w:type="dxa" w:w="90"/>
            </w:tcMar>
          </w:tcPr>
          <w:p>
            <w:pPr>
              <w:spacing w:after="20" w:line="250"/>
            </w:pPr>
            <w:r>
              <w:rPr>
                <w:sz w:val="17"/>
                <w:szCs w:val="17"/>
              </w:rPr>
              <w:t xml:space="preserve">Contradicted the document's own evidence status. A parametric simulation supports a mechanism under stated assumptions; it does not settle a hypothesis about real architectures.</w:t>
            </w:r>
          </w:p>
        </w:tc>
      </w:tr>
      <w:tr>
        <w:tc>
          <w:tcPr>
            <w:tcW w:type="dxa" w:w="2347"/>
            <w:tcMar>
              <w:top w:type="dxa" w:w="70"/>
              <w:left w:type="dxa" w:w="90"/>
              <w:bottom w:type="dxa" w:w="70"/>
              <w:right w:type="dxa" w:w="90"/>
            </w:tcMar>
          </w:tcPr>
          <w:p>
            <w:pPr>
              <w:spacing w:after="20" w:line="250"/>
            </w:pPr>
            <w:r>
              <w:rPr>
                <w:sz w:val="17"/>
                <w:szCs w:val="17"/>
              </w:rPr>
              <w:t>F-01 — timing / thermal-state mechanism</w:t>
            </w:r>
          </w:p>
        </w:tc>
        <w:tc>
          <w:tcPr>
            <w:tcW w:type="dxa" w:w="1083"/>
            <w:tcMar>
              <w:top w:type="dxa" w:w="70"/>
              <w:left w:type="dxa" w:w="90"/>
              <w:bottom w:type="dxa" w:w="70"/>
              <w:right w:type="dxa" w:w="90"/>
            </w:tcMar>
          </w:tcPr>
          <w:p>
            <w:pPr>
              <w:spacing w:after="20" w:line="250"/>
            </w:pPr>
            <w:r>
              <w:rPr>
                <w:sz w:val="17"/>
                <w:szCs w:val="17"/>
              </w:rPr>
              <w:t>RETAINED, reframed</w:t>
            </w:r>
          </w:p>
        </w:tc>
        <w:tc>
          <w:tcPr>
            <w:tcW w:type="dxa" w:w="5596"/>
            <w:tcMar>
              <w:top w:type="dxa" w:w="70"/>
              <w:left w:type="dxa" w:w="90"/>
              <w:bottom w:type="dxa" w:w="70"/>
              <w:right w:type="dxa" w:w="90"/>
            </w:tcMar>
            <w:vAlign w:val="center"/>
          </w:tcPr>
          <w:p>
            <w:r/>
            <w:r>
              <w:rPr>
                <w:rFonts w:ascii="Aptos" w:hAnsi="Aptos"/>
                <w:b w:val="0"/>
                <w:sz w:val="14"/>
              </w:rPr>
              <w:t>RETAINED, reframed as safety finding. The 12 sensitivity entries are 10 single-factor cases, one joint radiator-area/emissivity case and one baseline reference. The full 8.03–23.68 K observed range is set by power-related assumptions. A separate non-malicious synthetic power-aware schedule reproduces 84.0 % of the full phase-shaped excursion, so the mechanism is not intrinsically adversarial.</w:t>
            </w:r>
          </w:p>
        </w:tc>
      </w:tr>
      <w:tr>
        <w:tc>
          <w:tcPr>
            <w:tcW w:type="dxa" w:w="2347"/>
            <w:tcMar>
              <w:top w:type="dxa" w:w="70"/>
              <w:left w:type="dxa" w:w="90"/>
              <w:bottom w:type="dxa" w:w="70"/>
              <w:right w:type="dxa" w:w="90"/>
            </w:tcMar>
          </w:tcPr>
          <w:p>
            <w:pPr>
              <w:spacing w:after="20" w:line="250"/>
            </w:pPr>
            <w:r>
              <w:rPr>
                <w:sz w:val="17"/>
                <w:szCs w:val="17"/>
              </w:rPr>
              <w:t>F-06 — reference protection-policy behaviour</w:t>
            </w:r>
          </w:p>
        </w:tc>
        <w:tc>
          <w:tcPr>
            <w:tcW w:type="dxa" w:w="1083"/>
            <w:tcMar>
              <w:top w:type="dxa" w:w="70"/>
              <w:left w:type="dxa" w:w="90"/>
              <w:bottom w:type="dxa" w:w="70"/>
              <w:right w:type="dxa" w:w="90"/>
            </w:tcMar>
          </w:tcPr>
          <w:p>
            <w:pPr>
              <w:spacing w:after="20" w:line="250"/>
            </w:pPr>
            <w:r>
              <w:rPr>
                <w:sz w:val="17"/>
                <w:szCs w:val="17"/>
              </w:rPr>
              <w:t>RETAINED, narrowed</w:t>
            </w:r>
          </w:p>
        </w:tc>
        <w:tc>
          <w:tcPr>
            <w:tcW w:type="dxa" w:w="5596"/>
            <w:tcMar>
              <w:top w:type="dxa" w:w="70"/>
              <w:left w:type="dxa" w:w="90"/>
              <w:bottom w:type="dxa" w:w="70"/>
              <w:right w:type="dxa" w:w="90"/>
            </w:tcMar>
          </w:tcPr>
          <w:p>
            <w:pPr>
              <w:spacing w:after="20" w:line="250"/>
            </w:pPr>
            <w:r>
              <w:rPr>
                <w:sz w:val="17"/>
                <w:szCs w:val="17"/>
              </w:rPr>
              <w:t>Project re-execution reproduces a 1 410–1 415 s threshold-to-model-limit window in the defined marginal case. The result is conditional on the stated 75 °C / 30 % shed / 5 K hysteresis policy and assumptions; no independent human validation is claimed.</w:t>
            </w:r>
          </w:p>
        </w:tc>
      </w:tr>
    </w:tbl>
    <w:p>
      <w:pPr>
        <w:pStyle w:val="Heading2"/>
      </w:pPr>
      <w:r>
        <w:t>1.3  Reproducibility and Revision-Integrity Defects Corrected</w:t>
      </w:r>
    </w:p>
    <w:tbl>
      <w:tblPr>
        <w:tblW w:type="dxa" w:w="9026"/>
        <w:jc w:val="center"/>
        <w:tblBorders>
          <w:top w:val="single" w:color="AAAAAA" w:sz="4"/>
          <w:left w:val="single" w:color="AAAAAA" w:sz="4"/>
          <w:bottom w:val="single" w:color="AAAAAA" w:sz="4"/>
          <w:right w:val="single" w:color="AAAAAA" w:sz="4"/>
          <w:insideH w:val="single" w:color="CCCCCC" w:sz="2"/>
          <w:insideV w:val="single" w:color="CCCCCC" w:sz="2"/>
        </w:tblBorders>
        <w:tblLayout w:type="fixed"/>
      </w:tblPr>
      <w:tblGrid>
        <w:gridCol w:w="2347"/>
        <w:gridCol w:w="3971"/>
        <w:gridCol w:w="2708"/>
      </w:tblGrid>
      <w:tr>
        <w:trPr>
          <w:tblHeader/>
          <w:tblHeader w:val="true"/>
        </w:trPr>
        <w:tc>
          <w:tcPr>
            <w:tcW w:type="dxa" w:w="2347"/>
            <w:shd w:fill="17365D" w:val="clear"/>
            <w:tcMar>
              <w:top w:type="dxa" w:w="50"/>
              <w:left w:type="dxa" w:w="90"/>
              <w:bottom w:type="dxa" w:w="50"/>
              <w:right w:type="dxa" w:w="90"/>
              <w:start w:w="75" w:type="dxa"/>
              <w:end w:w="75" w:type="dxa"/>
            </w:tcMar>
          </w:tcPr>
          <w:p>
            <w:pPr>
              <w:spacing w:after="20" w:line="250"/>
            </w:pPr>
            <w:r>
              <w:rPr>
                <w:b/>
                <w:bCs/>
                <w:color w:val="FFFFFF"/>
                <w:sz w:val="17"/>
                <w:szCs w:val="17"/>
              </w:rPr>
              <w:t xml:space="preserve">Defect</w:t>
            </w:r>
          </w:p>
        </w:tc>
        <w:tc>
          <w:tcPr>
            <w:tcW w:type="dxa" w:w="3971"/>
            <w:shd w:fill="17365D" w:val="clear"/>
            <w:tcMar>
              <w:top w:type="dxa" w:w="50"/>
              <w:left w:type="dxa" w:w="90"/>
              <w:bottom w:type="dxa" w:w="50"/>
              <w:right w:type="dxa" w:w="90"/>
              <w:start w:w="75" w:type="dxa"/>
              <w:end w:w="75" w:type="dxa"/>
            </w:tcMar>
          </w:tcPr>
          <w:p>
            <w:pPr>
              <w:spacing w:after="20" w:line="250"/>
            </w:pPr>
            <w:r>
              <w:rPr>
                <w:b/>
                <w:bCs/>
                <w:color w:val="FFFFFF"/>
                <w:sz w:val="17"/>
                <w:szCs w:val="17"/>
              </w:rPr>
              <w:t xml:space="preserve">Effect</w:t>
            </w:r>
          </w:p>
        </w:tc>
        <w:tc>
          <w:tcPr>
            <w:tcW w:type="dxa" w:w="2708"/>
            <w:shd w:fill="17365D" w:val="clear"/>
            <w:tcMar>
              <w:top w:type="dxa" w:w="50"/>
              <w:left w:type="dxa" w:w="90"/>
              <w:bottom w:type="dxa" w:w="50"/>
              <w:right w:type="dxa" w:w="90"/>
              <w:start w:w="75" w:type="dxa"/>
              <w:end w:w="75" w:type="dxa"/>
            </w:tcMar>
          </w:tcPr>
          <w:p>
            <w:pPr>
              <w:spacing w:after="20" w:line="250"/>
            </w:pPr>
            <w:r>
              <w:rPr>
                <w:b/>
                <w:bCs/>
                <w:color w:val="FFFFFF"/>
                <w:sz w:val="17"/>
                <w:szCs w:val="17"/>
              </w:rPr>
              <w:t xml:space="preserve">Fix</w:t>
            </w:r>
          </w:p>
        </w:tc>
      </w:tr>
      <w:tr>
        <w:tc>
          <w:tcPr>
            <w:tcW w:type="dxa" w:w="2347"/>
            <w:tcMar>
              <w:top w:type="dxa" w:w="50"/>
              <w:left w:type="dxa" w:w="90"/>
              <w:bottom w:type="dxa" w:w="50"/>
              <w:right w:type="dxa" w:w="90"/>
              <w:start w:w="75" w:type="dxa"/>
              <w:end w:w="75" w:type="dxa"/>
            </w:tcMar>
          </w:tcPr>
          <w:p>
            <w:pPr>
              <w:spacing w:after="20" w:line="250"/>
            </w:pPr>
            <w:r>
              <w:rPr>
                <w:sz w:val="17"/>
                <w:szCs w:val="17"/>
              </w:rPr>
              <w:t>Revision contamination in normative package</w:t>
            </w:r>
          </w:p>
        </w:tc>
        <w:tc>
          <w:tcPr>
            <w:tcW w:type="dxa" w:w="3971"/>
            <w:tcMar>
              <w:top w:type="dxa" w:w="50"/>
              <w:left w:type="dxa" w:w="90"/>
              <w:bottom w:type="dxa" w:w="50"/>
              <w:right w:type="dxa" w:w="90"/>
              <w:start w:w="75" w:type="dxa"/>
              <w:end w:w="75" w:type="dxa"/>
            </w:tcMar>
          </w:tcPr>
          <w:p>
            <w:pPr>
              <w:spacing w:after="20" w:line="250"/>
            </w:pPr>
            <w:r>
              <w:rPr>
                <w:sz w:val="17"/>
                <w:szCs w:val="17"/>
              </w:rPr>
              <w:t>Legacy scripts re-emitted retracted 414σ / 31 % / 17 K / damage-language conclusions and could disagree with the document.</w:t>
            </w:r>
          </w:p>
        </w:tc>
        <w:tc>
          <w:tcPr>
            <w:tcW w:type="dxa" w:w="2708"/>
            <w:tcMar>
              <w:top w:type="dxa" w:w="50"/>
              <w:left w:type="dxa" w:w="90"/>
              <w:bottom w:type="dxa" w:w="50"/>
              <w:right w:type="dxa" w:w="90"/>
              <w:start w:w="75" w:type="dxa"/>
              <w:end w:w="75" w:type="dxa"/>
            </w:tcMar>
            <w:vAlign w:val="center"/>
          </w:tcPr>
          <w:p>
            <w:r/>
            <w:r>
              <w:rPr>
                <w:rFonts w:ascii="Aptos" w:hAnsi="Aptos"/>
                <w:b w:val="0"/>
                <w:sz w:val="13"/>
              </w:rPr>
              <w:t>Normative package now has one numerical entry point (run_all_v044.py) and one authoritative result file; legacy numerical scripts are excluded.</w:t>
            </w:r>
          </w:p>
        </w:tc>
      </w:tr>
      <w:tr>
        <w:tc>
          <w:tcPr>
            <w:tcW w:type="dxa" w:w="2347"/>
            <w:tcMar>
              <w:top w:type="dxa" w:w="50"/>
              <w:left w:type="dxa" w:w="90"/>
              <w:bottom w:type="dxa" w:w="50"/>
              <w:right w:type="dxa" w:w="90"/>
              <w:start w:w="75" w:type="dxa"/>
              <w:end w:w="75" w:type="dxa"/>
            </w:tcMar>
            <w:shd w:fill="EAF0F5"/>
          </w:tcPr>
          <w:p>
            <w:pPr>
              <w:spacing w:after="20" w:line="250"/>
            </w:pPr>
            <w:r>
              <w:rPr>
                <w:sz w:val="17"/>
                <w:szCs w:val="17"/>
              </w:rPr>
              <w:t>Result/script mismatch and hard-coded figure data</w:t>
            </w:r>
          </w:p>
        </w:tc>
        <w:tc>
          <w:tcPr>
            <w:tcW w:type="dxa" w:w="3971"/>
            <w:tcMar>
              <w:top w:type="dxa" w:w="50"/>
              <w:left w:type="dxa" w:w="90"/>
              <w:bottom w:type="dxa" w:w="50"/>
              <w:right w:type="dxa" w:w="90"/>
              <w:start w:w="75" w:type="dxa"/>
              <w:end w:w="75" w:type="dxa"/>
            </w:tcMar>
            <w:shd w:fill="EAF0F5"/>
          </w:tcPr>
          <w:p>
            <w:pPr>
              <w:spacing w:after="20" w:line="250"/>
            </w:pPr>
            <w:r>
              <w:rPr>
                <w:sz w:val="17"/>
                <w:szCs w:val="17"/>
              </w:rPr>
              <w:t>Bundled results could not be regenerated by the bundled script; some plotted sensitivity values were embedded manually.</w:t>
            </w:r>
          </w:p>
        </w:tc>
        <w:tc>
          <w:tcPr>
            <w:tcW w:type="dxa" w:w="2708"/>
            <w:tcMar>
              <w:top w:type="dxa" w:w="50"/>
              <w:left w:type="dxa" w:w="90"/>
              <w:bottom w:type="dxa" w:w="50"/>
              <w:right w:type="dxa" w:w="90"/>
              <w:start w:w="75" w:type="dxa"/>
              <w:end w:w="75" w:type="dxa"/>
            </w:tcMar>
            <w:vAlign w:val="center"/>
            <w:shd w:fill="EAF0F5"/>
          </w:tcPr>
          <w:p>
            <w:r/>
            <w:r>
              <w:rPr>
                <w:rFonts w:ascii="Aptos" w:hAnsi="Aptos"/>
                <w:b w:val="0"/>
                <w:sz w:val="13"/>
              </w:rPr>
              <w:t>All current tables/figures are sourced from results_v044.json generated by run_all_v044.py; plot_results.py consumes current outputs.</w:t>
            </w:r>
          </w:p>
        </w:tc>
      </w:tr>
      <w:tr>
        <w:tc>
          <w:tcPr>
            <w:tcW w:type="dxa" w:w="2347"/>
            <w:tcMar>
              <w:top w:w="50" w:type="dxa"/>
              <w:start w:w="75" w:type="dxa"/>
              <w:bottom w:w="50" w:type="dxa"/>
              <w:end w:w="75" w:type="dxa"/>
            </w:tcMar>
          </w:tcPr>
          <w:p>
            <w:pPr>
              <w:spacing w:after="20" w:line="250"/>
            </w:pPr>
            <w:r>
              <w:rPr>
                <w:sz w:val="17"/>
                <w:szCs w:val="17"/>
              </w:rPr>
              <w:t>Calibration sweep confounding</w:t>
            </w:r>
          </w:p>
        </w:tc>
        <w:tc>
          <w:tcPr>
            <w:tcW w:type="dxa" w:w="3971"/>
            <w:tcMar>
              <w:top w:w="50" w:type="dxa"/>
              <w:start w:w="75" w:type="dxa"/>
              <w:bottom w:w="50" w:type="dxa"/>
              <w:end w:w="75" w:type="dxa"/>
            </w:tcMar>
          </w:tcPr>
          <w:p>
            <w:pPr>
              <w:spacing w:after="20" w:line="250"/>
            </w:pPr>
            <w:r>
              <w:rPr>
                <w:sz w:val="17"/>
                <w:szCs w:val="17"/>
              </w:rPr>
              <w:t>Earlier calibration sweeps changed random realisations and/or reused a stale induced distribution while tolerance changed.</w:t>
            </w:r>
          </w:p>
        </w:tc>
        <w:tc>
          <w:tcPr>
            <w:tcW w:type="dxa" w:w="2708"/>
            <w:tcMar>
              <w:top w:w="50" w:type="dxa"/>
              <w:start w:w="75" w:type="dxa"/>
              <w:bottom w:w="50" w:type="dxa"/>
              <w:end w:w="75" w:type="dxa"/>
            </w:tcMar>
          </w:tcPr>
          <w:p>
            <w:pPr>
              <w:spacing w:after="20" w:line="250"/>
            </w:pPr>
            <w:r>
              <w:rPr>
                <w:sz w:val="17"/>
                <w:szCs w:val="17"/>
              </w:rPr>
              <w:t>Common standard-normal draws are reused; nominal, induced and fault distributions are recomputed at each radiative tolerance with other assumed uncertainties fixed.</w:t>
            </w:r>
          </w:p>
        </w:tc>
      </w:tr>
      <w:tr>
        <w:tc>
          <w:tcPr>
            <w:tcW w:type="dxa" w:w="2347"/>
            <w:tcMar>
              <w:top w:w="50" w:type="dxa"/>
              <w:start w:w="75" w:type="dxa"/>
              <w:bottom w:w="50" w:type="dxa"/>
              <w:end w:w="75" w:type="dxa"/>
            </w:tcMar>
            <w:shd w:fill="EAF0F5"/>
          </w:tcPr>
          <w:p>
            <w:pPr>
              <w:spacing w:after="20" w:line="250"/>
            </w:pPr>
            <w:r>
              <w:rPr>
                <w:sz w:val="17"/>
                <w:szCs w:val="17"/>
              </w:rPr>
              <w:t>Orbit-period warmup bug</w:t>
            </w:r>
          </w:p>
        </w:tc>
        <w:tc>
          <w:tcPr>
            <w:tcW w:type="dxa" w:w="3971"/>
            <w:tcMar>
              <w:top w:w="50" w:type="dxa"/>
              <w:start w:w="75" w:type="dxa"/>
              <w:bottom w:w="50" w:type="dxa"/>
              <w:end w:w="75" w:type="dxa"/>
            </w:tcMar>
            <w:shd w:fill="EAF0F5"/>
          </w:tcPr>
          <w:p>
            <w:pPr>
              <w:spacing w:after="20" w:line="250"/>
            </w:pPr>
            <w:r>
              <w:rPr>
                <w:sz w:val="17"/>
                <w:szCs w:val="17"/>
              </w:rPr>
              <w:t>Warmup/duration were hard-coded around a 90-minute orbit, so 120-minute cases were not full-orbit controlled comparisons.</w:t>
            </w:r>
          </w:p>
        </w:tc>
        <w:tc>
          <w:tcPr>
            <w:tcW w:type="dxa" w:w="2708"/>
            <w:tcMar>
              <w:top w:w="50" w:type="dxa"/>
              <w:start w:w="75" w:type="dxa"/>
              <w:bottom w:w="50" w:type="dxa"/>
              <w:end w:w="75" w:type="dxa"/>
            </w:tcMar>
            <w:shd w:fill="EAF0F5"/>
          </w:tcPr>
          <w:p>
            <w:pPr>
              <w:spacing w:after="20" w:line="250"/>
            </w:pPr>
            <w:r>
              <w:rPr>
                <w:sz w:val="17"/>
                <w:szCs w:val="17"/>
              </w:rPr>
              <w:t>Warmup and duration are period-relative; period sensitivity uses complete orbit windows.</w:t>
            </w:r>
          </w:p>
        </w:tc>
      </w:tr>
      <w:tr>
        <w:tc>
          <w:tcPr>
            <w:tcW w:type="dxa" w:w="2347"/>
            <w:tcMar>
              <w:top w:w="50" w:type="dxa"/>
              <w:start w:w="75" w:type="dxa"/>
              <w:bottom w:w="50" w:type="dxa"/>
              <w:end w:w="75" w:type="dxa"/>
            </w:tcMar>
          </w:tcPr>
          <w:p>
            <w:pPr>
              <w:spacing w:after="20" w:line="250"/>
            </w:pPr>
            <w:r>
              <w:rPr>
                <w:sz w:val="17"/>
                <w:szCs w:val="17"/>
              </w:rPr>
              <w:t>Consequence terminology</w:t>
            </w:r>
          </w:p>
        </w:tc>
        <w:tc>
          <w:tcPr>
            <w:tcW w:type="dxa" w:w="3971"/>
            <w:tcMar>
              <w:top w:w="50" w:type="dxa"/>
              <w:start w:w="75" w:type="dxa"/>
              <w:bottom w:w="50" w:type="dxa"/>
              <w:end w:w="75" w:type="dxa"/>
            </w:tcMar>
          </w:tcPr>
          <w:p>
            <w:pPr>
              <w:spacing w:after="20" w:line="250"/>
            </w:pPr>
            <w:r>
              <w:rPr>
                <w:sz w:val="17"/>
                <w:szCs w:val="17"/>
              </w:rPr>
              <w:t>Code retained T_damage / hit_damage names after the document had withdrawn generic hardware-damage claims.</w:t>
            </w:r>
          </w:p>
        </w:tc>
        <w:tc>
          <w:tcPr>
            <w:tcW w:type="dxa" w:w="2708"/>
            <w:tcMar>
              <w:top w:w="50" w:type="dxa"/>
              <w:start w:w="75" w:type="dxa"/>
              <w:bottom w:w="50" w:type="dxa"/>
              <w:end w:w="75" w:type="dxa"/>
            </w:tcMar>
          </w:tcPr>
          <w:p>
            <w:pPr>
              <w:spacing w:after="20" w:line="250"/>
            </w:pPr>
            <w:r>
              <w:rPr>
                <w:sz w:val="17"/>
                <w:szCs w:val="17"/>
              </w:rPr>
              <w:t>Renamed T_model_hazard / hit_model_hazard; both 75 °C and 90 °C are explicit model assumptions.</w:t>
            </w:r>
          </w:p>
        </w:tc>
      </w:tr>
      <w:tr>
        <w:tc>
          <w:tcPr>
            <w:tcW w:type="dxa" w:w="2347"/>
            <w:tcMar>
              <w:top w:w="50" w:type="dxa"/>
              <w:start w:w="75" w:type="dxa"/>
              <w:bottom w:w="50" w:type="dxa"/>
              <w:end w:w="75" w:type="dxa"/>
            </w:tcMar>
            <w:shd w:fill="EAF0F5"/>
          </w:tcPr>
          <w:p>
            <w:pPr>
              <w:spacing w:after="20" w:line="250"/>
            </w:pPr>
            <w:r>
              <w:rPr>
                <w:sz w:val="17"/>
                <w:szCs w:val="17"/>
              </w:rPr>
              <w:t>Release-environment ambiguity</w:t>
            </w:r>
          </w:p>
        </w:tc>
        <w:tc>
          <w:tcPr>
            <w:tcW w:type="dxa" w:w="3971"/>
            <w:tcMar>
              <w:top w:w="50" w:type="dxa"/>
              <w:start w:w="75" w:type="dxa"/>
              <w:bottom w:w="50" w:type="dxa"/>
              <w:end w:w="75" w:type="dxa"/>
            </w:tcMar>
            <w:shd w:fill="EAF0F5"/>
          </w:tcPr>
          <w:p>
            <w:pPr>
              <w:spacing w:after="20" w:line="250"/>
            </w:pPr>
            <w:r>
              <w:rPr>
                <w:sz w:val="17"/>
                <w:szCs w:val="17"/>
              </w:rPr>
              <w:t>Reproducibility claims did not pin all numerical dependencies or distinguish numerical from graphics-byte reproducibility.</w:t>
            </w:r>
          </w:p>
        </w:tc>
        <w:tc>
          <w:tcPr>
            <w:tcW w:type="dxa" w:w="2708"/>
            <w:tcMar>
              <w:top w:w="50" w:type="dxa"/>
              <w:start w:w="75" w:type="dxa"/>
              <w:bottom w:w="50" w:type="dxa"/>
              <w:end w:w="75" w:type="dxa"/>
            </w:tcMar>
            <w:shd w:fill="EAF0F5"/>
          </w:tcPr>
          <w:p>
            <w:pPr>
              <w:spacing w:after="20" w:line="250"/>
            </w:pPr>
            <w:r>
              <w:rPr>
                <w:sz w:val="17"/>
                <w:szCs w:val="17"/>
              </w:rPr>
              <w:t>Python/NumPy/Matplotlib/Numba versions pinned; SHA-256 manifest added; claim narrowed to numerical reproducibility in the recorded environment.</w:t>
            </w:r>
          </w:p>
        </w:tc>
      </w:tr>
      <w:tr>
        <w:tc>
          <w:tcPr>
            <w:tcW w:type="dxa" w:w="2347"/>
            <w:vAlign w:val="center"/>
            <w:tcMar>
              <w:top w:w="50" w:type="dxa"/>
              <w:start w:w="75" w:type="dxa"/>
              <w:bottom w:w="50" w:type="dxa"/>
              <w:end w:w="75" w:type="dxa"/>
            </w:tcMar>
          </w:tcPr>
          <w:p>
            <w:r/>
            <w:r>
              <w:rPr>
                <w:rFonts w:ascii="Aptos" w:hAnsi="Aptos"/>
                <w:b w:val="0"/>
                <w:sz w:val="13"/>
              </w:rPr>
              <w:t>Sensitivity taxonomy error</w:t>
            </w:r>
          </w:p>
        </w:tc>
        <w:tc>
          <w:tcPr>
            <w:tcW w:type="dxa" w:w="3971"/>
            <w:vAlign w:val="center"/>
            <w:tcMar>
              <w:top w:w="50" w:type="dxa"/>
              <w:start w:w="75" w:type="dxa"/>
              <w:bottom w:w="50" w:type="dxa"/>
              <w:end w:w="75" w:type="dxa"/>
            </w:tcMar>
          </w:tcPr>
          <w:p>
            <w:r/>
            <w:r>
              <w:rPr>
                <w:rFonts w:ascii="Aptos" w:hAnsi="Aptos"/>
                <w:b w:val="0"/>
                <w:sz w:val="13"/>
              </w:rPr>
              <w:t>The baseline reference was counted as a one-factor case and A=80 m² / ε=0.75 changes two factors jointly.</w:t>
            </w:r>
          </w:p>
        </w:tc>
        <w:tc>
          <w:tcPr>
            <w:tcW w:type="dxa" w:w="2708"/>
            <w:vAlign w:val="center"/>
            <w:tcMar>
              <w:top w:w="50" w:type="dxa"/>
              <w:start w:w="75" w:type="dxa"/>
              <w:bottom w:w="50" w:type="dxa"/>
              <w:end w:w="75" w:type="dxa"/>
            </w:tcMar>
          </w:tcPr>
          <w:p>
            <w:r/>
            <w:r>
              <w:rPr>
                <w:rFonts w:ascii="Aptos" w:hAnsi="Aptos"/>
                <w:b w:val="0"/>
                <w:sz w:val="13"/>
              </w:rPr>
              <w:t>v0.4.4 classifies the 12 entries as 10 single-factor + 1 joint + 1 baseline reference and reports parameter-class spans separately.</w:t>
            </w:r>
          </w:p>
        </w:tc>
      </w:tr>
      <w:tr>
        <w:tc>
          <w:tcPr>
            <w:tcW w:type="dxa" w:w="2347"/>
            <w:vAlign w:val="center"/>
            <w:tcMar>
              <w:top w:w="50" w:type="dxa"/>
              <w:start w:w="75" w:type="dxa"/>
              <w:bottom w:w="50" w:type="dxa"/>
              <w:end w:w="75" w:type="dxa"/>
            </w:tcMar>
            <w:shd w:fill="EAF0F5"/>
          </w:tcPr>
          <w:p>
            <w:r/>
            <w:r>
              <w:rPr>
                <w:rFonts w:ascii="Aptos" w:hAnsi="Aptos"/>
                <w:b w:val="0"/>
                <w:sz w:val="13"/>
              </w:rPr>
              <w:t>Timestep “convergence” mislabelling</w:t>
            </w:r>
          </w:p>
        </w:tc>
        <w:tc>
          <w:tcPr>
            <w:tcW w:type="dxa" w:w="3971"/>
            <w:vAlign w:val="center"/>
            <w:tcMar>
              <w:top w:w="50" w:type="dxa"/>
              <w:start w:w="75" w:type="dxa"/>
              <w:bottom w:w="50" w:type="dxa"/>
              <w:end w:w="75" w:type="dxa"/>
            </w:tcMar>
            <w:shd w:fill="EAF0F5"/>
          </w:tcPr>
          <w:p>
            <w:r/>
            <w:r>
              <w:rPr>
                <w:rFonts w:ascii="Aptos" w:hAnsi="Aptos"/>
                <w:b w:val="0"/>
                <w:sz w:val="13"/>
              </w:rPr>
              <w:t>Changing dt also changed the stochastic workload realisation, so non-monotonic differences mixed discretisation and forcing changes.</w:t>
            </w:r>
          </w:p>
        </w:tc>
        <w:tc>
          <w:tcPr>
            <w:tcW w:type="dxa" w:w="2708"/>
            <w:vAlign w:val="center"/>
            <w:tcMar>
              <w:top w:w="50" w:type="dxa"/>
              <w:start w:w="75" w:type="dxa"/>
              <w:bottom w:w="50" w:type="dxa"/>
              <w:end w:w="75" w:type="dxa"/>
            </w:tcMar>
            <w:shd w:fill="EAF0F5"/>
          </w:tcPr>
          <w:p>
            <w:r/>
            <w:r>
              <w:rPr>
                <w:rFonts w:ascii="Aptos" w:hAnsi="Aptos"/>
                <w:b w:val="0"/>
                <w:sz w:val="13"/>
              </w:rPr>
              <w:t>A fixed, noise-free forcing experiment now provides numerical-convergence evidence; the stochastic dt table is retained only as release-step/realisation sensitivity.</w:t>
            </w:r>
          </w:p>
        </w:tc>
      </w:tr>
      <w:tr>
        <w:tc>
          <w:tcPr>
            <w:tcW w:type="dxa" w:w="2347"/>
            <w:vAlign w:val="center"/>
            <w:tcMar>
              <w:top w:w="50" w:type="dxa"/>
              <w:start w:w="75" w:type="dxa"/>
              <w:bottom w:w="50" w:type="dxa"/>
              <w:end w:w="75" w:type="dxa"/>
            </w:tcMar>
          </w:tcPr>
          <w:p>
            <w:r/>
            <w:r>
              <w:rPr>
                <w:rFonts w:ascii="Aptos" w:hAnsi="Aptos"/>
                <w:b w:val="0"/>
                <w:sz w:val="13"/>
              </w:rPr>
              <w:t>QA provenance omission</w:t>
            </w:r>
          </w:p>
        </w:tc>
        <w:tc>
          <w:tcPr>
            <w:tcW w:type="dxa" w:w="3971"/>
            <w:vAlign w:val="center"/>
            <w:tcMar>
              <w:top w:w="50" w:type="dxa"/>
              <w:start w:w="75" w:type="dxa"/>
              <w:bottom w:w="50" w:type="dxa"/>
              <w:end w:w="75" w:type="dxa"/>
            </w:tcMar>
          </w:tcPr>
          <w:p>
            <w:r/>
            <w:r>
              <w:rPr>
                <w:rFonts w:ascii="Aptos" w:hAnsi="Aptos"/>
                <w:b w:val="0"/>
                <w:sz w:val="13"/>
              </w:rPr>
              <w:t>A PASS-labelled QA report could be read as independent review even though the checks were AI-assisted.</w:t>
            </w:r>
          </w:p>
        </w:tc>
        <w:tc>
          <w:tcPr>
            <w:tcW w:type="dxa" w:w="2708"/>
            <w:vAlign w:val="center"/>
            <w:tcMar>
              <w:top w:w="50" w:type="dxa"/>
              <w:start w:w="75" w:type="dxa"/>
              <w:bottom w:w="50" w:type="dxa"/>
              <w:end w:w="75" w:type="dxa"/>
            </w:tcMar>
          </w:tcPr>
          <w:p>
            <w:r/>
            <w:r>
              <w:rPr>
                <w:rFonts w:ascii="Aptos" w:hAnsi="Aptos"/>
                <w:b w:val="0"/>
                <w:sz w:val="13"/>
              </w:rPr>
              <w:t>The QA report now names GPT-5.6 Sol/ChatGPT tooling, states that no independent human reviewer participated, and limits PASS to build/release QA.</w:t>
            </w:r>
          </w:p>
        </w:tc>
      </w:tr>
    </w:tbl>
    <w:p>
      <w:pPr>
        <w:spacing w:after="120" w:line="276"/>
      </w:pPr>
      <w:r>
        <w:t>v0.4.4 corrects three remaining process defects in v0.4.3: twelve sensitivity entries had been mislabelled as twelve one-factor-at-a-time cases; the timestep table changed workload realisations as well as the Euler step and therefore was not a convergence series; and the standalone QA report did not identify its AI-assisted provenance. The release now classifies sensitivity cases explicitly, decomposes the observed range by parameter group, adds a deterministic fixed-forcing convergence experiment, labels the old stochastic table as release-step/realisation sensitivity, and defines the manifested ZIP as the authoritative review object.</w:t>
      </w:r>
    </w:p>
    <w:p>
      <w:pPr>
        <w:pStyle w:val="Heading2"/>
      </w:pPr>
      <w:r>
        <w:t xml:space="preserve">1.4  What the Review Did Not Cover</w:t>
      </w:r>
    </w:p>
    <w:p>
      <w:pPr>
        <w:pBdr>
          <w:top w:val="single" w:color="FBF3EC" w:sz="2" w:space="8"/>
          <w:bottom w:val="single" w:color="FBF3EC" w:sz="2" w:space="8"/>
          <w:left w:val="single" w:color="B3541E" w:sz="18" w:space="10"/>
          <w:right w:val="single" w:color="FBF3EC" w:sz="2" w:space="8"/>
        </w:pBdr>
        <w:shd w:fill="FBF3EC" w:val="clear"/>
        <w:spacing w:after="160" w:before="140" w:line="276"/>
        <w:ind w:left="120" w:right="120"/>
      </w:pPr>
      <w:r>
        <w:t>The audit examined modelling method, statistical inference, code/release consistency, numerical integration behaviour and documentation provenance. It did not establish whether the Appendix A thermal parameters are physically defensible for representative orbital compute hardware, whether a two-node lumped formulation is adequate, or whether the S-02 adversary preconditions occur in a real architecture. Independent spacecraft-thermal review remains the highest-value open item.</w:t>
      </w:r>
    </w:p>
    <w:p>
      <w:pPr>
        <w:pStyle w:val="Heading1"/>
      </w:pPr>
      <w:r>
        <w:t xml:space="preserve">2  Executive Summary</w:t>
      </w:r>
    </w:p>
    <w:p>
      <w:pPr>
        <w:spacing w:after="120" w:line="276"/>
      </w:pPr>
      <w:r>
        <w:rPr>
          <w:sz w:val="20"/>
          <w:szCs w:val="20"/>
        </w:rPr>
        <w:t xml:space="preserve">The project tests whether treating orbital data-centre security as either spacecraft cybersecurity or cloud security is adequate. The working thesis is that it is not, because authority held in the tenant, ground, update or communications layer may be convertible into physical mission consequence through shared compute, power, thermal, attitude-control and fault-management resources.</w:t>
      </w:r>
    </w:p>
    <w:p>
      <w:pPr>
        <w:spacing w:after="120" w:line="276"/>
      </w:pPr>
      <w:r>
        <w:t>That thesis remains a thesis. TSM-01 provides project-generated modelling evidence for a narrower coupling; it does not establish attack feasibility or a real-system consequence. v0.4.4 makes the safety/security distinction explicit: temporal workload placement changes thermal state even in a separately generated non-malicious synthetic schedule, while S-02 asks whether an adversary could intentionally exploit the same coupling.</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542"/>
        <w:gridCol w:w="5235"/>
        <w:gridCol w:w="3249"/>
      </w:tblGrid>
      <w:tr>
        <w:trPr>
          <w:tblHeader/>
          <w:tblHeader w:val="true"/>
        </w:trPr>
        <w:tc>
          <w:tcPr>
            <w:tcW w:type="dxa" w:w="542"/>
            <w:shd w:fill="EFEFEF" w:val="clear"/>
            <w:tcMar>
              <w:top w:type="dxa" w:w="70"/>
              <w:left w:type="dxa" w:w="90"/>
              <w:bottom w:type="dxa" w:w="70"/>
              <w:right w:type="dxa" w:w="90"/>
            </w:tcMar>
          </w:tcPr>
          <w:p>
            <w:pPr>
              <w:spacing w:after="20" w:line="250"/>
            </w:pPr>
            <w:r>
              <w:rPr>
                <w:b/>
                <w:bCs/>
                <w:sz w:val="17"/>
                <w:szCs w:val="17"/>
              </w:rPr>
              <w:t xml:space="preserve">#</w:t>
            </w:r>
          </w:p>
        </w:tc>
        <w:tc>
          <w:tcPr>
            <w:tcW w:type="dxa" w:w="5235"/>
            <w:shd w:fill="EFEFEF" w:val="clear"/>
            <w:tcMar>
              <w:top w:type="dxa" w:w="70"/>
              <w:left w:type="dxa" w:w="90"/>
              <w:bottom w:type="dxa" w:w="70"/>
              <w:right w:type="dxa" w:w="90"/>
            </w:tcMar>
          </w:tcPr>
          <w:p>
            <w:pPr>
              <w:spacing w:after="20" w:line="250"/>
            </w:pPr>
            <w:r>
              <w:rPr>
                <w:b/>
                <w:bCs/>
                <w:sz w:val="17"/>
                <w:szCs w:val="17"/>
              </w:rPr>
              <w:t xml:space="preserve">Finding</w:t>
            </w:r>
          </w:p>
        </w:tc>
        <w:tc>
          <w:tcPr>
            <w:tcW w:type="dxa" w:w="3249"/>
            <w:shd w:fill="EFEFEF" w:val="clear"/>
            <w:tcMar>
              <w:top w:type="dxa" w:w="70"/>
              <w:left w:type="dxa" w:w="90"/>
              <w:bottom w:type="dxa" w:w="70"/>
              <w:right w:type="dxa" w:w="90"/>
            </w:tcMar>
          </w:tcPr>
          <w:p>
            <w:pPr>
              <w:spacing w:after="20" w:line="250"/>
            </w:pPr>
            <w:r>
              <w:rPr>
                <w:b/>
                <w:bCs/>
                <w:sz w:val="17"/>
                <w:szCs w:val="17"/>
              </w:rPr>
              <w:t xml:space="preserve">Standing</w:t>
            </w:r>
          </w:p>
        </w:tc>
      </w:tr>
      <w:tr>
        <w:tc>
          <w:tcPr>
            <w:tcW w:type="dxa" w:w="542"/>
            <w:tcMar>
              <w:top w:type="dxa" w:w="70"/>
              <w:left w:type="dxa" w:w="90"/>
              <w:bottom w:type="dxa" w:w="70"/>
              <w:right w:type="dxa" w:w="90"/>
            </w:tcMar>
          </w:tcPr>
          <w:p>
            <w:pPr>
              <w:spacing w:after="20" w:line="250"/>
            </w:pPr>
            <w:r>
              <w:rPr>
                <w:sz w:val="17"/>
                <w:szCs w:val="17"/>
              </w:rPr>
              <w:t>F-01</w:t>
            </w:r>
          </w:p>
        </w:tc>
        <w:tc>
          <w:tcPr>
            <w:tcW w:type="dxa" w:w="5235"/>
            <w:tcMar>
              <w:top w:type="dxa" w:w="70"/>
              <w:left w:type="dxa" w:w="90"/>
              <w:bottom w:type="dxa" w:w="70"/>
              <w:right w:type="dxa" w:w="90"/>
            </w:tcMar>
            <w:vAlign w:val="center"/>
          </w:tcPr>
          <w:p>
            <w:r/>
            <w:r>
              <w:rPr>
                <w:rFonts w:ascii="Aptos" w:hAnsi="Aptos"/>
                <w:b w:val="0"/>
                <w:sz w:val="14"/>
              </w:rPr>
              <w:t>Baseline phase shaping raises the model peak by 15.46 K at &lt;0.001 % sampled-power mismatch. The separately generated non-malicious synthetic power-aware schedule produces a 12.981 K excursion — 84.0 % of the full phase-shaped excursion. The 12 sensitivity entries are 10 single-factor + 1 joint + 1 baseline reference; the 8.03–23.68 K overall range is set by power-related cases.</w:t>
            </w:r>
          </w:p>
        </w:tc>
        <w:tc>
          <w:tcPr>
            <w:tcW w:type="dxa" w:w="3249"/>
            <w:tcMar>
              <w:top w:type="dxa" w:w="70"/>
              <w:left w:type="dxa" w:w="90"/>
              <w:bottom w:type="dxa" w:w="70"/>
              <w:right w:type="dxa" w:w="90"/>
            </w:tcMar>
            <w:vAlign w:val="center"/>
          </w:tcPr>
          <w:p>
            <w:r/>
            <w:r>
              <w:rPr>
                <w:rFonts w:ascii="Aptos" w:hAnsi="Aptos"/>
                <w:b w:val="0"/>
                <w:sz w:val="14"/>
              </w:rPr>
              <w:t>Supported by TSM-01 under stated assumptions as a thermal-safety/resource-control coupling. Adversarial timing is one possible exploitation; no real-system attack evidence is claimed.</w:t>
            </w:r>
          </w:p>
        </w:tc>
      </w:tr>
      <w:tr>
        <w:tc>
          <w:tcPr>
            <w:tcW w:type="dxa" w:w="542"/>
            <w:tcMar>
              <w:top w:type="dxa" w:w="70"/>
              <w:left w:type="dxa" w:w="90"/>
              <w:bottom w:type="dxa" w:w="70"/>
              <w:right w:type="dxa" w:w="90"/>
            </w:tcMar>
          </w:tcPr>
          <w:p>
            <w:pPr>
              <w:spacing w:after="20" w:line="250"/>
            </w:pPr>
            <w:r>
              <w:rPr>
                <w:sz w:val="17"/>
                <w:szCs w:val="17"/>
              </w:rPr>
              <w:t>F-02</w:t>
            </w:r>
          </w:p>
        </w:tc>
        <w:tc>
          <w:tcPr>
            <w:tcW w:type="dxa" w:w="5235"/>
            <w:tcMar>
              <w:top w:type="dxa" w:w="70"/>
              <w:left w:type="dxa" w:w="90"/>
              <w:bottom w:type="dxa" w:w="70"/>
              <w:right w:type="dxa" w:w="90"/>
            </w:tcMar>
          </w:tcPr>
          <w:p>
            <w:pPr>
              <w:spacing w:after="20" w:line="250"/>
            </w:pPr>
            <w:r>
              <w:rPr>
                <w:sz w:val="17"/>
                <w:szCs w:val="17"/>
              </w:rPr>
              <w:t>Synthetic peak-matched physical-fault constructions match the induced peak to &lt;0.0001 K but differ in trajectory by 17.9–22.9 K RMSE. Peak temperature alone is insufficient; trajectory-based attribution remains untested.</w:t>
            </w:r>
          </w:p>
        </w:tc>
        <w:tc>
          <w:tcPr>
            <w:tcW w:type="dxa" w:w="3249"/>
            <w:tcMar>
              <w:top w:type="dxa" w:w="70"/>
              <w:left w:type="dxa" w:w="90"/>
              <w:bottom w:type="dxa" w:w="70"/>
              <w:right w:type="dxa" w:w="90"/>
            </w:tcMar>
          </w:tcPr>
          <w:p>
            <w:pPr>
              <w:spacing w:after="20" w:line="250"/>
            </w:pPr>
            <w:r>
              <w:rPr>
                <w:sz w:val="17"/>
                <w:szCs w:val="17"/>
              </w:rPr>
              <w:t>Supported only for the synthetic model cases.</w:t>
            </w:r>
          </w:p>
        </w:tc>
      </w:tr>
      <w:tr>
        <w:tc>
          <w:tcPr>
            <w:tcW w:type="dxa" w:w="542"/>
            <w:tcMar>
              <w:top w:type="dxa" w:w="70"/>
              <w:left w:type="dxa" w:w="90"/>
              <w:bottom w:type="dxa" w:w="70"/>
              <w:right w:type="dxa" w:w="90"/>
            </w:tcMar>
          </w:tcPr>
          <w:p>
            <w:pPr>
              <w:spacing w:after="20" w:line="250"/>
            </w:pPr>
            <w:r>
              <w:rPr>
                <w:sz w:val="17"/>
                <w:szCs w:val="17"/>
              </w:rPr>
              <w:t>F-03</w:t>
            </w:r>
          </w:p>
        </w:tc>
        <w:tc>
          <w:tcPr>
            <w:tcW w:type="dxa" w:w="5235"/>
            <w:tcMar>
              <w:top w:type="dxa" w:w="70"/>
              <w:left w:type="dxa" w:w="90"/>
              <w:bottom w:type="dxa" w:w="70"/>
              <w:right w:type="dxa" w:w="90"/>
            </w:tcMar>
          </w:tcPr>
          <w:p>
            <w:pPr>
              <w:spacing w:after="20" w:line="250"/>
            </w:pPr>
            <w:r>
              <w:rPr>
                <w:sz w:val="17"/>
                <w:szCs w:val="17"/>
              </w:rPr>
              <w:t>No tested single metric separates all modelled cases. The energy residual shifts for radiator/environment constructions; apparent conductance shifts for the loop construction; phase correlation is ambiguous with intent.</w:t>
            </w:r>
          </w:p>
        </w:tc>
        <w:tc>
          <w:tcPr>
            <w:tcW w:type="dxa" w:w="3249"/>
            <w:tcMar>
              <w:top w:type="dxa" w:w="70"/>
              <w:left w:type="dxa" w:w="90"/>
              <w:bottom w:type="dxa" w:w="70"/>
              <w:right w:type="dxa" w:w="90"/>
            </w:tcMar>
          </w:tcPr>
          <w:p>
            <w:pPr>
              <w:spacing w:after="20" w:line="250"/>
            </w:pPr>
            <w:r>
              <w:rPr>
                <w:sz w:val="17"/>
                <w:szCs w:val="17"/>
              </w:rPr>
              <w:t>Candidate-observability result; no universal detector architecture inferred.</w:t>
            </w:r>
          </w:p>
        </w:tc>
      </w:tr>
      <w:tr>
        <w:tc>
          <w:tcPr>
            <w:tcW w:type="dxa" w:w="542"/>
            <w:tcMar>
              <w:top w:type="dxa" w:w="70"/>
              <w:left w:type="dxa" w:w="90"/>
              <w:bottom w:type="dxa" w:w="70"/>
              <w:right w:type="dxa" w:w="90"/>
            </w:tcMar>
          </w:tcPr>
          <w:p>
            <w:pPr>
              <w:spacing w:after="20" w:line="250"/>
            </w:pPr>
            <w:r>
              <w:rPr>
                <w:sz w:val="17"/>
                <w:szCs w:val="17"/>
              </w:rPr>
              <w:t>F-04</w:t>
            </w:r>
          </w:p>
        </w:tc>
        <w:tc>
          <w:tcPr>
            <w:tcW w:type="dxa" w:w="5235"/>
            <w:tcMar>
              <w:top w:type="dxa" w:w="70"/>
              <w:left w:type="dxa" w:w="90"/>
              <w:bottom w:type="dxa" w:w="70"/>
              <w:right w:type="dxa" w:w="90"/>
            </w:tcMar>
          </w:tcPr>
          <w:p>
            <w:pPr>
              <w:spacing w:after="20" w:line="250"/>
            </w:pPr>
            <w:r>
              <w:rPr>
                <w:sz w:val="17"/>
                <w:szCs w:val="17"/>
              </w:rPr>
              <w:t>Under the illustrative uncertainty model, energy-residual AUC / TPR@5% induced false positives are 0.955/0.770 (emissivity), 0.911/0.603 (environment), and 0.500/0.052 (loop). Calibration sweeps are sensitivity evidence only.</w:t>
            </w:r>
          </w:p>
        </w:tc>
        <w:tc>
          <w:tcPr>
            <w:tcW w:type="dxa" w:w="3249"/>
            <w:tcMar>
              <w:top w:type="dxa" w:w="70"/>
              <w:left w:type="dxa" w:w="90"/>
              <w:bottom w:type="dxa" w:w="70"/>
              <w:right w:type="dxa" w:w="90"/>
            </w:tcMar>
          </w:tcPr>
          <w:p>
            <w:pPr>
              <w:spacing w:after="20" w:line="250"/>
            </w:pPr>
            <w:r>
              <w:rPr>
                <w:sz w:val="17"/>
                <w:szCs w:val="17"/>
              </w:rPr>
              <w:t>No operational detector threshold or fixed ±5 % design requirement is derived.</w:t>
            </w:r>
          </w:p>
        </w:tc>
      </w:tr>
      <w:tr>
        <w:tc>
          <w:tcPr>
            <w:tcW w:type="dxa" w:w="542"/>
            <w:tcMar>
              <w:top w:type="dxa" w:w="70"/>
              <w:left w:type="dxa" w:w="90"/>
              <w:bottom w:type="dxa" w:w="70"/>
              <w:right w:type="dxa" w:w="90"/>
            </w:tcMar>
          </w:tcPr>
          <w:p>
            <w:pPr>
              <w:spacing w:after="20" w:line="250"/>
            </w:pPr>
            <w:r>
              <w:rPr>
                <w:sz w:val="17"/>
                <w:szCs w:val="17"/>
              </w:rPr>
              <w:t>F-05</w:t>
            </w:r>
          </w:p>
        </w:tc>
        <w:tc>
          <w:tcPr>
            <w:tcW w:type="dxa" w:w="5235"/>
            <w:tcMar>
              <w:top w:type="dxa" w:w="70"/>
              <w:left w:type="dxa" w:w="90"/>
              <w:bottom w:type="dxa" w:w="70"/>
              <w:right w:type="dxa" w:w="90"/>
            </w:tcMar>
            <w:vAlign w:val="center"/>
          </w:tcPr>
          <w:p>
            <w:r/>
            <w:r>
              <w:rPr>
                <w:rFonts w:ascii="Aptos" w:hAnsi="Aptos"/>
                <w:b w:val="0"/>
                <w:sz w:val="14"/>
              </w:rPr>
              <w:t>The controlled phase-shaping sweep reaches ρ = 1.000; the independently generated, energy-matched non-malicious synthetic power-aware schedule yields ρ = 0.918 and 12.981 K peak excursion. Correlation measures shaping, not intent.</w:t>
            </w:r>
          </w:p>
        </w:tc>
        <w:tc>
          <w:tcPr>
            <w:tcW w:type="dxa" w:w="3249"/>
            <w:tcMar>
              <w:top w:type="dxa" w:w="70"/>
              <w:left w:type="dxa" w:w="90"/>
              <w:bottom w:type="dxa" w:w="70"/>
              <w:right w:type="dxa" w:w="90"/>
            </w:tcMar>
            <w:vAlign w:val="center"/>
          </w:tcPr>
          <w:p>
            <w:r/>
            <w:r>
              <w:rPr>
                <w:rFonts w:ascii="Aptos" w:hAnsi="Aptos"/>
                <w:b w:val="0"/>
                <w:sz w:val="14"/>
              </w:rPr>
              <w:t>Candidate feature only. The benign comparator is synthetic; no representative operational workload trace has been evaluated.</w:t>
            </w:r>
          </w:p>
        </w:tc>
      </w:tr>
      <w:tr>
        <w:tc>
          <w:tcPr>
            <w:tcW w:type="dxa" w:w="542"/>
            <w:tcMar>
              <w:top w:type="dxa" w:w="70"/>
              <w:left w:type="dxa" w:w="90"/>
              <w:bottom w:type="dxa" w:w="70"/>
              <w:right w:type="dxa" w:w="90"/>
            </w:tcMar>
          </w:tcPr>
          <w:p>
            <w:pPr>
              <w:spacing w:after="20" w:line="250"/>
            </w:pPr>
            <w:r>
              <w:rPr>
                <w:sz w:val="17"/>
                <w:szCs w:val="17"/>
              </w:rPr>
              <w:t>F-06</w:t>
            </w:r>
          </w:p>
        </w:tc>
        <w:tc>
          <w:tcPr>
            <w:tcW w:type="dxa" w:w="5235"/>
            <w:tcMar>
              <w:top w:type="dxa" w:w="70"/>
              <w:left w:type="dxa" w:w="90"/>
              <w:bottom w:type="dxa" w:w="70"/>
              <w:right w:type="dxa" w:w="90"/>
            </w:tcMar>
          </w:tcPr>
          <w:p>
            <w:pPr>
              <w:spacing w:after="20" w:line="250"/>
            </w:pPr>
            <w:r>
              <w:rPr>
                <w:sz w:val="17"/>
                <w:szCs w:val="17"/>
              </w:rPr>
              <w:t>For the specific marginal reference case and policy (75 °C threshold, shed to 30 %, 5 K hysteresis), tested 1 400 s control latency stays below the assumed 90 °C model limit while 1 500 s exceeds it. Mean unprotected threshold-to-limit window is 1 413.2 s.</w:t>
            </w:r>
          </w:p>
        </w:tc>
        <w:tc>
          <w:tcPr>
            <w:tcW w:type="dxa" w:w="3249"/>
            <w:tcMar>
              <w:top w:type="dxa" w:w="70"/>
              <w:left w:type="dxa" w:w="90"/>
              <w:bottom w:type="dxa" w:w="70"/>
              <w:right w:type="dxa" w:w="90"/>
            </w:tcMar>
          </w:tcPr>
          <w:p>
            <w:pPr>
              <w:spacing w:after="20" w:line="250"/>
            </w:pPr>
            <w:r>
              <w:rPr>
                <w:sz w:val="17"/>
                <w:szCs w:val="17"/>
              </w:rPr>
              <w:t>Reference-model protection behaviour only; no generic hardware or latency requirement.</w:t>
            </w:r>
          </w:p>
        </w:tc>
      </w:tr>
    </w:tbl>
    <w:p>
      <w:pPr>
        <w:pBdr>
          <w:top w:val="single" w:color="FBF3EC" w:sz="2" w:space="8"/>
          <w:bottom w:val="single" w:color="FBF3EC" w:sz="2" w:space="8"/>
          <w:left w:val="single" w:color="B3541E" w:sz="18" w:space="10"/>
          <w:right w:val="single" w:color="FBF3EC" w:sz="2" w:space="8"/>
        </w:pBdr>
        <w:shd w:fill="FBF3EC" w:val="clear"/>
        <w:spacing w:after="160" w:before="140" w:line="276"/>
        <w:ind w:left="120" w:right="120"/>
      </w:pPr>
      <w:r>
        <w:t>F-01 is now the primary thermal-safety/resource-control finding; F-06 shows only that one explicitly defined reference protection policy prevents crossing an assumed model limit for the tested latency range. F-02 through F-05 constrain attribution and intent-classification claims. These are claims about TSM-01, not about orbital compute systems as a class.</w:t>
      </w:r>
    </w:p>
    <w:p>
      <w:pPr>
        <w:pStyle w:val="Heading2"/>
      </w:pPr>
      <w:r>
        <w:t xml:space="preserve">2.1  Standing of External Contributors</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2347"/>
        <w:gridCol w:w="6679"/>
      </w:tblGrid>
      <w:tr>
        <w:trPr>
          <w:tblHeader/>
          <w:tblHeader w:val="true"/>
        </w:trPr>
        <w:tc>
          <w:tcPr>
            <w:tcW w:type="dxa" w:w="2347"/>
            <w:shd w:fill="EFEFEF" w:val="clear"/>
            <w:tcMar>
              <w:top w:type="dxa" w:w="70"/>
              <w:left w:type="dxa" w:w="90"/>
              <w:bottom w:type="dxa" w:w="70"/>
              <w:right w:type="dxa" w:w="90"/>
            </w:tcMar>
          </w:tcPr>
          <w:p>
            <w:pPr>
              <w:spacing w:after="20" w:line="250"/>
            </w:pPr>
            <w:r>
              <w:rPr>
                <w:b/>
                <w:bCs/>
                <w:sz w:val="17"/>
                <w:szCs w:val="17"/>
              </w:rPr>
              <w:t xml:space="preserve">Contributor</w:t>
            </w:r>
          </w:p>
        </w:tc>
        <w:tc>
          <w:tcPr>
            <w:tcW w:type="dxa" w:w="6679"/>
            <w:shd w:fill="EFEFEF" w:val="clear"/>
            <w:tcMar>
              <w:top w:type="dxa" w:w="70"/>
              <w:left w:type="dxa" w:w="90"/>
              <w:bottom w:type="dxa" w:w="70"/>
              <w:right w:type="dxa" w:w="90"/>
            </w:tcMar>
          </w:tcPr>
          <w:p>
            <w:pPr>
              <w:spacing w:after="20" w:line="250"/>
            </w:pPr>
            <w:r>
              <w:rPr>
                <w:b/>
                <w:bCs/>
                <w:sz w:val="17"/>
                <w:szCs w:val="17"/>
              </w:rPr>
              <w:t xml:space="preserve">Scope and standing</w:t>
            </w:r>
          </w:p>
        </w:tc>
      </w:tr>
      <w:tr>
        <w:tc>
          <w:tcPr>
            <w:tcW w:type="dxa" w:w="2347"/>
            <w:tcMar>
              <w:top w:type="dxa" w:w="70"/>
              <w:left w:type="dxa" w:w="90"/>
              <w:bottom w:type="dxa" w:w="70"/>
              <w:right w:type="dxa" w:w="90"/>
            </w:tcMar>
          </w:tcPr>
          <w:p>
            <w:pPr>
              <w:spacing w:after="20" w:line="250"/>
            </w:pPr>
            <w:r>
              <w:rPr>
                <w:sz w:val="17"/>
                <w:szCs w:val="17"/>
              </w:rPr>
              <w:t xml:space="preserve">Brandon Bailey</w:t>
            </w:r>
          </w:p>
          <w:p>
            <w:pPr>
              <w:spacing w:after="20" w:line="250"/>
            </w:pPr>
            <w:r>
              <w:rPr>
                <w:sz w:val="17"/>
                <w:szCs w:val="17"/>
              </w:rPr>
              <w:t xml:space="preserve">(The Aerospace Corporation)</w:t>
            </w:r>
          </w:p>
        </w:tc>
        <w:tc>
          <w:tcPr>
            <w:tcW w:type="dxa" w:w="6679"/>
            <w:tcMar>
              <w:top w:type="dxa" w:w="70"/>
              <w:left w:type="dxa" w:w="90"/>
              <w:bottom w:type="dxa" w:w="70"/>
              <w:right w:type="dxa" w:w="90"/>
            </w:tcMar>
          </w:tcPr>
          <w:p>
            <w:pPr>
              <w:spacing w:after="20" w:line="250"/>
            </w:pPr>
            <w:r>
              <w:rPr>
                <w:sz w:val="17"/>
                <w:szCs w:val="17"/>
              </w:rPr>
              <w:t xml:space="preserve">Provided the SPARTA/NRS tailoring philosophy applied in Section 4. Methodological feedback, not organisational endorsement. Separately suggested the tailoring write-up could be useful on the NRS resource page; not yet pursued.</w:t>
            </w:r>
          </w:p>
        </w:tc>
      </w:tr>
      <w:tr>
        <w:tc>
          <w:tcPr>
            <w:tcW w:type="dxa" w:w="2347"/>
            <w:tcMar>
              <w:top w:type="dxa" w:w="70"/>
              <w:left w:type="dxa" w:w="90"/>
              <w:bottom w:type="dxa" w:w="70"/>
              <w:right w:type="dxa" w:w="90"/>
            </w:tcMar>
          </w:tcPr>
          <w:p>
            <w:pPr>
              <w:spacing w:after="20" w:line="250"/>
            </w:pPr>
            <w:r>
              <w:rPr>
                <w:sz w:val="17"/>
                <w:szCs w:val="17"/>
              </w:rPr>
              <w:t>Gregory Falco</w:t>
              <w:br/>
              <w:t>(Cornell / Aerospace ADVERSARY Lab)</w:t>
            </w:r>
          </w:p>
        </w:tc>
        <w:tc>
          <w:tcPr>
            <w:tcW w:type="dxa" w:w="6679"/>
            <w:tcMar>
              <w:top w:type="dxa" w:w="70"/>
              <w:left w:type="dxa" w:w="90"/>
              <w:bottom w:type="dxa" w:w="70"/>
              <w:right w:type="dxa" w:w="90"/>
            </w:tcMar>
          </w:tcPr>
          <w:p>
            <w:pPr>
              <w:spacing w:after="20" w:line="250"/>
            </w:pPr>
            <w:r>
              <w:rPr>
                <w:sz w:val="17"/>
                <w:szCs w:val="17"/>
              </w:rPr>
              <w:t>Redirected the research toward intentional induction of naturally expected faults and thermal/physical credibility. Informal technical input; a follow-up discussion was offered. No formal spacecraft-physics review has been completed or committed.</w:t>
            </w:r>
          </w:p>
        </w:tc>
      </w:tr>
      <w:tr>
        <w:tc>
          <w:tcPr>
            <w:tcW w:type="dxa" w:w="2347"/>
            <w:tcMar>
              <w:top w:type="dxa" w:w="70"/>
              <w:left w:type="dxa" w:w="90"/>
              <w:bottom w:type="dxa" w:w="70"/>
              <w:right w:type="dxa" w:w="90"/>
            </w:tcMar>
          </w:tcPr>
          <w:p>
            <w:pPr>
              <w:spacing w:after="20" w:line="250"/>
            </w:pPr>
            <w:r>
              <w:rPr>
                <w:sz w:val="17"/>
                <w:szCs w:val="17"/>
              </w:rPr>
              <w:t>Edd Salkield</w:t>
              <w:br/>
              <w:t>(University of Oxford)</w:t>
            </w:r>
          </w:p>
        </w:tc>
        <w:tc>
          <w:tcPr>
            <w:tcW w:type="dxa" w:w="6679"/>
            <w:tcMar>
              <w:top w:type="dxa" w:w="70"/>
              <w:left w:type="dxa" w:w="90"/>
              <w:bottom w:type="dxa" w:w="70"/>
              <w:right w:type="dxa" w:w="90"/>
            </w:tcMar>
          </w:tcPr>
          <w:p>
            <w:pPr>
              <w:spacing w:after="20" w:line="250"/>
            </w:pPr>
            <w:r>
              <w:rPr>
                <w:sz w:val="17"/>
                <w:szCs w:val="17"/>
              </w:rPr>
              <w:t>Stated on 6 August 2026 that the topic aligns with his expertise and offered a discussion. Consultation scheduling remains pending; no technical finding, validation or endorsement has been provided. Scoped prospectively to S-07 communications questions.</w:t>
            </w:r>
          </w:p>
        </w:tc>
      </w:tr>
      <w:tr>
        <w:tc>
          <w:tcPr>
            <w:tcW w:type="dxa" w:w="2347"/>
            <w:tcMar>
              <w:top w:type="dxa" w:w="70"/>
              <w:left w:type="dxa" w:w="90"/>
              <w:bottom w:type="dxa" w:w="70"/>
              <w:right w:type="dxa" w:w="90"/>
            </w:tcMar>
          </w:tcPr>
          <w:p>
            <w:pPr>
              <w:spacing w:after="20" w:line="250"/>
            </w:pPr>
            <w:r>
              <w:rPr>
                <w:sz w:val="17"/>
                <w:szCs w:val="17"/>
              </w:rPr>
              <w:t>AI-assisted technical audit</w:t>
              <w:br/>
              <w:t>(v0.4–v0.4.2)</w:t>
            </w:r>
          </w:p>
        </w:tc>
        <w:tc>
          <w:tcPr>
            <w:tcW w:type="dxa" w:w="6679"/>
            <w:tcMar>
              <w:top w:type="dxa" w:w="70"/>
              <w:left w:type="dxa" w:w="90"/>
              <w:bottom w:type="dxa" w:w="70"/>
              <w:right w:type="dxa" w:w="90"/>
            </w:tcMar>
          </w:tcPr>
          <w:p>
            <w:pPr>
              <w:spacing w:after="20" w:line="250"/>
            </w:pPr>
            <w:r>
              <w:rPr>
                <w:sz w:val="17"/>
                <w:szCs w:val="17"/>
              </w:rPr>
              <w:t>AI-assisted code re-execution and inference/release-consistency review, checked against project outputs. Not independent human peer review, spacecraft-thermal validation, third-party assessment or organisational endorsement.</w:t>
            </w:r>
          </w:p>
        </w:tc>
      </w:tr>
    </w:tbl>
    <w:p>
      <w:r>
        <w:br w:type="page"/>
      </w:r>
    </w:p>
    <w:p>
      <w:pPr>
        <w:pStyle w:val="Heading1"/>
      </w:pPr>
      <w:r>
        <w:t xml:space="preserve">3  Findings from Model TSM-01</w:t>
      </w:r>
    </w:p>
    <w:p>
      <w:pPr>
        <w:pStyle w:val="Heading2"/>
      </w:pPr>
      <w:r>
        <w:t xml:space="preserve">3.1  Model Description</w:t>
      </w:r>
    </w:p>
    <w:p>
      <w:pPr>
        <w:spacing w:after="120" w:line="276"/>
      </w:pPr>
      <w:r>
        <w:rPr>
          <w:sz w:val="20"/>
          <w:szCs w:val="20"/>
        </w:rPr>
        <w:t xml:space="preserve">TSM-01 is a two-node lumped-capacitance thermal model of a single orbital compute node: a compute/coldplate mass coupled through a fluid loop to a radiator that rejects heat radiatively while absorbing environmental flux varying over the orbit. It is a parametric model, not a digital twin, and may not be described as one before calibration against representative hardware or operational telemetry.</w:t>
      </w:r>
    </w:p>
    <w:p>
      <w:pPr>
        <w:spacing w:after="120" w:line="276"/>
      </w:pPr>
      <w:r>
        <w:t>Forward-Euler integration uses a 1 s release step. v0.4.4 separates two numerical checks. The stochastic headline experiment retains a 0.25–10 s release-step/realisation sensitivity table in the JSON, but it is not convergence because changing dt also changes random workload samples. A separate fixed, noise-free forcing experiment uses a 0.0625 s reference and shows decreasing error toward that reference; at dt = 1 s the peak-difference error is approximately 0.00176 K, and the 0.5–2 s region is approximately first-order. No exact baseline parameter is taken from a vendor sizing claim.</w:t>
      </w:r>
    </w:p>
    <w:tbl>
      <w:tblPr>
        <w:tblW w:type="auto" w:w="0"/>
        <w:jc w:val="center"/>
        <w:tblLayout w:type="fixed"/>
        <w:tblLook w:firstColumn="1" w:firstRow="1" w:lastColumn="0" w:lastRow="0" w:noHBand="0" w:noVBand="1" w:val="04A0"/>
      </w:tblPr>
      <w:tblGrid>
        <w:gridCol w:w="2256"/>
        <w:gridCol w:w="2256"/>
        <w:gridCol w:w="2256"/>
        <w:gridCol w:w="2256"/>
      </w:tblGrid>
      <w:tr>
        <w:tc>
          <w:tcPr>
            <w:tcW w:type="dxa" w:w="1152"/>
            <w:vAlign w:val="center"/>
            <w:tcMar>
              <w:top w:w="50" w:type="dxa"/>
              <w:start w:w="75" w:type="dxa"/>
              <w:bottom w:w="50" w:type="dxa"/>
              <w:end w:w="75" w:type="dxa"/>
            </w:tcMar>
            <w:shd w:fill="17365D"/>
          </w:tcPr>
          <w:p>
            <w:r>
              <w:rPr>
                <w:b/>
                <w:color w:val="FFFFFF"/>
              </w:rPr>
            </w:r>
            <w:r>
              <w:rPr>
                <w:rFonts w:ascii="Aptos" w:hAnsi="Aptos"/>
                <w:b/>
                <w:color w:val="FFFFFF"/>
                <w:sz w:val="15"/>
              </w:rPr>
              <w:t>dt (s)</w:t>
            </w:r>
          </w:p>
        </w:tc>
        <w:tc>
          <w:tcPr>
            <w:tcW w:type="dxa" w:w="1656"/>
            <w:vAlign w:val="center"/>
            <w:tcMar>
              <w:top w:w="50" w:type="dxa"/>
              <w:start w:w="75" w:type="dxa"/>
              <w:bottom w:w="50" w:type="dxa"/>
              <w:end w:w="75" w:type="dxa"/>
            </w:tcMar>
            <w:shd w:fill="17365D"/>
          </w:tcPr>
          <w:p>
            <w:r>
              <w:rPr>
                <w:b/>
                <w:color w:val="FFFFFF"/>
              </w:rPr>
            </w:r>
            <w:r>
              <w:rPr>
                <w:rFonts w:ascii="Aptos" w:hAnsi="Aptos"/>
                <w:b/>
                <w:color w:val="FFFFFF"/>
                <w:sz w:val="15"/>
              </w:rPr>
              <w:t>Peak ΔT (K)</w:t>
            </w:r>
          </w:p>
        </w:tc>
        <w:tc>
          <w:tcPr>
            <w:tcW w:type="dxa" w:w="2592"/>
            <w:vAlign w:val="center"/>
            <w:tcMar>
              <w:top w:w="50" w:type="dxa"/>
              <w:start w:w="75" w:type="dxa"/>
              <w:bottom w:w="50" w:type="dxa"/>
              <w:end w:w="75" w:type="dxa"/>
            </w:tcMar>
            <w:shd w:fill="17365D"/>
          </w:tcPr>
          <w:p>
            <w:r>
              <w:rPr>
                <w:b/>
                <w:color w:val="FFFFFF"/>
              </w:rPr>
            </w:r>
            <w:r>
              <w:rPr>
                <w:rFonts w:ascii="Aptos" w:hAnsi="Aptos"/>
                <w:b/>
                <w:color w:val="FFFFFF"/>
                <w:sz w:val="15"/>
              </w:rPr>
              <w:t>|error| vs 0.0625 s ref (K)</w:t>
            </w:r>
          </w:p>
        </w:tc>
        <w:tc>
          <w:tcPr>
            <w:tcW w:type="dxa" w:w="1800"/>
            <w:vAlign w:val="center"/>
            <w:tcMar>
              <w:top w:w="50" w:type="dxa"/>
              <w:start w:w="75" w:type="dxa"/>
              <w:bottom w:w="50" w:type="dxa"/>
              <w:end w:w="75" w:type="dxa"/>
            </w:tcMar>
            <w:shd w:fill="17365D"/>
          </w:tcPr>
          <w:p>
            <w:r>
              <w:rPr>
                <w:b/>
                <w:color w:val="FFFFFF"/>
              </w:rPr>
            </w:r>
            <w:r>
              <w:rPr>
                <w:rFonts w:ascii="Aptos" w:hAnsi="Aptos"/>
                <w:b/>
                <w:color w:val="FFFFFF"/>
                <w:sz w:val="15"/>
              </w:rPr>
              <w:t>Estimated order vs finer</w:t>
            </w:r>
          </w:p>
        </w:tc>
        <w:trPr>
          <w:tblHeader/>
        </w:trPr>
      </w:tr>
      <w:tr>
        <w:tc>
          <w:tcPr>
            <w:tcW w:type="dxa" w:w="1152"/>
            <w:vAlign w:val="center"/>
            <w:tcMar>
              <w:top w:w="50" w:type="dxa"/>
              <w:start w:w="75" w:type="dxa"/>
              <w:bottom w:w="50" w:type="dxa"/>
              <w:end w:w="75" w:type="dxa"/>
            </w:tcMar>
          </w:tcPr>
          <w:p>
            <w:r/>
            <w:r>
              <w:rPr>
                <w:rFonts w:ascii="Aptos" w:hAnsi="Aptos"/>
                <w:b w:val="0"/>
                <w:sz w:val="15"/>
              </w:rPr>
              <w:t>0.125</w:t>
            </w:r>
          </w:p>
        </w:tc>
        <w:tc>
          <w:tcPr>
            <w:tcW w:type="dxa" w:w="1656"/>
            <w:vAlign w:val="center"/>
            <w:tcMar>
              <w:top w:w="50" w:type="dxa"/>
              <w:start w:w="75" w:type="dxa"/>
              <w:bottom w:w="50" w:type="dxa"/>
              <w:end w:w="75" w:type="dxa"/>
            </w:tcMar>
          </w:tcPr>
          <w:p>
            <w:r/>
            <w:r>
              <w:rPr>
                <w:rFonts w:ascii="Aptos" w:hAnsi="Aptos"/>
                <w:b w:val="0"/>
                <w:sz w:val="15"/>
              </w:rPr>
              <w:t>17.451714</w:t>
            </w:r>
          </w:p>
        </w:tc>
        <w:tc>
          <w:tcPr>
            <w:tcW w:type="dxa" w:w="2592"/>
            <w:vAlign w:val="center"/>
            <w:tcMar>
              <w:top w:w="50" w:type="dxa"/>
              <w:start w:w="75" w:type="dxa"/>
              <w:bottom w:w="50" w:type="dxa"/>
              <w:end w:w="75" w:type="dxa"/>
            </w:tcMar>
          </w:tcPr>
          <w:p>
            <w:r/>
            <w:r>
              <w:rPr>
                <w:rFonts w:ascii="Aptos" w:hAnsi="Aptos"/>
                <w:b w:val="0"/>
                <w:sz w:val="15"/>
              </w:rPr>
              <w:t>0.000119</w:t>
            </w:r>
          </w:p>
        </w:tc>
        <w:tc>
          <w:tcPr>
            <w:tcW w:type="dxa" w:w="1800"/>
            <w:vAlign w:val="center"/>
            <w:tcMar>
              <w:top w:w="50" w:type="dxa"/>
              <w:start w:w="75" w:type="dxa"/>
              <w:bottom w:w="50" w:type="dxa"/>
              <w:end w:w="75" w:type="dxa"/>
            </w:tcMar>
          </w:tcPr>
          <w:p>
            <w:r/>
            <w:r>
              <w:rPr>
                <w:rFonts w:ascii="Aptos" w:hAnsi="Aptos"/>
                <w:b w:val="0"/>
                <w:sz w:val="15"/>
              </w:rPr>
              <w:t>—</w:t>
            </w:r>
          </w:p>
        </w:tc>
      </w:tr>
      <w:tr>
        <w:tc>
          <w:tcPr>
            <w:tcW w:type="dxa" w:w="1152"/>
            <w:vAlign w:val="center"/>
            <w:tcMar>
              <w:top w:w="50" w:type="dxa"/>
              <w:start w:w="75" w:type="dxa"/>
              <w:bottom w:w="50" w:type="dxa"/>
              <w:end w:w="75" w:type="dxa"/>
            </w:tcMar>
            <w:shd w:fill="EAF0F5"/>
          </w:tcPr>
          <w:p>
            <w:r/>
            <w:r>
              <w:rPr>
                <w:rFonts w:ascii="Aptos" w:hAnsi="Aptos"/>
                <w:b w:val="0"/>
                <w:sz w:val="15"/>
              </w:rPr>
              <w:t>0.25</w:t>
            </w:r>
          </w:p>
        </w:tc>
        <w:tc>
          <w:tcPr>
            <w:tcW w:type="dxa" w:w="1656"/>
            <w:vAlign w:val="center"/>
            <w:tcMar>
              <w:top w:w="50" w:type="dxa"/>
              <w:start w:w="75" w:type="dxa"/>
              <w:bottom w:w="50" w:type="dxa"/>
              <w:end w:w="75" w:type="dxa"/>
            </w:tcMar>
            <w:shd w:fill="EAF0F5"/>
          </w:tcPr>
          <w:p>
            <w:r/>
            <w:r>
              <w:rPr>
                <w:rFonts w:ascii="Aptos" w:hAnsi="Aptos"/>
                <w:b w:val="0"/>
                <w:sz w:val="15"/>
              </w:rPr>
              <w:t>17.451951</w:t>
            </w:r>
          </w:p>
        </w:tc>
        <w:tc>
          <w:tcPr>
            <w:tcW w:type="dxa" w:w="2592"/>
            <w:vAlign w:val="center"/>
            <w:tcMar>
              <w:top w:w="50" w:type="dxa"/>
              <w:start w:w="75" w:type="dxa"/>
              <w:bottom w:w="50" w:type="dxa"/>
              <w:end w:w="75" w:type="dxa"/>
            </w:tcMar>
            <w:shd w:fill="EAF0F5"/>
          </w:tcPr>
          <w:p>
            <w:r/>
            <w:r>
              <w:rPr>
                <w:rFonts w:ascii="Aptos" w:hAnsi="Aptos"/>
                <w:b w:val="0"/>
                <w:sz w:val="15"/>
              </w:rPr>
              <w:t>0.000356</w:t>
            </w:r>
          </w:p>
        </w:tc>
        <w:tc>
          <w:tcPr>
            <w:tcW w:type="dxa" w:w="1800"/>
            <w:vAlign w:val="center"/>
            <w:tcMar>
              <w:top w:w="50" w:type="dxa"/>
              <w:start w:w="75" w:type="dxa"/>
              <w:bottom w:w="50" w:type="dxa"/>
              <w:end w:w="75" w:type="dxa"/>
            </w:tcMar>
            <w:shd w:fill="EAF0F5"/>
          </w:tcPr>
          <w:p>
            <w:r/>
            <w:r>
              <w:rPr>
                <w:rFonts w:ascii="Aptos" w:hAnsi="Aptos"/>
                <w:b w:val="0"/>
                <w:sz w:val="15"/>
              </w:rPr>
              <w:t>1.581</w:t>
            </w:r>
          </w:p>
        </w:tc>
      </w:tr>
      <w:tr>
        <w:tc>
          <w:tcPr>
            <w:tcW w:type="dxa" w:w="1152"/>
            <w:vAlign w:val="center"/>
            <w:tcMar>
              <w:top w:w="50" w:type="dxa"/>
              <w:start w:w="75" w:type="dxa"/>
              <w:bottom w:w="50" w:type="dxa"/>
              <w:end w:w="75" w:type="dxa"/>
            </w:tcMar>
          </w:tcPr>
          <w:p>
            <w:r/>
            <w:r>
              <w:rPr>
                <w:rFonts w:ascii="Aptos" w:hAnsi="Aptos"/>
                <w:b w:val="0"/>
                <w:sz w:val="15"/>
              </w:rPr>
              <w:t>0.5</w:t>
            </w:r>
          </w:p>
        </w:tc>
        <w:tc>
          <w:tcPr>
            <w:tcW w:type="dxa" w:w="1656"/>
            <w:vAlign w:val="center"/>
            <w:tcMar>
              <w:top w:w="50" w:type="dxa"/>
              <w:start w:w="75" w:type="dxa"/>
              <w:bottom w:w="50" w:type="dxa"/>
              <w:end w:w="75" w:type="dxa"/>
            </w:tcMar>
          </w:tcPr>
          <w:p>
            <w:r/>
            <w:r>
              <w:rPr>
                <w:rFonts w:ascii="Aptos" w:hAnsi="Aptos"/>
                <w:b w:val="0"/>
                <w:sz w:val="15"/>
              </w:rPr>
              <w:t>17.452420</w:t>
            </w:r>
          </w:p>
        </w:tc>
        <w:tc>
          <w:tcPr>
            <w:tcW w:type="dxa" w:w="2592"/>
            <w:vAlign w:val="center"/>
            <w:tcMar>
              <w:top w:w="50" w:type="dxa"/>
              <w:start w:w="75" w:type="dxa"/>
              <w:bottom w:w="50" w:type="dxa"/>
              <w:end w:w="75" w:type="dxa"/>
            </w:tcMar>
          </w:tcPr>
          <w:p>
            <w:r/>
            <w:r>
              <w:rPr>
                <w:rFonts w:ascii="Aptos" w:hAnsi="Aptos"/>
                <w:b w:val="0"/>
                <w:sz w:val="15"/>
              </w:rPr>
              <w:t>0.000825</w:t>
            </w:r>
          </w:p>
        </w:tc>
        <w:tc>
          <w:tcPr>
            <w:tcW w:type="dxa" w:w="1800"/>
            <w:vAlign w:val="center"/>
            <w:tcMar>
              <w:top w:w="50" w:type="dxa"/>
              <w:start w:w="75" w:type="dxa"/>
              <w:bottom w:w="50" w:type="dxa"/>
              <w:end w:w="75" w:type="dxa"/>
            </w:tcMar>
          </w:tcPr>
          <w:p>
            <w:r/>
            <w:r>
              <w:rPr>
                <w:rFonts w:ascii="Aptos" w:hAnsi="Aptos"/>
                <w:b w:val="0"/>
                <w:sz w:val="15"/>
              </w:rPr>
              <w:t>1.213</w:t>
            </w:r>
          </w:p>
        </w:tc>
      </w:tr>
      <w:tr>
        <w:tc>
          <w:tcPr>
            <w:tcW w:type="dxa" w:w="1152"/>
            <w:vAlign w:val="center"/>
            <w:tcMar>
              <w:top w:w="50" w:type="dxa"/>
              <w:start w:w="75" w:type="dxa"/>
              <w:bottom w:w="50" w:type="dxa"/>
              <w:end w:w="75" w:type="dxa"/>
            </w:tcMar>
            <w:shd w:fill="EAF0F5"/>
          </w:tcPr>
          <w:p>
            <w:r/>
            <w:r>
              <w:rPr>
                <w:rFonts w:ascii="Aptos" w:hAnsi="Aptos"/>
                <w:b w:val="0"/>
                <w:sz w:val="15"/>
              </w:rPr>
              <w:t>1.0</w:t>
            </w:r>
          </w:p>
        </w:tc>
        <w:tc>
          <w:tcPr>
            <w:tcW w:type="dxa" w:w="1656"/>
            <w:vAlign w:val="center"/>
            <w:tcMar>
              <w:top w:w="50" w:type="dxa"/>
              <w:start w:w="75" w:type="dxa"/>
              <w:bottom w:w="50" w:type="dxa"/>
              <w:end w:w="75" w:type="dxa"/>
            </w:tcMar>
            <w:shd w:fill="EAF0F5"/>
          </w:tcPr>
          <w:p>
            <w:r/>
            <w:r>
              <w:rPr>
                <w:rFonts w:ascii="Aptos" w:hAnsi="Aptos"/>
                <w:b w:val="0"/>
                <w:sz w:val="15"/>
              </w:rPr>
              <w:t>17.453355</w:t>
            </w:r>
          </w:p>
        </w:tc>
        <w:tc>
          <w:tcPr>
            <w:tcW w:type="dxa" w:w="2592"/>
            <w:vAlign w:val="center"/>
            <w:tcMar>
              <w:top w:w="50" w:type="dxa"/>
              <w:start w:w="75" w:type="dxa"/>
              <w:bottom w:w="50" w:type="dxa"/>
              <w:end w:w="75" w:type="dxa"/>
            </w:tcMar>
            <w:shd w:fill="EAF0F5"/>
          </w:tcPr>
          <w:p>
            <w:r/>
            <w:r>
              <w:rPr>
                <w:rFonts w:ascii="Aptos" w:hAnsi="Aptos"/>
                <w:b w:val="0"/>
                <w:sz w:val="15"/>
              </w:rPr>
              <w:t>0.001761</w:t>
            </w:r>
          </w:p>
        </w:tc>
        <w:tc>
          <w:tcPr>
            <w:tcW w:type="dxa" w:w="1800"/>
            <w:vAlign w:val="center"/>
            <w:tcMar>
              <w:top w:w="50" w:type="dxa"/>
              <w:start w:w="75" w:type="dxa"/>
              <w:bottom w:w="50" w:type="dxa"/>
              <w:end w:w="75" w:type="dxa"/>
            </w:tcMar>
            <w:shd w:fill="EAF0F5"/>
          </w:tcPr>
          <w:p>
            <w:r/>
            <w:r>
              <w:rPr>
                <w:rFonts w:ascii="Aptos" w:hAnsi="Aptos"/>
                <w:b w:val="0"/>
                <w:sz w:val="15"/>
              </w:rPr>
              <w:t>1.094</w:t>
            </w:r>
          </w:p>
        </w:tc>
      </w:tr>
      <w:tr>
        <w:tc>
          <w:tcPr>
            <w:tcW w:type="dxa" w:w="1152"/>
            <w:vAlign w:val="center"/>
            <w:tcMar>
              <w:top w:w="50" w:type="dxa"/>
              <w:start w:w="75" w:type="dxa"/>
              <w:bottom w:w="50" w:type="dxa"/>
              <w:end w:w="75" w:type="dxa"/>
            </w:tcMar>
          </w:tcPr>
          <w:p>
            <w:r/>
            <w:r>
              <w:rPr>
                <w:rFonts w:ascii="Aptos" w:hAnsi="Aptos"/>
                <w:b w:val="0"/>
                <w:sz w:val="15"/>
              </w:rPr>
              <w:t>2.0</w:t>
            </w:r>
          </w:p>
        </w:tc>
        <w:tc>
          <w:tcPr>
            <w:tcW w:type="dxa" w:w="1656"/>
            <w:vAlign w:val="center"/>
            <w:tcMar>
              <w:top w:w="50" w:type="dxa"/>
              <w:start w:w="75" w:type="dxa"/>
              <w:bottom w:w="50" w:type="dxa"/>
              <w:end w:w="75" w:type="dxa"/>
            </w:tcMar>
          </w:tcPr>
          <w:p>
            <w:r/>
            <w:r>
              <w:rPr>
                <w:rFonts w:ascii="Aptos" w:hAnsi="Aptos"/>
                <w:b w:val="0"/>
                <w:sz w:val="15"/>
              </w:rPr>
              <w:t>17.455217</w:t>
            </w:r>
          </w:p>
        </w:tc>
        <w:tc>
          <w:tcPr>
            <w:tcW w:type="dxa" w:w="2592"/>
            <w:vAlign w:val="center"/>
            <w:tcMar>
              <w:top w:w="50" w:type="dxa"/>
              <w:start w:w="75" w:type="dxa"/>
              <w:bottom w:w="50" w:type="dxa"/>
              <w:end w:w="75" w:type="dxa"/>
            </w:tcMar>
          </w:tcPr>
          <w:p>
            <w:r/>
            <w:r>
              <w:rPr>
                <w:rFonts w:ascii="Aptos" w:hAnsi="Aptos"/>
                <w:b w:val="0"/>
                <w:sz w:val="15"/>
              </w:rPr>
              <w:t>0.003622</w:t>
            </w:r>
          </w:p>
        </w:tc>
        <w:tc>
          <w:tcPr>
            <w:tcW w:type="dxa" w:w="1800"/>
            <w:vAlign w:val="center"/>
            <w:tcMar>
              <w:top w:w="50" w:type="dxa"/>
              <w:start w:w="75" w:type="dxa"/>
              <w:bottom w:w="50" w:type="dxa"/>
              <w:end w:w="75" w:type="dxa"/>
            </w:tcMar>
          </w:tcPr>
          <w:p>
            <w:r/>
            <w:r>
              <w:rPr>
                <w:rFonts w:ascii="Aptos" w:hAnsi="Aptos"/>
                <w:b w:val="0"/>
                <w:sz w:val="15"/>
              </w:rPr>
              <w:t>1.041</w:t>
            </w:r>
          </w:p>
        </w:tc>
      </w:tr>
      <w:tr>
        <w:tc>
          <w:tcPr>
            <w:tcW w:type="dxa" w:w="1152"/>
            <w:vAlign w:val="center"/>
            <w:tcMar>
              <w:top w:w="50" w:type="dxa"/>
              <w:start w:w="75" w:type="dxa"/>
              <w:bottom w:w="50" w:type="dxa"/>
              <w:end w:w="75" w:type="dxa"/>
            </w:tcMar>
            <w:shd w:fill="EAF0F5"/>
          </w:tcPr>
          <w:p>
            <w:r/>
            <w:r>
              <w:rPr>
                <w:rFonts w:ascii="Aptos" w:hAnsi="Aptos"/>
                <w:b w:val="0"/>
                <w:sz w:val="15"/>
              </w:rPr>
              <w:t>4.0</w:t>
            </w:r>
          </w:p>
        </w:tc>
        <w:tc>
          <w:tcPr>
            <w:tcW w:type="dxa" w:w="1656"/>
            <w:vAlign w:val="center"/>
            <w:tcMar>
              <w:top w:w="50" w:type="dxa"/>
              <w:start w:w="75" w:type="dxa"/>
              <w:bottom w:w="50" w:type="dxa"/>
              <w:end w:w="75" w:type="dxa"/>
            </w:tcMar>
            <w:shd w:fill="EAF0F5"/>
          </w:tcPr>
          <w:p>
            <w:r/>
            <w:r>
              <w:rPr>
                <w:rFonts w:ascii="Aptos" w:hAnsi="Aptos"/>
                <w:b w:val="0"/>
                <w:sz w:val="15"/>
              </w:rPr>
              <w:t>17.458296</w:t>
            </w:r>
          </w:p>
        </w:tc>
        <w:tc>
          <w:tcPr>
            <w:tcW w:type="dxa" w:w="2592"/>
            <w:vAlign w:val="center"/>
            <w:tcMar>
              <w:top w:w="50" w:type="dxa"/>
              <w:start w:w="75" w:type="dxa"/>
              <w:bottom w:w="50" w:type="dxa"/>
              <w:end w:w="75" w:type="dxa"/>
            </w:tcMar>
            <w:shd w:fill="EAF0F5"/>
          </w:tcPr>
          <w:p>
            <w:r/>
            <w:r>
              <w:rPr>
                <w:rFonts w:ascii="Aptos" w:hAnsi="Aptos"/>
                <w:b w:val="0"/>
                <w:sz w:val="15"/>
              </w:rPr>
              <w:t>0.006701</w:t>
            </w:r>
          </w:p>
        </w:tc>
        <w:tc>
          <w:tcPr>
            <w:tcW w:type="dxa" w:w="1800"/>
            <w:vAlign w:val="center"/>
            <w:tcMar>
              <w:top w:w="50" w:type="dxa"/>
              <w:start w:w="75" w:type="dxa"/>
              <w:bottom w:w="50" w:type="dxa"/>
              <w:end w:w="75" w:type="dxa"/>
            </w:tcMar>
            <w:shd w:fill="EAF0F5"/>
          </w:tcPr>
          <w:p>
            <w:r/>
            <w:r>
              <w:rPr>
                <w:rFonts w:ascii="Aptos" w:hAnsi="Aptos"/>
                <w:b w:val="0"/>
                <w:sz w:val="15"/>
              </w:rPr>
              <w:t>0.888</w:t>
            </w:r>
          </w:p>
        </w:tc>
      </w:tr>
    </w:tbl>
    <w:p>
      <w:pPr>
        <w:pStyle w:val="Heading2"/>
      </w:pPr>
      <w:r>
        <w:t xml:space="preserve">3.2  Adversary Model and Preconditions</w:t>
      </w:r>
    </w:p>
    <w:p>
      <w:pPr>
        <w:spacing w:after="120" w:line="276"/>
      </w:pPr>
      <w:r>
        <w:t>The underlying F-01 thermal-safety coupling does not require an adversary: v0.4.4 includes a separately generated non-malicious synthetic power-aware schedule that exercises most of the modelled excursion. S-02 adds a distinct adversary model: a legitimate tenant with no privilege escalation, no exploit and no violation of any declared limit, who can intentionally place high demand into a thermally adverse window and compensate at other times.</w:t>
      </w:r>
    </w:p>
    <w:p>
      <w:pPr>
        <w:spacing w:after="120" w:line="276"/>
      </w:pPr>
      <w:r>
        <w:rPr>
          <w:sz w:val="20"/>
          <w:szCs w:val="20"/>
        </w:rPr>
        <w:t xml:space="preserve">v0.4 described the required capability as workload timing control plus publicly derivable orbital phase. That understated the precondition set. The full set is:</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2708"/>
        <w:gridCol w:w="4513"/>
        <w:gridCol w:w="1805"/>
      </w:tblGrid>
      <w:tr>
        <w:trPr>
          <w:tblHeader/>
          <w:tblHeader w:val="true"/>
        </w:trPr>
        <w:tc>
          <w:tcPr>
            <w:tcW w:type="dxa" w:w="2708"/>
            <w:shd w:fill="EFEFEF" w:val="clear"/>
            <w:tcMar>
              <w:top w:type="dxa" w:w="70"/>
              <w:left w:type="dxa" w:w="90"/>
              <w:bottom w:type="dxa" w:w="70"/>
              <w:right w:type="dxa" w:w="90"/>
            </w:tcMar>
          </w:tcPr>
          <w:p>
            <w:pPr>
              <w:spacing w:after="20" w:line="250"/>
            </w:pPr>
            <w:r>
              <w:rPr>
                <w:b/>
                <w:bCs/>
                <w:sz w:val="17"/>
                <w:szCs w:val="17"/>
              </w:rPr>
              <w:t xml:space="preserve">Precondition</w:t>
            </w:r>
          </w:p>
        </w:tc>
        <w:tc>
          <w:tcPr>
            <w:tcW w:type="dxa" w:w="4513"/>
            <w:shd w:fill="EFEFEF" w:val="clear"/>
            <w:tcMar>
              <w:top w:type="dxa" w:w="70"/>
              <w:left w:type="dxa" w:w="90"/>
              <w:bottom w:type="dxa" w:w="70"/>
              <w:right w:type="dxa" w:w="90"/>
            </w:tcMar>
          </w:tcPr>
          <w:p>
            <w:pPr>
              <w:spacing w:after="20" w:line="250"/>
            </w:pPr>
            <w:r>
              <w:rPr>
                <w:b/>
                <w:bCs/>
                <w:sz w:val="17"/>
                <w:szCs w:val="17"/>
              </w:rPr>
              <w:t xml:space="preserve">Why required</w:t>
            </w:r>
          </w:p>
        </w:tc>
        <w:tc>
          <w:tcPr>
            <w:tcW w:type="dxa" w:w="1805"/>
            <w:shd w:fill="EFEFEF" w:val="clear"/>
            <w:tcMar>
              <w:top w:type="dxa" w:w="70"/>
              <w:left w:type="dxa" w:w="90"/>
              <w:bottom w:type="dxa" w:w="70"/>
              <w:right w:type="dxa" w:w="90"/>
            </w:tcMar>
          </w:tcPr>
          <w:p>
            <w:pPr>
              <w:spacing w:after="20" w:line="250"/>
            </w:pPr>
            <w:r>
              <w:rPr>
                <w:b/>
                <w:bCs/>
                <w:sz w:val="17"/>
                <w:szCs w:val="17"/>
              </w:rPr>
              <w:t xml:space="preserve">Status</w:t>
            </w:r>
          </w:p>
        </w:tc>
      </w:tr>
      <w:tr>
        <w:tc>
          <w:tcPr>
            <w:tcW w:type="dxa" w:w="2708"/>
            <w:tcMar>
              <w:top w:type="dxa" w:w="70"/>
              <w:left w:type="dxa" w:w="90"/>
              <w:bottom w:type="dxa" w:w="70"/>
              <w:right w:type="dxa" w:w="90"/>
            </w:tcMar>
          </w:tcPr>
          <w:p>
            <w:pPr>
              <w:spacing w:after="20" w:line="250"/>
            </w:pPr>
            <w:r>
              <w:rPr>
                <w:sz w:val="17"/>
                <w:szCs w:val="17"/>
              </w:rPr>
              <w:t xml:space="preserve">Sufficient tenant control over execution timing</w:t>
            </w:r>
          </w:p>
        </w:tc>
        <w:tc>
          <w:tcPr>
            <w:tcW w:type="dxa" w:w="4513"/>
            <w:tcMar>
              <w:top w:type="dxa" w:w="70"/>
              <w:left w:type="dxa" w:w="90"/>
              <w:bottom w:type="dxa" w:w="70"/>
              <w:right w:type="dxa" w:w="90"/>
            </w:tcMar>
          </w:tcPr>
          <w:p>
            <w:pPr>
              <w:spacing w:after="20" w:line="250"/>
            </w:pPr>
            <w:r>
              <w:rPr>
                <w:sz w:val="17"/>
                <w:szCs w:val="17"/>
              </w:rPr>
              <w:t xml:space="preserve">To place load in the hot phase at all</w:t>
            </w:r>
          </w:p>
        </w:tc>
        <w:tc>
          <w:tcPr>
            <w:tcW w:type="dxa" w:w="1805"/>
            <w:tcMar>
              <w:top w:type="dxa" w:w="70"/>
              <w:left w:type="dxa" w:w="90"/>
              <w:bottom w:type="dxa" w:w="70"/>
              <w:right w:type="dxa" w:w="90"/>
            </w:tcMar>
          </w:tcPr>
          <w:p>
            <w:pPr>
              <w:spacing w:after="20" w:line="250"/>
            </w:pPr>
            <w:r>
              <w:rPr>
                <w:sz w:val="17"/>
                <w:szCs w:val="17"/>
              </w:rPr>
              <w:t xml:space="preserve">Plausible; unverified</w:t>
            </w:r>
          </w:p>
        </w:tc>
      </w:tr>
      <w:tr>
        <w:tc>
          <w:tcPr>
            <w:tcW w:type="dxa" w:w="2708"/>
            <w:tcMar>
              <w:top w:type="dxa" w:w="70"/>
              <w:left w:type="dxa" w:w="90"/>
              <w:bottom w:type="dxa" w:w="70"/>
              <w:right w:type="dxa" w:w="90"/>
            </w:tcMar>
          </w:tcPr>
          <w:p>
            <w:pPr>
              <w:spacing w:after="20" w:line="250"/>
            </w:pPr>
            <w:r>
              <w:rPr>
                <w:sz w:val="17"/>
                <w:szCs w:val="17"/>
              </w:rPr>
              <w:t xml:space="preserve">Predictable physical node placement</w:t>
            </w:r>
          </w:p>
        </w:tc>
        <w:tc>
          <w:tcPr>
            <w:tcW w:type="dxa" w:w="4513"/>
            <w:tcMar>
              <w:top w:type="dxa" w:w="70"/>
              <w:left w:type="dxa" w:w="90"/>
              <w:bottom w:type="dxa" w:w="70"/>
              <w:right w:type="dxa" w:w="90"/>
            </w:tcMar>
          </w:tcPr>
          <w:p>
            <w:pPr>
              <w:spacing w:after="20" w:line="250"/>
            </w:pPr>
            <w:r>
              <w:rPr>
                <w:sz w:val="17"/>
                <w:szCs w:val="17"/>
              </w:rPr>
              <w:t xml:space="preserve">To repeatedly consume the same node's margin</w:t>
            </w:r>
          </w:p>
        </w:tc>
        <w:tc>
          <w:tcPr>
            <w:tcW w:type="dxa" w:w="1805"/>
            <w:tcMar>
              <w:top w:type="dxa" w:w="70"/>
              <w:left w:type="dxa" w:w="90"/>
              <w:bottom w:type="dxa" w:w="70"/>
              <w:right w:type="dxa" w:w="90"/>
            </w:tcMar>
          </w:tcPr>
          <w:p>
            <w:pPr>
              <w:spacing w:after="20" w:line="250"/>
            </w:pPr>
            <w:r>
              <w:rPr>
                <w:sz w:val="17"/>
                <w:szCs w:val="17"/>
              </w:rPr>
              <w:t xml:space="preserve">Unverified</w:t>
            </w:r>
          </w:p>
        </w:tc>
      </w:tr>
      <w:tr>
        <w:tc>
          <w:tcPr>
            <w:tcW w:type="dxa" w:w="2708"/>
            <w:tcMar>
              <w:top w:type="dxa" w:w="70"/>
              <w:left w:type="dxa" w:w="90"/>
              <w:bottom w:type="dxa" w:w="70"/>
              <w:right w:type="dxa" w:w="90"/>
            </w:tcMar>
          </w:tcPr>
          <w:p>
            <w:pPr>
              <w:spacing w:after="20" w:line="250"/>
            </w:pPr>
            <w:r>
              <w:rPr>
                <w:sz w:val="17"/>
                <w:szCs w:val="17"/>
              </w:rPr>
              <w:t xml:space="preserve">Scheduler does not smooth or migrate load</w:t>
            </w:r>
          </w:p>
        </w:tc>
        <w:tc>
          <w:tcPr>
            <w:tcW w:type="dxa" w:w="4513"/>
            <w:tcMar>
              <w:top w:type="dxa" w:w="70"/>
              <w:left w:type="dxa" w:w="90"/>
              <w:bottom w:type="dxa" w:w="70"/>
              <w:right w:type="dxa" w:w="90"/>
            </w:tcMar>
          </w:tcPr>
          <w:p>
            <w:pPr>
              <w:spacing w:after="20" w:line="250"/>
            </w:pPr>
            <w:r>
              <w:rPr>
                <w:sz w:val="17"/>
                <w:szCs w:val="17"/>
              </w:rPr>
              <w:t xml:space="preserve">Otherwise the burst is dispersed</w:t>
            </w:r>
          </w:p>
        </w:tc>
        <w:tc>
          <w:tcPr>
            <w:tcW w:type="dxa" w:w="1805"/>
            <w:tcMar>
              <w:top w:type="dxa" w:w="70"/>
              <w:left w:type="dxa" w:w="90"/>
              <w:bottom w:type="dxa" w:w="70"/>
              <w:right w:type="dxa" w:w="90"/>
            </w:tcMar>
          </w:tcPr>
          <w:p>
            <w:pPr>
              <w:spacing w:after="20" w:line="250"/>
            </w:pPr>
            <w:r>
              <w:rPr>
                <w:sz w:val="17"/>
                <w:szCs w:val="17"/>
              </w:rPr>
              <w:t xml:space="preserve">Unverified</w:t>
            </w:r>
          </w:p>
        </w:tc>
      </w:tr>
      <w:tr>
        <w:tc>
          <w:tcPr>
            <w:tcW w:type="dxa" w:w="2708"/>
            <w:tcMar>
              <w:top w:type="dxa" w:w="70"/>
              <w:left w:type="dxa" w:w="90"/>
              <w:bottom w:type="dxa" w:w="70"/>
              <w:right w:type="dxa" w:w="90"/>
            </w:tcMar>
          </w:tcPr>
          <w:p>
            <w:pPr>
              <w:spacing w:after="20" w:line="250"/>
            </w:pPr>
            <w:r>
              <w:rPr>
                <w:sz w:val="17"/>
                <w:szCs w:val="17"/>
              </w:rPr>
              <w:t xml:space="preserve">Workload actually draws the requested power</w:t>
            </w:r>
          </w:p>
        </w:tc>
        <w:tc>
          <w:tcPr>
            <w:tcW w:type="dxa" w:w="4513"/>
            <w:tcMar>
              <w:top w:type="dxa" w:w="70"/>
              <w:left w:type="dxa" w:w="90"/>
              <w:bottom w:type="dxa" w:w="70"/>
              <w:right w:type="dxa" w:w="90"/>
            </w:tcMar>
          </w:tcPr>
          <w:p>
            <w:pPr>
              <w:spacing w:after="20" w:line="250"/>
            </w:pPr>
            <w:r>
              <w:rPr>
                <w:sz w:val="17"/>
                <w:szCs w:val="17"/>
              </w:rPr>
              <w:t xml:space="preserve">Tenant input must reach physical demand</w:t>
            </w:r>
          </w:p>
        </w:tc>
        <w:tc>
          <w:tcPr>
            <w:tcW w:type="dxa" w:w="1805"/>
            <w:tcMar>
              <w:top w:type="dxa" w:w="70"/>
              <w:left w:type="dxa" w:w="90"/>
              <w:bottom w:type="dxa" w:w="70"/>
              <w:right w:type="dxa" w:w="90"/>
            </w:tcMar>
          </w:tcPr>
          <w:p>
            <w:pPr>
              <w:spacing w:after="20" w:line="250"/>
            </w:pPr>
            <w:r>
              <w:rPr>
                <w:sz w:val="17"/>
                <w:szCs w:val="17"/>
              </w:rPr>
              <w:t xml:space="preserve">Unverified</w:t>
            </w:r>
          </w:p>
        </w:tc>
      </w:tr>
      <w:tr>
        <w:tc>
          <w:tcPr>
            <w:tcW w:type="dxa" w:w="2708"/>
            <w:tcMar>
              <w:top w:type="dxa" w:w="70"/>
              <w:left w:type="dxa" w:w="90"/>
              <w:bottom w:type="dxa" w:w="70"/>
              <w:right w:type="dxa" w:w="90"/>
            </w:tcMar>
          </w:tcPr>
          <w:p>
            <w:pPr>
              <w:spacing w:after="20" w:line="250"/>
            </w:pPr>
            <w:r>
              <w:rPr>
                <w:sz w:val="17"/>
                <w:szCs w:val="17"/>
              </w:rPr>
              <w:t xml:space="preserve">Thermal hot phase inferable from orbital phase</w:t>
            </w:r>
          </w:p>
        </w:tc>
        <w:tc>
          <w:tcPr>
            <w:tcW w:type="dxa" w:w="4513"/>
            <w:tcMar>
              <w:top w:type="dxa" w:w="70"/>
              <w:left w:type="dxa" w:w="90"/>
              <w:bottom w:type="dxa" w:w="70"/>
              <w:right w:type="dxa" w:w="90"/>
            </w:tcMar>
          </w:tcPr>
          <w:p>
            <w:pPr>
              <w:spacing w:after="20" w:line="250"/>
            </w:pPr>
            <w:r>
              <w:rPr>
                <w:sz w:val="17"/>
                <w:szCs w:val="17"/>
              </w:rPr>
              <w:t xml:space="preserve">Orbital elements alone do not give radiator thermal state; absorptivity, emissivity, geometry and attitude all enter the heat balance</w:t>
            </w:r>
          </w:p>
        </w:tc>
        <w:tc>
          <w:tcPr>
            <w:tcW w:type="dxa" w:w="1805"/>
            <w:tcMar>
              <w:top w:type="dxa" w:w="70"/>
              <w:left w:type="dxa" w:w="90"/>
              <w:bottom w:type="dxa" w:w="70"/>
              <w:right w:type="dxa" w:w="90"/>
            </w:tcMar>
          </w:tcPr>
          <w:p>
            <w:pPr>
              <w:spacing w:after="20" w:line="250"/>
            </w:pPr>
            <w:r>
              <w:rPr>
                <w:sz w:val="17"/>
                <w:szCs w:val="17"/>
              </w:rPr>
              <w:t xml:space="preserve">Weak — assumption AS-05 downgraded</w:t>
            </w:r>
          </w:p>
        </w:tc>
      </w:tr>
      <w:tr>
        <w:tc>
          <w:tcPr>
            <w:tcW w:type="dxa" w:w="2708"/>
            <w:tcMar>
              <w:top w:type="dxa" w:w="70"/>
              <w:left w:type="dxa" w:w="90"/>
              <w:bottom w:type="dxa" w:w="70"/>
              <w:right w:type="dxa" w:w="90"/>
            </w:tcMar>
          </w:tcPr>
          <w:p>
            <w:pPr>
              <w:spacing w:after="20" w:line="250"/>
            </w:pPr>
            <w:r>
              <w:rPr>
                <w:sz w:val="17"/>
                <w:szCs w:val="17"/>
              </w:rPr>
              <w:t xml:space="preserve">No thermal-aware admission control</w:t>
            </w:r>
          </w:p>
        </w:tc>
        <w:tc>
          <w:tcPr>
            <w:tcW w:type="dxa" w:w="4513"/>
            <w:tcMar>
              <w:top w:type="dxa" w:w="70"/>
              <w:left w:type="dxa" w:w="90"/>
              <w:bottom w:type="dxa" w:w="70"/>
              <w:right w:type="dxa" w:w="90"/>
            </w:tcMar>
          </w:tcPr>
          <w:p>
            <w:pPr>
              <w:spacing w:after="20" w:line="250"/>
            </w:pPr>
            <w:r>
              <w:rPr>
                <w:sz w:val="17"/>
                <w:szCs w:val="17"/>
              </w:rPr>
              <w:t xml:space="preserve">Otherwise the attack is refused at submission</w:t>
            </w:r>
          </w:p>
        </w:tc>
        <w:tc>
          <w:tcPr>
            <w:tcW w:type="dxa" w:w="1805"/>
            <w:tcMar>
              <w:top w:type="dxa" w:w="70"/>
              <w:left w:type="dxa" w:w="90"/>
              <w:bottom w:type="dxa" w:w="70"/>
              <w:right w:type="dxa" w:w="90"/>
            </w:tcMar>
          </w:tcPr>
          <w:p>
            <w:pPr>
              <w:spacing w:after="20" w:line="250"/>
            </w:pPr>
            <w:r>
              <w:rPr>
                <w:sz w:val="17"/>
                <w:szCs w:val="17"/>
              </w:rPr>
              <w:t xml:space="preserve">Unverified</w:t>
            </w:r>
          </w:p>
        </w:tc>
      </w:tr>
    </w:tbl>
    <w:p>
      <w:pPr>
        <w:spacing w:after="120" w:line="276"/>
      </w:pPr>
      <w:r>
        <w:t>Chain feasibility for adversarial exploitation in S-02 remains Unknown / Conditional. The inference from public orbital elements to an exploitable thermal window is not established. These preconditions constrain the security scenario; they do not constrain the existence of the more general thermal-safety coupling shown by the synthetic scheduling experiments.</w:t>
      </w:r>
    </w:p>
    <w:p>
      <w:pPr>
        <w:pStyle w:val="Heading2"/>
      </w:pPr>
      <w:r>
        <w:t>3.3  F-01 — Temporal Workload Placement Is a Thermal-Safety Variable</w:t>
      </w:r>
    </w:p>
    <w:p>
      <w:pPr>
        <w:spacing w:after="120" w:line="276"/>
      </w:pPr>
      <w:r>
        <w:t>Against the synthetic diversified trace, the full phase-shaped trace is matched to the same sampled post-warmup average compute power to within 0.001 % in the baseline run while increasing peak node temperature by 15.46 K. This is the central retained model result: cumulative sampled compute energy is controlled while timing is changed.</w:t>
      </w:r>
    </w:p>
    <w:p>
      <w:pPr>
        <w:spacing w:after="60" w:before="160"/>
        <w:jc w:val="center"/>
      </w:pPr>
      <w:r>
        <w:drawing>
          <wp:inline xmlns:a="http://schemas.openxmlformats.org/drawingml/2006/main" xmlns:pic="http://schemas.openxmlformats.org/drawingml/2006/picture">
            <wp:extent cx="5715000" cy="3808457"/>
            <wp:docPr id="2" name="Picture 2" descr="Figure 1. Compute power and node-temperature traces for energy-matched diversified and phase-shaped synthetic workloads in a marginal reference configuration, with assumed throttle and upper model thresholds." title="Fig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715000" cy="3808457"/>
                    </a:xfrm>
                    <a:prstGeom prst="rect"/>
                  </pic:spPr>
                </pic:pic>
              </a:graphicData>
            </a:graphic>
          </wp:inline>
        </w:drawing>
      </w:r>
    </w:p>
    <w:p>
      <w:pPr>
        <w:spacing w:after="200"/>
        <w:jc w:val="center"/>
      </w:pPr>
      <w:r>
        <w:t>Figure 1. Matched sampled post-warmup orbit-average compute power, different peak thermal state in the thermally marginal A = 80 m², ε = 0.75 reference case. The figure demonstrates timing-to-state coupling, not malicious intent. Both the 75 °C throttle threshold and 90 °C upper model limit are project assumptions, not generic hardware limits.</w:t>
      </w:r>
    </w:p>
    <w:p>
      <w:pPr>
        <w:spacing w:after="120" w:line="276"/>
      </w:pPr>
      <w:r>
        <w:t>A separately generated, energy-matched non-malicious synthetic power-aware schedule reaches 65.79 °C versus 52.81 °C for the diversified baseline: a 12.981 K excursion, equal to 84.0 % of the full phase-shaped excursion of 15.461 K. It also exceeds the model peak of every partial phase-shaped case through 75 % depth. Because this comparator is synthetic rather than empirical, it does not establish how an operational scheduler behaves; it does establish within TSM-01 that the timing-to-temperature mechanism is not intrinsically adversarial. The security question is therefore whether an attacker can intentionally exploit a pre-existing resource-safety coupling.</w:t>
      </w:r>
    </w:p>
    <w:p>
      <w:pPr>
        <w:spacing w:after="60" w:before="160"/>
        <w:jc w:val="center"/>
      </w:pPr>
      <w:r>
        <w:drawing>
          <wp:inline xmlns:a="http://schemas.openxmlformats.org/drawingml/2006/main" xmlns:pic="http://schemas.openxmlformats.org/drawingml/2006/picture">
            <wp:extent cx="5715000" cy="2467069"/>
            <wp:docPr id="3" name="Picture 3" descr="Figure 2. Twelve sensitivity entries classified as ten single-factor cases, one joint radiator-area/emissivity case and one baseline reference; a second panel shows that the observed overall range is dominated by power-related assumptions." title="Figure 2"/>
            <wp:cNvGraphicFramePr>
              <a:graphicFrameLocks noChangeAspect="1"/>
            </wp:cNvGraphicFramePr>
            <a:graphic>
              <a:graphicData uri="http://schemas.openxmlformats.org/drawingml/2006/picture">
                <pic:pic>
                  <pic:nvPicPr>
                    <pic:cNvPr id="0" name="fig4_margin_spread.png"/>
                    <pic:cNvPicPr/>
                  </pic:nvPicPr>
                  <pic:blipFill>
                    <a:blip r:embed="rId15"/>
                    <a:stretch>
                      <a:fillRect/>
                    </a:stretch>
                  </pic:blipFill>
                  <pic:spPr>
                    <a:xfrm>
                      <a:off x="0" y="0"/>
                      <a:ext cx="5715000" cy="2467069"/>
                    </a:xfrm>
                    <a:prstGeom prst="rect"/>
                  </pic:spPr>
                </pic:pic>
              </a:graphicData>
            </a:graphic>
          </wp:inline>
        </w:drawing>
      </w:r>
    </w:p>
    <w:p>
      <w:pPr>
        <w:spacing w:after="200"/>
        <w:jc w:val="center"/>
      </w:pPr>
      <w:r>
        <w:t>Figure 2. Twelve sensitivity entries are shown: 10 true single-factor cases, one joint radiator-area/emissivity case, and the baseline reference. The observed overall range is 8.03–23.68 K, but both extremes are power-related assumptions. Local observed spans around the baseline are 2.63 K for the radiator slice, 3.01 K for node capacitance, 3.59 K for loop conductance, 3.22 K for orbit period, and 15.65 K for the power-related cases. These are tested local slices, not global uncertainty bounds.</w:t>
      </w:r>
    </w:p>
    <w:p>
      <w:pPr>
        <w:pBdr>
          <w:top w:val="single" w:color="F4F6F8" w:sz="2" w:space="8"/>
          <w:bottom w:val="single" w:color="F4F6F8" w:sz="2" w:space="8"/>
          <w:left w:val="single" w:color="1F4E79" w:sz="18" w:space="10"/>
          <w:right w:val="single" w:color="F4F6F8" w:sz="2" w:space="8"/>
        </w:pBdr>
        <w:shd w:fill="F4F6F8" w:val="clear"/>
        <w:spacing w:after="160" w:before="140" w:line="276"/>
        <w:ind w:left="120" w:right="120"/>
      </w:pPr>
      <w:r>
        <w:t>What survives is the mechanism, not a universal number: in this model, cumulative energy accounting alone does not bound peak temperature when workload timing interacts with a time-varying thermal environment. Within the tested local ranges the result magnitude is less sensitive to radiator, capacitance, conductance and orbit-period changes than to the assumed compute-power envelope; this is descriptive sensitivity evidence, not a robustness proof.</w:t>
      </w:r>
    </w:p>
    <w:p>
      <w:pPr>
        <w:spacing w:after="120" w:line="276"/>
      </w:pPr>
      <w:r>
        <w:t>No universal margin threshold is claimed, and SR-THM-06 remains withdrawn. The engineering consequence is broader than the threat scenario: thermal safety cases resting on cumulative energy accounting require a separate state-aware thermal argument even under non-malicious workload placement.</w:t>
      </w:r>
    </w:p>
    <w:p>
      <w:pPr>
        <w:pStyle w:val="Heading2"/>
      </w:pPr>
      <w:r>
        <w:t xml:space="preserve">3.4  F-02 — Peak Temperature Alone Is Insufficient for Attribution</w:t>
      </w:r>
    </w:p>
    <w:p>
      <w:pPr>
        <w:spacing w:after="120" w:line="276"/>
      </w:pPr>
      <w:r>
        <w:rPr>
          <w:sz w:val="20"/>
          <w:szCs w:val="20"/>
        </w:rPr>
        <w:t>Three synthetic peak-matched physical-fault constructions were tuned to reproduce the induced peak temperature, with maximum peak mismatch below 0.0001 K. Their scale factors (emissivity ×0.824, conductance ×0.408, environmental flux ×1.664) are numerical constructions for identifiability testing; no evidence is offered that those degradation magnitudes are operationally representative.</w:t>
      </w:r>
    </w:p>
    <w:p>
      <w:pPr>
        <w:spacing w:after="60" w:before="160"/>
        <w:jc w:val="center"/>
      </w:pPr>
      <w:r>
        <w:drawing>
          <wp:inline xmlns:a="http://schemas.openxmlformats.org/drawingml/2006/main" xmlns:pic="http://schemas.openxmlformats.org/drawingml/2006/picture">
            <wp:extent cx="5715000" cy="2262188"/>
            <wp:docPr id="4" name="Picture 4" descr="Figure 3. Peak-matched synthetic thermal cases showing different temperature trajectories and trajectory RMSE relative to the induced phase-shaped load." title="Fig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15000" cy="2262188"/>
                    </a:xfrm>
                    <a:prstGeom prst="rect"/>
                  </pic:spPr>
                </pic:pic>
              </a:graphicData>
            </a:graphic>
          </wp:inline>
        </w:drawing>
      </w:r>
    </w:p>
    <w:p>
      <w:pPr>
        <w:spacing w:after="200"/>
        <w:jc w:val="center"/>
      </w:pPr>
      <w:r>
        <w:rPr>
          <w:i/>
          <w:iCs/>
          <w:color w:val="595959"/>
          <w:sz w:val="17"/>
          <w:szCs w:val="17"/>
        </w:rPr>
        <w:t>Figure 3. Synthetic peak-matched cases share a peak but have different temperature trajectories. Relative to the induced-load case, trajectory RMSE is 17.9–22.9 K in TSM-01; no trajectory classifier or real-sensor validation is implied.</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3249"/>
        <w:gridCol w:w="1444"/>
        <w:gridCol w:w="1444"/>
        <w:gridCol w:w="2888"/>
      </w:tblGrid>
      <w:tr>
        <w:trPr>
          <w:tblHeader/>
          <w:tblHeader w:val="true"/>
        </w:trPr>
        <w:tc>
          <w:tcPr>
            <w:tcW w:type="dxa" w:w="3249"/>
            <w:shd w:fill="EFEFEF" w:val="clear"/>
            <w:tcMar>
              <w:top w:type="dxa" w:w="70"/>
              <w:left w:type="dxa" w:w="90"/>
              <w:bottom w:type="dxa" w:w="70"/>
              <w:right w:type="dxa" w:w="90"/>
            </w:tcMar>
          </w:tcPr>
          <w:p>
            <w:pPr>
              <w:spacing w:after="20" w:line="250"/>
            </w:pPr>
            <w:r>
              <w:rPr>
                <w:b/>
                <w:bCs/>
                <w:sz w:val="17"/>
                <w:szCs w:val="17"/>
              </w:rPr>
              <w:t xml:space="preserve">Case</w:t>
            </w:r>
          </w:p>
        </w:tc>
        <w:tc>
          <w:tcPr>
            <w:tcW w:type="dxa" w:w="1444"/>
            <w:shd w:fill="EFEFEF" w:val="clear"/>
            <w:tcMar>
              <w:top w:type="dxa" w:w="70"/>
              <w:left w:type="dxa" w:w="90"/>
              <w:bottom w:type="dxa" w:w="70"/>
              <w:right w:type="dxa" w:w="90"/>
            </w:tcMar>
          </w:tcPr>
          <w:p>
            <w:pPr>
              <w:spacing w:after="20" w:line="250"/>
            </w:pPr>
            <w:r>
              <w:rPr>
                <w:b/>
                <w:bCs/>
                <w:sz w:val="17"/>
                <w:szCs w:val="17"/>
              </w:rPr>
              <w:t xml:space="preserve">Peak (°C)</w:t>
            </w:r>
          </w:p>
        </w:tc>
        <w:tc>
          <w:tcPr>
            <w:tcW w:type="dxa" w:w="1444"/>
            <w:shd w:fill="EFEFEF" w:val="clear"/>
            <w:tcMar>
              <w:top w:type="dxa" w:w="70"/>
              <w:left w:type="dxa" w:w="90"/>
              <w:bottom w:type="dxa" w:w="70"/>
              <w:right w:type="dxa" w:w="90"/>
            </w:tcMar>
          </w:tcPr>
          <w:p>
            <w:pPr>
              <w:spacing w:after="20" w:line="250"/>
            </w:pPr>
            <w:r>
              <w:rPr>
                <w:b/>
                <w:bCs/>
                <w:sz w:val="17"/>
                <w:szCs w:val="17"/>
              </w:rPr>
              <w:t xml:space="preserve">Mean (°C)</w:t>
            </w:r>
          </w:p>
        </w:tc>
        <w:tc>
          <w:tcPr>
            <w:tcW w:type="dxa" w:w="2888"/>
            <w:shd w:fill="EFEFEF" w:val="clear"/>
            <w:tcMar>
              <w:top w:type="dxa" w:w="70"/>
              <w:left w:type="dxa" w:w="90"/>
              <w:bottom w:type="dxa" w:w="70"/>
              <w:right w:type="dxa" w:w="90"/>
            </w:tcMar>
          </w:tcPr>
          <w:p>
            <w:pPr>
              <w:spacing w:after="20" w:line="250"/>
            </w:pPr>
            <w:r>
              <w:rPr>
                <w:b/>
                <w:bCs/>
                <w:sz w:val="17"/>
                <w:szCs w:val="17"/>
              </w:rPr>
              <w:t xml:space="preserve">Trajectory RMSE vs induced</w:t>
            </w:r>
          </w:p>
        </w:tc>
      </w:tr>
      <w:tr>
        <w:tc>
          <w:tcPr>
            <w:tcW w:type="dxa" w:w="3249"/>
            <w:tcMar>
              <w:top w:type="dxa" w:w="70"/>
              <w:left w:type="dxa" w:w="90"/>
              <w:bottom w:type="dxa" w:w="70"/>
              <w:right w:type="dxa" w:w="90"/>
            </w:tcMar>
          </w:tcPr>
          <w:p>
            <w:pPr>
              <w:spacing w:after="20" w:line="250"/>
            </w:pPr>
            <w:r>
              <w:rPr>
                <w:sz w:val="17"/>
                <w:szCs w:val="17"/>
              </w:rPr>
              <w:t>Induced phase-shaped load</w:t>
            </w:r>
          </w:p>
        </w:tc>
        <w:tc>
          <w:tcPr>
            <w:tcW w:type="dxa" w:w="1444"/>
            <w:tcMar>
              <w:top w:type="dxa" w:w="70"/>
              <w:left w:type="dxa" w:w="90"/>
              <w:bottom w:type="dxa" w:w="70"/>
              <w:right w:type="dxa" w:w="90"/>
            </w:tcMar>
          </w:tcPr>
          <w:p>
            <w:pPr>
              <w:spacing w:after="20" w:line="250"/>
            </w:pPr>
            <w:r>
              <w:rPr>
                <w:sz w:val="17"/>
                <w:szCs w:val="17"/>
              </w:rPr>
              <w:t>68.27</w:t>
            </w:r>
          </w:p>
        </w:tc>
        <w:tc>
          <w:tcPr>
            <w:tcW w:type="dxa" w:w="1444"/>
            <w:tcMar>
              <w:top w:type="dxa" w:w="70"/>
              <w:left w:type="dxa" w:w="90"/>
              <w:bottom w:type="dxa" w:w="70"/>
              <w:right w:type="dxa" w:w="90"/>
            </w:tcMar>
          </w:tcPr>
          <w:p>
            <w:pPr>
              <w:spacing w:after="20" w:line="250"/>
            </w:pPr>
            <w:r>
              <w:rPr>
                <w:sz w:val="17"/>
                <w:szCs w:val="17"/>
              </w:rPr>
              <w:t>42.91</w:t>
            </w:r>
          </w:p>
        </w:tc>
        <w:tc>
          <w:tcPr>
            <w:tcW w:type="dxa" w:w="2888"/>
            <w:tcMar>
              <w:top w:type="dxa" w:w="70"/>
              <w:left w:type="dxa" w:w="90"/>
              <w:bottom w:type="dxa" w:w="70"/>
              <w:right w:type="dxa" w:w="90"/>
            </w:tcMar>
          </w:tcPr>
          <w:p>
            <w:pPr>
              <w:spacing w:after="20" w:line="250"/>
            </w:pPr>
            <w:r>
              <w:rPr>
                <w:sz w:val="17"/>
                <w:szCs w:val="17"/>
              </w:rPr>
              <w:t>—</w:t>
            </w:r>
          </w:p>
        </w:tc>
      </w:tr>
      <w:tr>
        <w:tc>
          <w:tcPr>
            <w:tcW w:type="dxa" w:w="3249"/>
            <w:tcMar>
              <w:top w:type="dxa" w:w="70"/>
              <w:left w:type="dxa" w:w="90"/>
              <w:bottom w:type="dxa" w:w="70"/>
              <w:right w:type="dxa" w:w="90"/>
            </w:tcMar>
          </w:tcPr>
          <w:p>
            <w:pPr>
              <w:spacing w:after="20" w:line="250"/>
            </w:pPr>
            <w:r>
              <w:rPr>
                <w:sz w:val="17"/>
                <w:szCs w:val="17"/>
              </w:rPr>
              <w:t>Synthetic radiator-emissivity construction</w:t>
            </w:r>
          </w:p>
        </w:tc>
        <w:tc>
          <w:tcPr>
            <w:tcW w:type="dxa" w:w="1444"/>
            <w:tcMar>
              <w:top w:type="dxa" w:w="70"/>
              <w:left w:type="dxa" w:w="90"/>
              <w:bottom w:type="dxa" w:w="70"/>
              <w:right w:type="dxa" w:w="90"/>
            </w:tcMar>
          </w:tcPr>
          <w:p>
            <w:pPr>
              <w:spacing w:after="20" w:line="250"/>
            </w:pPr>
            <w:r>
              <w:rPr>
                <w:sz w:val="17"/>
                <w:szCs w:val="17"/>
              </w:rPr>
              <w:t>68.27</w:t>
            </w:r>
          </w:p>
        </w:tc>
        <w:tc>
          <w:tcPr>
            <w:tcW w:type="dxa" w:w="1444"/>
            <w:tcMar>
              <w:top w:type="dxa" w:w="70"/>
              <w:left w:type="dxa" w:w="90"/>
              <w:bottom w:type="dxa" w:w="70"/>
              <w:right w:type="dxa" w:w="90"/>
            </w:tcMar>
          </w:tcPr>
          <w:p>
            <w:pPr>
              <w:spacing w:after="20" w:line="250"/>
            </w:pPr>
            <w:r>
              <w:rPr>
                <w:sz w:val="17"/>
                <w:szCs w:val="17"/>
              </w:rPr>
              <w:t>59.63</w:t>
            </w:r>
          </w:p>
        </w:tc>
        <w:tc>
          <w:tcPr>
            <w:tcW w:type="dxa" w:w="2888"/>
            <w:tcMar>
              <w:top w:type="dxa" w:w="70"/>
              <w:left w:type="dxa" w:w="90"/>
              <w:bottom w:type="dxa" w:w="70"/>
              <w:right w:type="dxa" w:w="90"/>
            </w:tcMar>
          </w:tcPr>
          <w:p>
            <w:pPr>
              <w:spacing w:after="20" w:line="250"/>
            </w:pPr>
            <w:r>
              <w:rPr>
                <w:sz w:val="17"/>
                <w:szCs w:val="17"/>
              </w:rPr>
              <w:t>22.3 K</w:t>
            </w:r>
          </w:p>
        </w:tc>
      </w:tr>
      <w:tr>
        <w:tc>
          <w:tcPr>
            <w:tcW w:type="dxa" w:w="3249"/>
            <w:tcMar>
              <w:top w:type="dxa" w:w="70"/>
              <w:left w:type="dxa" w:w="90"/>
              <w:bottom w:type="dxa" w:w="70"/>
              <w:right w:type="dxa" w:w="90"/>
            </w:tcMar>
          </w:tcPr>
          <w:p>
            <w:pPr>
              <w:spacing w:after="20" w:line="250"/>
            </w:pPr>
            <w:r>
              <w:rPr>
                <w:sz w:val="17"/>
                <w:szCs w:val="17"/>
              </w:rPr>
              <w:t>Synthetic loop/conductance construction</w:t>
            </w:r>
          </w:p>
        </w:tc>
        <w:tc>
          <w:tcPr>
            <w:tcW w:type="dxa" w:w="1444"/>
            <w:tcMar>
              <w:top w:type="dxa" w:w="70"/>
              <w:left w:type="dxa" w:w="90"/>
              <w:bottom w:type="dxa" w:w="70"/>
              <w:right w:type="dxa" w:w="90"/>
            </w:tcMar>
          </w:tcPr>
          <w:p>
            <w:pPr>
              <w:spacing w:after="20" w:line="250"/>
            </w:pPr>
            <w:r>
              <w:rPr>
                <w:sz w:val="17"/>
                <w:szCs w:val="17"/>
              </w:rPr>
              <w:t>68.27</w:t>
            </w:r>
          </w:p>
        </w:tc>
        <w:tc>
          <w:tcPr>
            <w:tcW w:type="dxa" w:w="1444"/>
            <w:tcMar>
              <w:top w:type="dxa" w:w="70"/>
              <w:left w:type="dxa" w:w="90"/>
              <w:bottom w:type="dxa" w:w="70"/>
              <w:right w:type="dxa" w:w="90"/>
            </w:tcMar>
          </w:tcPr>
          <w:p>
            <w:pPr>
              <w:spacing w:after="20" w:line="250"/>
            </w:pPr>
            <w:r>
              <w:rPr>
                <w:sz w:val="17"/>
                <w:szCs w:val="17"/>
              </w:rPr>
              <w:t>59.86</w:t>
            </w:r>
          </w:p>
        </w:tc>
        <w:tc>
          <w:tcPr>
            <w:tcW w:type="dxa" w:w="2888"/>
            <w:tcMar>
              <w:top w:type="dxa" w:w="70"/>
              <w:left w:type="dxa" w:w="90"/>
              <w:bottom w:type="dxa" w:w="70"/>
              <w:right w:type="dxa" w:w="90"/>
            </w:tcMar>
          </w:tcPr>
          <w:p>
            <w:pPr>
              <w:spacing w:after="20" w:line="250"/>
            </w:pPr>
            <w:r>
              <w:rPr>
                <w:sz w:val="17"/>
                <w:szCs w:val="17"/>
              </w:rPr>
              <w:t>22.8 K</w:t>
            </w:r>
          </w:p>
        </w:tc>
      </w:tr>
      <w:tr>
        <w:tc>
          <w:tcPr>
            <w:tcW w:type="dxa" w:w="3249"/>
            <w:tcMar>
              <w:top w:type="dxa" w:w="70"/>
              <w:left w:type="dxa" w:w="90"/>
              <w:bottom w:type="dxa" w:w="70"/>
              <w:right w:type="dxa" w:w="90"/>
            </w:tcMar>
          </w:tcPr>
          <w:p>
            <w:pPr>
              <w:spacing w:after="20" w:line="250"/>
            </w:pPr>
            <w:r>
              <w:rPr>
                <w:sz w:val="17"/>
                <w:szCs w:val="17"/>
              </w:rPr>
              <w:t>Synthetic environmental-flux construction</w:t>
            </w:r>
          </w:p>
        </w:tc>
        <w:tc>
          <w:tcPr>
            <w:tcW w:type="dxa" w:w="1444"/>
            <w:tcMar>
              <w:top w:type="dxa" w:w="70"/>
              <w:left w:type="dxa" w:w="90"/>
              <w:bottom w:type="dxa" w:w="70"/>
              <w:right w:type="dxa" w:w="90"/>
            </w:tcMar>
          </w:tcPr>
          <w:p>
            <w:pPr>
              <w:spacing w:after="20" w:line="250"/>
            </w:pPr>
            <w:r>
              <w:rPr>
                <w:sz w:val="17"/>
                <w:szCs w:val="17"/>
              </w:rPr>
              <w:t>68.27</w:t>
            </w:r>
          </w:p>
        </w:tc>
        <w:tc>
          <w:tcPr>
            <w:tcW w:type="dxa" w:w="1444"/>
            <w:tcMar>
              <w:top w:type="dxa" w:w="70"/>
              <w:left w:type="dxa" w:w="90"/>
              <w:bottom w:type="dxa" w:w="70"/>
              <w:right w:type="dxa" w:w="90"/>
            </w:tcMar>
          </w:tcPr>
          <w:p>
            <w:pPr>
              <w:spacing w:after="20" w:line="250"/>
            </w:pPr>
            <w:r>
              <w:rPr>
                <w:sz w:val="17"/>
                <w:szCs w:val="17"/>
              </w:rPr>
              <w:t>56.32</w:t>
            </w:r>
          </w:p>
        </w:tc>
        <w:tc>
          <w:tcPr>
            <w:tcW w:type="dxa" w:w="2888"/>
            <w:tcMar>
              <w:top w:type="dxa" w:w="70"/>
              <w:left w:type="dxa" w:w="90"/>
              <w:bottom w:type="dxa" w:w="70"/>
              <w:right w:type="dxa" w:w="90"/>
            </w:tcMar>
          </w:tcPr>
          <w:p>
            <w:pPr>
              <w:spacing w:after="20" w:line="250"/>
            </w:pPr>
            <w:r>
              <w:rPr>
                <w:sz w:val="17"/>
                <w:szCs w:val="17"/>
              </w:rPr>
              <w:t>17.9 K</w:t>
            </w:r>
          </w:p>
        </w:tc>
      </w:tr>
    </w:tbl>
    <w:p>
      <w:pPr>
        <w:pBdr>
          <w:top w:val="single" w:color="FBF3EC" w:sz="2" w:space="8"/>
          <w:bottom w:val="single" w:color="FBF3EC" w:sz="2" w:space="8"/>
          <w:left w:val="single" w:color="B3541E" w:sz="18" w:space="10"/>
          <w:right w:val="single" w:color="FBF3EC" w:sz="2" w:space="8"/>
        </w:pBdr>
        <w:shd w:fill="FBF3EC" w:val="clear"/>
        <w:spacing w:after="160" w:before="140" w:line="276"/>
        <w:ind w:left="120" w:right="120"/>
      </w:pPr>
      <w:r>
        <w:rPr>
          <w:b/>
          <w:bCs/>
          <w:color w:val="6B3410"/>
          <w:sz w:val="20"/>
          <w:szCs w:val="20"/>
        </w:rPr>
        <w:t xml:space="preserve">Matching peak temperatures does not imply indistinguishable thermal telemetry. Full temperature trajectories, node–radiator gradients, rate of rise, orbital phase and other temporal features remain candidate discriminators and require separate testing.</w:t>
      </w:r>
    </w:p>
    <w:p>
      <w:pPr>
        <w:spacing w:after="120" w:line="276"/>
      </w:pPr>
      <w:r>
        <w:rPr>
          <w:sz w:val="20"/>
          <w:szCs w:val="20"/>
        </w:rPr>
        <w:t xml:space="preserve">No trajectory-based classifier has been built or evaluated. Whether these separations survive sensor noise, model error and adversarial shaping is open (RB-07).</w:t>
      </w:r>
    </w:p>
    <w:p>
      <w:pPr>
        <w:pStyle w:val="Heading2"/>
      </w:pPr>
      <w:r>
        <w:t>3.5  F-03 — No Tested Single Metric Separates All Modelled Cases</w:t>
      </w:r>
    </w:p>
    <w:p>
      <w:pPr>
        <w:spacing w:after="120" w:line="276"/>
      </w:pPr>
      <w:r>
        <w:rPr>
          <w:sz w:val="20"/>
          <w:szCs w:val="20"/>
        </w:rPr>
        <w:t>v0.4 used one physical-fault comparator and over-generalised the result. v0.4.3 evaluates the candidate whole-system energy residual and apparent-conductance metric across all three synthetic peak-matched physical-fault constructions, and treats phase correlation separately as a candidate temporal feature.</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3249"/>
        <w:gridCol w:w="2888"/>
        <w:gridCol w:w="2888"/>
      </w:tblGrid>
      <w:tr>
        <w:trPr>
          <w:tblHeader/>
          <w:tblHeader w:val="true"/>
        </w:trPr>
        <w:tc>
          <w:tcPr>
            <w:tcW w:type="dxa" w:w="3249"/>
            <w:shd w:fill="EFEFEF" w:val="clear"/>
            <w:tcMar>
              <w:top w:type="dxa" w:w="70"/>
              <w:left w:type="dxa" w:w="90"/>
              <w:bottom w:type="dxa" w:w="70"/>
              <w:right w:type="dxa" w:w="90"/>
            </w:tcMar>
          </w:tcPr>
          <w:p>
            <w:pPr>
              <w:spacing w:after="20" w:line="250"/>
            </w:pPr>
            <w:r>
              <w:rPr>
                <w:b/>
                <w:bCs/>
                <w:sz w:val="17"/>
                <w:szCs w:val="17"/>
              </w:rPr>
              <w:t xml:space="preserve">Case</w:t>
            </w:r>
          </w:p>
        </w:tc>
        <w:tc>
          <w:tcPr>
            <w:tcW w:type="dxa" w:w="2888"/>
            <w:shd w:fill="EFEFEF" w:val="clear"/>
            <w:tcMar>
              <w:top w:type="dxa" w:w="70"/>
              <w:left w:type="dxa" w:w="90"/>
              <w:bottom w:type="dxa" w:w="70"/>
              <w:right w:type="dxa" w:w="90"/>
            </w:tcMar>
          </w:tcPr>
          <w:p>
            <w:pPr>
              <w:spacing w:after="20" w:line="250"/>
            </w:pPr>
            <w:r>
              <w:rPr>
                <w:b/>
                <w:bCs/>
                <w:sz w:val="17"/>
                <w:szCs w:val="17"/>
              </w:rPr>
              <w:t xml:space="preserve">Detector A residual</w:t>
            </w:r>
          </w:p>
        </w:tc>
        <w:tc>
          <w:tcPr>
            <w:tcW w:type="dxa" w:w="2888"/>
            <w:shd w:fill="EFEFEF" w:val="clear"/>
            <w:tcMar>
              <w:top w:type="dxa" w:w="70"/>
              <w:left w:type="dxa" w:w="90"/>
              <w:bottom w:type="dxa" w:w="70"/>
              <w:right w:type="dxa" w:w="90"/>
            </w:tcMar>
          </w:tcPr>
          <w:p>
            <w:pPr>
              <w:spacing w:after="20" w:line="250"/>
            </w:pPr>
            <w:r>
              <w:rPr>
                <w:b/>
                <w:bCs/>
                <w:sz w:val="17"/>
                <w:szCs w:val="17"/>
              </w:rPr>
              <w:t xml:space="preserve">Detector C apparent conductance</w:t>
            </w:r>
          </w:p>
        </w:tc>
      </w:tr>
      <w:tr>
        <w:tc>
          <w:tcPr>
            <w:tcW w:type="dxa" w:w="3249"/>
            <w:tcMar>
              <w:top w:type="dxa" w:w="70"/>
              <w:left w:type="dxa" w:w="90"/>
              <w:bottom w:type="dxa" w:w="70"/>
              <w:right w:type="dxa" w:w="90"/>
            </w:tcMar>
          </w:tcPr>
          <w:p>
            <w:pPr>
              <w:spacing w:after="20" w:line="250"/>
            </w:pPr>
            <w:r>
              <w:rPr>
                <w:sz w:val="17"/>
                <w:szCs w:val="17"/>
              </w:rPr>
              <w:t>Nominal</w:t>
            </w:r>
          </w:p>
        </w:tc>
        <w:tc>
          <w:tcPr>
            <w:tcW w:type="dxa" w:w="2888"/>
            <w:tcMar>
              <w:top w:type="dxa" w:w="70"/>
              <w:left w:type="dxa" w:w="90"/>
              <w:bottom w:type="dxa" w:w="70"/>
              <w:right w:type="dxa" w:w="90"/>
            </w:tcMar>
          </w:tcPr>
          <w:p>
            <w:pPr>
              <w:spacing w:after="20" w:line="250"/>
            </w:pPr>
            <w:r>
              <w:rPr>
                <w:sz w:val="17"/>
                <w:szCs w:val="17"/>
              </w:rPr>
              <w:t>−11.2 W</w:t>
            </w:r>
          </w:p>
        </w:tc>
        <w:tc>
          <w:tcPr>
            <w:tcW w:type="dxa" w:w="2888"/>
            <w:tcMar>
              <w:top w:type="dxa" w:w="70"/>
              <w:left w:type="dxa" w:w="90"/>
              <w:bottom w:type="dxa" w:w="70"/>
              <w:right w:type="dxa" w:w="90"/>
            </w:tcMar>
          </w:tcPr>
          <w:p>
            <w:pPr>
              <w:spacing w:after="20" w:line="250"/>
            </w:pPr>
            <w:r>
              <w:rPr>
                <w:sz w:val="17"/>
                <w:szCs w:val="17"/>
              </w:rPr>
              <w:t>1.000×</w:t>
            </w:r>
          </w:p>
        </w:tc>
      </w:tr>
      <w:tr>
        <w:tc>
          <w:tcPr>
            <w:tcW w:type="dxa" w:w="3249"/>
            <w:tcMar>
              <w:top w:type="dxa" w:w="70"/>
              <w:left w:type="dxa" w:w="90"/>
              <w:bottom w:type="dxa" w:w="70"/>
              <w:right w:type="dxa" w:w="90"/>
            </w:tcMar>
          </w:tcPr>
          <w:p>
            <w:pPr>
              <w:spacing w:after="20" w:line="250"/>
            </w:pPr>
            <w:r>
              <w:rPr>
                <w:sz w:val="17"/>
                <w:szCs w:val="17"/>
              </w:rPr>
              <w:t>Induced phase-shaped load</w:t>
            </w:r>
          </w:p>
        </w:tc>
        <w:tc>
          <w:tcPr>
            <w:tcW w:type="dxa" w:w="2888"/>
            <w:tcMar>
              <w:top w:type="dxa" w:w="70"/>
              <w:left w:type="dxa" w:w="90"/>
              <w:bottom w:type="dxa" w:w="70"/>
              <w:right w:type="dxa" w:w="90"/>
            </w:tcMar>
          </w:tcPr>
          <w:p>
            <w:pPr>
              <w:spacing w:after="20" w:line="250"/>
            </w:pPr>
            <w:r>
              <w:rPr>
                <w:sz w:val="17"/>
                <w:szCs w:val="17"/>
              </w:rPr>
              <w:t>−11.3 W</w:t>
            </w:r>
          </w:p>
        </w:tc>
        <w:tc>
          <w:tcPr>
            <w:tcW w:type="dxa" w:w="2888"/>
            <w:tcMar>
              <w:top w:type="dxa" w:w="70"/>
              <w:left w:type="dxa" w:w="90"/>
              <w:bottom w:type="dxa" w:w="70"/>
              <w:right w:type="dxa" w:w="90"/>
            </w:tcMar>
          </w:tcPr>
          <w:p>
            <w:pPr>
              <w:spacing w:after="20" w:line="250"/>
            </w:pPr>
            <w:r>
              <w:rPr>
                <w:sz w:val="17"/>
                <w:szCs w:val="17"/>
              </w:rPr>
              <w:t>1.001×</w:t>
            </w:r>
          </w:p>
        </w:tc>
      </w:tr>
      <w:tr>
        <w:tc>
          <w:tcPr>
            <w:tcW w:type="dxa" w:w="3249"/>
            <w:tcMar>
              <w:top w:type="dxa" w:w="70"/>
              <w:left w:type="dxa" w:w="90"/>
              <w:bottom w:type="dxa" w:w="70"/>
              <w:right w:type="dxa" w:w="90"/>
            </w:tcMar>
          </w:tcPr>
          <w:p>
            <w:pPr>
              <w:spacing w:after="20" w:line="250"/>
            </w:pPr>
            <w:r>
              <w:rPr>
                <w:sz w:val="17"/>
                <w:szCs w:val="17"/>
              </w:rPr>
              <w:t>Synthetic radiator-emissivity construction</w:t>
            </w:r>
          </w:p>
        </w:tc>
        <w:tc>
          <w:tcPr>
            <w:tcW w:type="dxa" w:w="2888"/>
            <w:tcMar>
              <w:top w:type="dxa" w:w="70"/>
              <w:left w:type="dxa" w:w="90"/>
              <w:bottom w:type="dxa" w:w="70"/>
              <w:right w:type="dxa" w:w="90"/>
            </w:tcMar>
          </w:tcPr>
          <w:p>
            <w:pPr>
              <w:spacing w:after="20" w:line="250"/>
            </w:pPr>
            <w:r>
              <w:rPr>
                <w:sz w:val="17"/>
                <w:szCs w:val="17"/>
              </w:rPr>
              <w:t>+9 153 W</w:t>
            </w:r>
          </w:p>
        </w:tc>
        <w:tc>
          <w:tcPr>
            <w:tcW w:type="dxa" w:w="2888"/>
            <w:tcMar>
              <w:top w:type="dxa" w:w="70"/>
              <w:left w:type="dxa" w:w="90"/>
              <w:bottom w:type="dxa" w:w="70"/>
              <w:right w:type="dxa" w:w="90"/>
            </w:tcMar>
          </w:tcPr>
          <w:p>
            <w:pPr>
              <w:spacing w:after="20" w:line="250"/>
            </w:pPr>
            <w:r>
              <w:rPr>
                <w:sz w:val="17"/>
                <w:szCs w:val="17"/>
              </w:rPr>
              <w:t>1.000×</w:t>
            </w:r>
          </w:p>
        </w:tc>
      </w:tr>
      <w:tr>
        <w:tc>
          <w:tcPr>
            <w:tcW w:type="dxa" w:w="3249"/>
            <w:tcMar>
              <w:top w:type="dxa" w:w="70"/>
              <w:left w:type="dxa" w:w="90"/>
              <w:bottom w:type="dxa" w:w="70"/>
              <w:right w:type="dxa" w:w="90"/>
            </w:tcMar>
          </w:tcPr>
          <w:p>
            <w:pPr>
              <w:spacing w:after="20" w:line="250"/>
            </w:pPr>
            <w:r>
              <w:rPr>
                <w:sz w:val="17"/>
                <w:szCs w:val="17"/>
              </w:rPr>
              <w:t>Synthetic loop/conductance construction</w:t>
            </w:r>
          </w:p>
        </w:tc>
        <w:tc>
          <w:tcPr>
            <w:tcW w:type="dxa" w:w="2888"/>
            <w:tcMar>
              <w:top w:type="dxa" w:w="70"/>
              <w:left w:type="dxa" w:w="90"/>
              <w:bottom w:type="dxa" w:w="70"/>
              <w:right w:type="dxa" w:w="90"/>
            </w:tcMar>
          </w:tcPr>
          <w:p>
            <w:pPr>
              <w:spacing w:after="20" w:line="250"/>
            </w:pPr>
            <w:r>
              <w:rPr>
                <w:sz w:val="17"/>
                <w:szCs w:val="17"/>
              </w:rPr>
              <w:t>−11.2 W</w:t>
            </w:r>
          </w:p>
        </w:tc>
        <w:tc>
          <w:tcPr>
            <w:tcW w:type="dxa" w:w="2888"/>
            <w:tcMar>
              <w:top w:type="dxa" w:w="70"/>
              <w:left w:type="dxa" w:w="90"/>
              <w:bottom w:type="dxa" w:w="70"/>
              <w:right w:type="dxa" w:w="90"/>
            </w:tcMar>
          </w:tcPr>
          <w:p>
            <w:pPr>
              <w:spacing w:after="20" w:line="250"/>
            </w:pPr>
            <w:r>
              <w:rPr>
                <w:sz w:val="17"/>
                <w:szCs w:val="17"/>
              </w:rPr>
              <w:t>0.408×</w:t>
            </w:r>
          </w:p>
        </w:tc>
      </w:tr>
      <w:tr>
        <w:tc>
          <w:tcPr>
            <w:tcW w:type="dxa" w:w="3249"/>
            <w:tcMar>
              <w:top w:type="dxa" w:w="70"/>
              <w:left w:type="dxa" w:w="90"/>
              <w:bottom w:type="dxa" w:w="70"/>
              <w:right w:type="dxa" w:w="90"/>
            </w:tcMar>
          </w:tcPr>
          <w:p>
            <w:pPr>
              <w:spacing w:after="20" w:line="250"/>
            </w:pPr>
            <w:r>
              <w:rPr>
                <w:sz w:val="17"/>
                <w:szCs w:val="17"/>
              </w:rPr>
              <w:t>Synthetic environmental-flux construction</w:t>
            </w:r>
          </w:p>
        </w:tc>
        <w:tc>
          <w:tcPr>
            <w:tcW w:type="dxa" w:w="2888"/>
            <w:tcMar>
              <w:top w:type="dxa" w:w="70"/>
              <w:left w:type="dxa" w:w="90"/>
              <w:bottom w:type="dxa" w:w="70"/>
              <w:right w:type="dxa" w:w="90"/>
            </w:tcMar>
          </w:tcPr>
          <w:p>
            <w:pPr>
              <w:spacing w:after="20" w:line="250"/>
            </w:pPr>
            <w:r>
              <w:rPr>
                <w:sz w:val="17"/>
                <w:szCs w:val="17"/>
              </w:rPr>
              <w:t>+7 169 W</w:t>
            </w:r>
          </w:p>
        </w:tc>
        <w:tc>
          <w:tcPr>
            <w:tcW w:type="dxa" w:w="2888"/>
            <w:tcMar>
              <w:top w:type="dxa" w:w="70"/>
              <w:left w:type="dxa" w:w="90"/>
              <w:bottom w:type="dxa" w:w="70"/>
              <w:right w:type="dxa" w:w="90"/>
            </w:tcMar>
          </w:tcPr>
          <w:p>
            <w:pPr>
              <w:spacing w:after="20" w:line="250"/>
            </w:pPr>
            <w:r>
              <w:rPr>
                <w:sz w:val="17"/>
                <w:szCs w:val="17"/>
              </w:rPr>
              <w:t>1.000×</w:t>
            </w:r>
          </w:p>
        </w:tc>
      </w:tr>
    </w:tbl>
    <w:p>
      <w:pPr>
        <w:spacing w:after="120" w:line="276"/>
      </w:pPr>
      <w:r>
        <w:rPr>
          <w:sz w:val="20"/>
          <w:szCs w:val="20"/>
        </w:rPr>
        <w:t>The energy-balance residual shifts strongly for the radiator-emissivity and environmental-flux constructions but not for the loop/conductance construction or induced load. The apparent-conductance metric shows the inverse pattern for the loop construction. The project-selected 200 W and 5 % thresholds in Figure 4 are screening aids only; they are not calibrated detector thresholds.</w:t>
      </w:r>
    </w:p>
    <w:p>
      <w:pPr>
        <w:spacing w:after="60" w:before="160"/>
        <w:jc w:val="center"/>
      </w:pPr>
      <w:r>
        <w:drawing>
          <wp:inline xmlns:a="http://schemas.openxmlformats.org/drawingml/2006/main" xmlns:pic="http://schemas.openxmlformats.org/drawingml/2006/picture">
            <wp:extent cx="5715000" cy="2450460"/>
            <wp:docPr id="5" name="Picture 5" descr="Figure 4. Candidate energy-balance and gradient metric shifts across synthetic cases and illustrative empirical AUC under assumed uncertainty." title="Fig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15000" cy="2450460"/>
                    </a:xfrm>
                    <a:prstGeom prst="rect"/>
                  </pic:spPr>
                </pic:pic>
              </a:graphicData>
            </a:graphic>
          </wp:inline>
        </w:drawing>
      </w:r>
    </w:p>
    <w:p>
      <w:pPr>
        <w:spacing w:after="200"/>
        <w:jc w:val="center"/>
      </w:pPr>
      <w:r>
        <w:rPr>
          <w:i/>
          <w:iCs/>
          <w:color w:val="595959"/>
          <w:sz w:val="17"/>
          <w:szCs w:val="17"/>
        </w:rPr>
        <w:t>Figure 4. Left: candidate metric shifts across the modelled cases under project-selected screening thresholds. Right: empirical discrimination of the energy-balance metric under the illustrative v0.4.3 uncertainty model. No operational detector performance is claimed.</w:t>
      </w:r>
    </w:p>
    <w:p>
      <w:pPr>
        <w:pBdr>
          <w:top w:val="single" w:color="FBF3EC" w:sz="2" w:space="8"/>
          <w:bottom w:val="single" w:color="FBF3EC" w:sz="2" w:space="8"/>
          <w:left w:val="single" w:color="B3541E" w:sz="18" w:space="10"/>
          <w:right w:val="single" w:color="FBF3EC" w:sz="2" w:space="8"/>
        </w:pBdr>
        <w:shd w:fill="FBF3EC" w:val="clear"/>
        <w:spacing w:after="160" w:before="140" w:line="276"/>
        <w:ind w:left="120" w:right="120"/>
      </w:pPr>
      <w:r>
        <w:rPr>
          <w:b/>
          <w:bCs/>
          <w:color w:val="6B3410"/>
          <w:sz w:val="20"/>
          <w:szCs w:val="20"/>
        </w:rPr>
        <w:t>The tested metrics are complementary, but the evidence does not justify the universal claim that thermal attribution requires any particular fixed feature set. The requirement is therefore outcome-based: the eventual system must demonstrate sufficient independent observability against its defined fault and workload classes; energy balance, node–radiator gradient and temporal features are candidate observables.</w:t>
      </w:r>
    </w:p>
    <w:p>
      <w:pPr>
        <w:pStyle w:val="Heading2"/>
      </w:pPr>
      <w:r>
        <w:t>3.6  F-04 — Illustrative Discrimination Is Uncertainty-Limited</w:t>
      </w:r>
    </w:p>
    <w:p>
      <w:pPr>
        <w:spacing w:after="120" w:line="276"/>
      </w:pPr>
      <w:r>
        <w:rPr>
          <w:sz w:val="20"/>
          <w:szCs w:val="20"/>
        </w:rPr>
        <w:t>The v0.4 “414σ” result is withdrawn. v0.4.3 uses an illustrative Monte Carlo model with 400 draws and project-assumed Gaussian standard deviations: effective radiative-coefficient σ = 7 %, electrical-power calibration σ = 3 %, environmental-load model σ = 15 %, and temperature-sensor noise σ = 0.3 K. These are not measured operational error distributions.</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3069"/>
        <w:gridCol w:w="1805"/>
        <w:gridCol w:w="4152"/>
      </w:tblGrid>
      <w:tr>
        <w:trPr>
          <w:tblHeader/>
          <w:tblHeader w:val="true"/>
        </w:trPr>
        <w:tc>
          <w:tcPr>
            <w:tcW w:type="dxa" w:w="3069"/>
            <w:shd w:fill="EFEFEF" w:val="clear"/>
            <w:tcMar>
              <w:top w:type="dxa" w:w="70"/>
              <w:left w:type="dxa" w:w="90"/>
              <w:bottom w:type="dxa" w:w="70"/>
              <w:right w:type="dxa" w:w="90"/>
            </w:tcMar>
          </w:tcPr>
          <w:p>
            <w:pPr>
              <w:spacing w:after="0" w:before="0"/>
            </w:pPr>
            <w:r>
              <w:t>Comparison</w:t>
            </w:r>
          </w:p>
        </w:tc>
        <w:tc>
          <w:tcPr>
            <w:tcW w:type="dxa" w:w="1805"/>
            <w:shd w:fill="EFEFEF" w:val="clear"/>
            <w:tcMar>
              <w:top w:type="dxa" w:w="70"/>
              <w:left w:type="dxa" w:w="90"/>
              <w:bottom w:type="dxa" w:w="70"/>
              <w:right w:type="dxa" w:w="90"/>
            </w:tcMar>
          </w:tcPr>
          <w:p>
            <w:pPr>
              <w:spacing w:after="0" w:before="0"/>
            </w:pPr>
            <w:r>
              <w:t>Pooled standardised mean difference</w:t>
            </w:r>
          </w:p>
        </w:tc>
        <w:tc>
          <w:tcPr>
            <w:tcW w:type="dxa" w:w="4152"/>
            <w:shd w:fill="EFEFEF" w:val="clear"/>
            <w:tcMar>
              <w:top w:type="dxa" w:w="70"/>
              <w:left w:type="dxa" w:w="90"/>
              <w:bottom w:type="dxa" w:w="70"/>
              <w:right w:type="dxa" w:w="90"/>
            </w:tcMar>
          </w:tcPr>
          <w:p>
            <w:pPr>
              <w:spacing w:after="0" w:before="0"/>
            </w:pPr>
            <w:r>
              <w:t>Empirical AUC / TPR @ 5 % induced false-positive threshold</w:t>
            </w:r>
          </w:p>
        </w:tc>
      </w:tr>
      <w:tr>
        <w:tc>
          <w:tcPr>
            <w:tcW w:type="dxa" w:w="3069"/>
            <w:tcMar>
              <w:top w:type="dxa" w:w="70"/>
              <w:left w:type="dxa" w:w="90"/>
              <w:bottom w:type="dxa" w:w="70"/>
              <w:right w:type="dxa" w:w="90"/>
            </w:tcMar>
          </w:tcPr>
          <w:p>
            <w:pPr>
              <w:spacing w:after="0" w:before="0"/>
            </w:pPr>
            <w:r>
              <w:t>Emissivity construction vs induced</w:t>
            </w:r>
          </w:p>
        </w:tc>
        <w:tc>
          <w:tcPr>
            <w:tcW w:type="dxa" w:w="1805"/>
            <w:tcMar>
              <w:top w:type="dxa" w:w="70"/>
              <w:left w:type="dxa" w:w="90"/>
              <w:bottom w:type="dxa" w:w="70"/>
              <w:right w:type="dxa" w:w="90"/>
            </w:tcMar>
          </w:tcPr>
          <w:p>
            <w:pPr>
              <w:spacing w:after="0" w:before="0"/>
            </w:pPr>
            <w:r>
              <w:t>2.393</w:t>
            </w:r>
          </w:p>
        </w:tc>
        <w:tc>
          <w:tcPr>
            <w:tcW w:type="dxa" w:w="4152"/>
            <w:tcMar>
              <w:top w:type="dxa" w:w="70"/>
              <w:left w:type="dxa" w:w="90"/>
              <w:bottom w:type="dxa" w:w="70"/>
              <w:right w:type="dxa" w:w="90"/>
            </w:tcMar>
          </w:tcPr>
          <w:p>
            <w:pPr>
              <w:spacing w:after="0" w:before="0"/>
            </w:pPr>
            <w:r>
              <w:t>0.955 / 0.770</w:t>
            </w:r>
          </w:p>
        </w:tc>
      </w:tr>
      <w:tr>
        <w:tc>
          <w:tcPr>
            <w:tcW w:type="dxa" w:w="3069"/>
            <w:tcMar>
              <w:top w:type="dxa" w:w="70"/>
              <w:left w:type="dxa" w:w="90"/>
              <w:bottom w:type="dxa" w:w="70"/>
              <w:right w:type="dxa" w:w="90"/>
            </w:tcMar>
          </w:tcPr>
          <w:p>
            <w:pPr>
              <w:spacing w:after="0" w:before="0"/>
            </w:pPr>
            <w:r>
              <w:t>Environmental construction vs induced</w:t>
            </w:r>
          </w:p>
        </w:tc>
        <w:tc>
          <w:tcPr>
            <w:tcW w:type="dxa" w:w="1805"/>
            <w:tcMar>
              <w:top w:type="dxa" w:w="70"/>
              <w:left w:type="dxa" w:w="90"/>
              <w:bottom w:type="dxa" w:w="70"/>
              <w:right w:type="dxa" w:w="90"/>
            </w:tcMar>
          </w:tcPr>
          <w:p>
            <w:pPr>
              <w:spacing w:after="0" w:before="0"/>
            </w:pPr>
            <w:r>
              <w:t>1.909</w:t>
            </w:r>
          </w:p>
        </w:tc>
        <w:tc>
          <w:tcPr>
            <w:tcW w:type="dxa" w:w="4152"/>
            <w:tcMar>
              <w:top w:type="dxa" w:w="70"/>
              <w:left w:type="dxa" w:w="90"/>
              <w:bottom w:type="dxa" w:w="70"/>
              <w:right w:type="dxa" w:w="90"/>
            </w:tcMar>
          </w:tcPr>
          <w:p>
            <w:pPr>
              <w:spacing w:after="0" w:before="0"/>
            </w:pPr>
            <w:r>
              <w:t>0.911 / 0.603</w:t>
            </w:r>
          </w:p>
        </w:tc>
      </w:tr>
      <w:tr>
        <w:tc>
          <w:tcPr>
            <w:tcW w:type="dxa" w:w="3069"/>
            <w:tcMar>
              <w:top w:type="dxa" w:w="70"/>
              <w:left w:type="dxa" w:w="90"/>
              <w:bottom w:type="dxa" w:w="70"/>
              <w:right w:type="dxa" w:w="90"/>
            </w:tcMar>
          </w:tcPr>
          <w:p>
            <w:pPr>
              <w:spacing w:after="0" w:before="0"/>
            </w:pPr>
            <w:r>
              <w:t>Loop construction vs induced</w:t>
            </w:r>
          </w:p>
        </w:tc>
        <w:tc>
          <w:tcPr>
            <w:tcW w:type="dxa" w:w="1805"/>
            <w:tcMar>
              <w:top w:type="dxa" w:w="70"/>
              <w:left w:type="dxa" w:w="90"/>
              <w:bottom w:type="dxa" w:w="70"/>
              <w:right w:type="dxa" w:w="90"/>
            </w:tcMar>
          </w:tcPr>
          <w:p>
            <w:pPr>
              <w:spacing w:after="0" w:before="0"/>
            </w:pPr>
            <w:r>
              <w:t>0.000</w:t>
            </w:r>
          </w:p>
        </w:tc>
        <w:tc>
          <w:tcPr>
            <w:tcW w:type="dxa" w:w="4152"/>
            <w:tcMar>
              <w:top w:type="dxa" w:w="70"/>
              <w:left w:type="dxa" w:w="90"/>
              <w:bottom w:type="dxa" w:w="70"/>
              <w:right w:type="dxa" w:w="90"/>
            </w:tcMar>
          </w:tcPr>
          <w:p>
            <w:pPr>
              <w:spacing w:after="0" w:before="0"/>
            </w:pPr>
            <w:r>
              <w:t>0.500 / 0.052</w:t>
            </w:r>
          </w:p>
        </w:tc>
      </w:tr>
      <w:tr>
        <w:tc>
          <w:tcPr>
            <w:tcW w:type="dxa" w:w="3069"/>
            <w:tcMar>
              <w:top w:type="dxa" w:w="70"/>
              <w:left w:type="dxa" w:w="90"/>
              <w:bottom w:type="dxa" w:w="70"/>
              <w:right w:type="dxa" w:w="90"/>
            </w:tcMar>
          </w:tcPr>
          <w:p>
            <w:pPr>
              <w:spacing w:after="0" w:before="0"/>
            </w:pPr>
            <w:r>
              <w:t>Interpretation</w:t>
            </w:r>
          </w:p>
        </w:tc>
        <w:tc>
          <w:tcPr>
            <w:tcW w:type="dxa" w:w="1805"/>
            <w:tcMar>
              <w:top w:type="dxa" w:w="70"/>
              <w:left w:type="dxa" w:w="90"/>
              <w:bottom w:type="dxa" w:w="70"/>
              <w:right w:type="dxa" w:w="90"/>
            </w:tcMar>
          </w:tcPr>
          <w:p>
            <w:pPr>
              <w:spacing w:after="0" w:before="0"/>
            </w:pPr>
            <w:r>
              <w:t>Illustrative synthetic discrimination only</w:t>
            </w:r>
          </w:p>
        </w:tc>
        <w:tc>
          <w:tcPr>
            <w:tcW w:type="dxa" w:w="4152"/>
            <w:tcMar>
              <w:top w:type="dxa" w:w="70"/>
              <w:left w:type="dxa" w:w="90"/>
              <w:bottom w:type="dxa" w:w="70"/>
              <w:right w:type="dxa" w:w="90"/>
            </w:tcMar>
          </w:tcPr>
          <w:p>
            <w:pPr>
              <w:spacing w:after="0" w:before="0"/>
            </w:pPr>
            <w:r>
              <w:t>Not operational detector qualification</w:t>
            </w:r>
          </w:p>
        </w:tc>
      </w:tr>
    </w:tbl>
    <w:p>
      <w:pPr>
        <w:spacing w:after="120" w:line="276"/>
      </w:pPr>
      <w:r>
        <w:rPr>
          <w:color w:val="595959"/>
          <w:sz w:val="19"/>
          <w:szCs w:val="19"/>
        </w:rPr>
        <w:t>Performance is reported with a pooled-standard-deviation effect size, empirical AUC, and true-positive rate at a threshold chosen for 5 % induced-case false positives. These metrics are descriptive for this synthetic experiment; they are not certification thresholds, operational false-alarm rates, or a claim of Gaussian “sigma significance”.</w:t>
      </w:r>
    </w:p>
    <w:p>
      <w:pPr>
        <w:pBdr>
          <w:top w:val="single" w:color="FDF2F2" w:sz="2" w:space="8"/>
          <w:bottom w:val="single" w:color="FDF2F2" w:sz="2" w:space="8"/>
          <w:left w:val="single" w:color="9B2226" w:sz="18" w:space="10"/>
          <w:right w:val="single" w:color="FDF2F2" w:sz="2" w:space="8"/>
        </w:pBdr>
        <w:shd w:fill="FDF2F2" w:val="clear"/>
        <w:spacing w:after="160" w:before="140" w:line="276"/>
        <w:ind w:left="120" w:right="120"/>
      </w:pPr>
      <w:r>
        <w:rPr>
          <w:b/>
          <w:bCs/>
          <w:color w:val="7A1C20"/>
          <w:sz w:val="20"/>
          <w:szCs w:val="20"/>
        </w:rPr>
        <w:t>At the baseline illustrative uncertainty, the energy residual separates the emissivity construction from the induced case with pooled effect size 2.393, AUC 0.955 and TPR 0.770 at 5 % induced false positives; the environmental construction yields 1.909 / 0.911 / 0.603, while the loop construction remains 0.000 / 0.500 / 0.052. This shows model-family dependence, not a universal detector ranking.</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3069"/>
        <w:gridCol w:w="2979"/>
        <w:gridCol w:w="2979"/>
      </w:tblGrid>
      <w:tr>
        <w:trPr>
          <w:tblHeader/>
          <w:tblHeader w:val="true"/>
        </w:trPr>
        <w:tc>
          <w:tcPr>
            <w:tcW w:type="dxa" w:w="3069"/>
            <w:shd w:fill="EFEFEF" w:val="clear"/>
            <w:tcMar>
              <w:top w:type="dxa" w:w="70"/>
              <w:left w:type="dxa" w:w="90"/>
              <w:bottom w:type="dxa" w:w="70"/>
              <w:right w:type="dxa" w:w="90"/>
            </w:tcMar>
          </w:tcPr>
          <w:p>
            <w:pPr>
              <w:spacing w:after="0" w:before="0"/>
            </w:pPr>
            <w:r>
              <w:t>Radiative-coefficient σ</w:t>
            </w:r>
          </w:p>
        </w:tc>
        <w:tc>
          <w:tcPr>
            <w:tcW w:type="dxa" w:w="2979"/>
            <w:shd w:fill="EFEFEF" w:val="clear"/>
            <w:tcMar>
              <w:top w:type="dxa" w:w="70"/>
              <w:left w:type="dxa" w:w="90"/>
              <w:bottom w:type="dxa" w:w="70"/>
              <w:right w:type="dxa" w:w="90"/>
            </w:tcMar>
          </w:tcPr>
          <w:p>
            <w:pPr>
              <w:spacing w:after="0" w:before="0"/>
            </w:pPr>
            <w:r>
              <w:t>Pooled standardised mean difference</w:t>
            </w:r>
          </w:p>
        </w:tc>
        <w:tc>
          <w:tcPr>
            <w:tcW w:type="dxa" w:w="2979"/>
            <w:shd w:fill="EFEFEF" w:val="clear"/>
            <w:tcMar>
              <w:top w:type="dxa" w:w="70"/>
              <w:left w:type="dxa" w:w="90"/>
              <w:bottom w:type="dxa" w:w="70"/>
              <w:right w:type="dxa" w:w="90"/>
            </w:tcMar>
          </w:tcPr>
          <w:p>
            <w:pPr>
              <w:spacing w:after="0" w:before="0"/>
            </w:pPr>
            <w:r>
              <w:t>Empirical AUC / TPR @ 5 % induced false-positive threshold</w:t>
            </w:r>
          </w:p>
        </w:tc>
      </w:tr>
      <w:tr>
        <w:tc>
          <w:tcPr>
            <w:tcW w:type="dxa" w:w="3069"/>
            <w:tcMar>
              <w:top w:type="dxa" w:w="70"/>
              <w:left w:type="dxa" w:w="90"/>
              <w:bottom w:type="dxa" w:w="70"/>
              <w:right w:type="dxa" w:w="90"/>
            </w:tcMar>
          </w:tcPr>
          <w:p>
            <w:pPr>
              <w:spacing w:after="0" w:before="0"/>
            </w:pPr>
            <w:r>
              <w:t>7 %</w:t>
            </w:r>
          </w:p>
        </w:tc>
        <w:tc>
          <w:tcPr>
            <w:tcW w:type="dxa" w:w="2979"/>
            <w:tcMar>
              <w:top w:type="dxa" w:w="70"/>
              <w:left w:type="dxa" w:w="90"/>
              <w:bottom w:type="dxa" w:w="70"/>
              <w:right w:type="dxa" w:w="90"/>
            </w:tcMar>
          </w:tcPr>
          <w:p>
            <w:pPr>
              <w:spacing w:after="0" w:before="0"/>
            </w:pPr>
            <w:r>
              <w:t>2.393</w:t>
            </w:r>
          </w:p>
        </w:tc>
        <w:tc>
          <w:tcPr>
            <w:tcW w:type="dxa" w:w="2979"/>
            <w:tcMar>
              <w:top w:type="dxa" w:w="70"/>
              <w:left w:type="dxa" w:w="90"/>
              <w:bottom w:type="dxa" w:w="70"/>
              <w:right w:type="dxa" w:w="90"/>
            </w:tcMar>
          </w:tcPr>
          <w:p>
            <w:pPr>
              <w:spacing w:after="0" w:before="0"/>
            </w:pPr>
            <w:r>
              <w:t>0.955 / 0.770</w:t>
            </w:r>
          </w:p>
        </w:tc>
      </w:tr>
      <w:tr>
        <w:tc>
          <w:tcPr>
            <w:tcW w:type="dxa" w:w="3069"/>
            <w:tcMar>
              <w:top w:type="dxa" w:w="70"/>
              <w:left w:type="dxa" w:w="90"/>
              <w:bottom w:type="dxa" w:w="70"/>
              <w:right w:type="dxa" w:w="90"/>
            </w:tcMar>
          </w:tcPr>
          <w:p>
            <w:pPr>
              <w:spacing w:after="0" w:before="0"/>
            </w:pPr>
            <w:r>
              <w:t>5 %</w:t>
            </w:r>
          </w:p>
        </w:tc>
        <w:tc>
          <w:tcPr>
            <w:tcW w:type="dxa" w:w="2979"/>
            <w:tcMar>
              <w:top w:type="dxa" w:w="70"/>
              <w:left w:type="dxa" w:w="90"/>
              <w:bottom w:type="dxa" w:w="70"/>
              <w:right w:type="dxa" w:w="90"/>
            </w:tcMar>
          </w:tcPr>
          <w:p>
            <w:pPr>
              <w:spacing w:after="0" w:before="0"/>
            </w:pPr>
            <w:r>
              <w:t>3.038</w:t>
            </w:r>
          </w:p>
        </w:tc>
        <w:tc>
          <w:tcPr>
            <w:tcW w:type="dxa" w:w="2979"/>
            <w:tcMar>
              <w:top w:type="dxa" w:w="70"/>
              <w:left w:type="dxa" w:w="90"/>
              <w:bottom w:type="dxa" w:w="70"/>
              <w:right w:type="dxa" w:w="90"/>
            </w:tcMar>
          </w:tcPr>
          <w:p>
            <w:pPr>
              <w:spacing w:after="0" w:before="0"/>
            </w:pPr>
            <w:r>
              <w:t>0.985 / 0.915</w:t>
            </w:r>
          </w:p>
        </w:tc>
      </w:tr>
      <w:tr>
        <w:tc>
          <w:tcPr>
            <w:tcW w:type="dxa" w:w="3069"/>
            <w:tcMar>
              <w:top w:type="dxa" w:w="70"/>
              <w:left w:type="dxa" w:w="90"/>
              <w:bottom w:type="dxa" w:w="70"/>
              <w:right w:type="dxa" w:w="90"/>
            </w:tcMar>
          </w:tcPr>
          <w:p>
            <w:pPr>
              <w:spacing w:after="0" w:before="0"/>
            </w:pPr>
            <w:r>
              <w:t>3 %</w:t>
            </w:r>
          </w:p>
        </w:tc>
        <w:tc>
          <w:tcPr>
            <w:tcW w:type="dxa" w:w="2979"/>
            <w:tcMar>
              <w:top w:type="dxa" w:w="70"/>
              <w:left w:type="dxa" w:w="90"/>
              <w:bottom w:type="dxa" w:w="70"/>
              <w:right w:type="dxa" w:w="90"/>
            </w:tcMar>
          </w:tcPr>
          <w:p>
            <w:pPr>
              <w:spacing w:after="0" w:before="0"/>
            </w:pPr>
            <w:r>
              <w:t>3.926</w:t>
            </w:r>
          </w:p>
        </w:tc>
        <w:tc>
          <w:tcPr>
            <w:tcW w:type="dxa" w:w="2979"/>
            <w:tcMar>
              <w:top w:type="dxa" w:w="70"/>
              <w:left w:type="dxa" w:w="90"/>
              <w:bottom w:type="dxa" w:w="70"/>
              <w:right w:type="dxa" w:w="90"/>
            </w:tcMar>
          </w:tcPr>
          <w:p>
            <w:pPr>
              <w:spacing w:after="0" w:before="0"/>
            </w:pPr>
            <w:r>
              <w:t>0.997 / 0.993</w:t>
            </w:r>
          </w:p>
        </w:tc>
      </w:tr>
      <w:tr>
        <w:tc>
          <w:tcPr>
            <w:tcW w:type="dxa" w:w="3069"/>
            <w:tcMar>
              <w:top w:type="dxa" w:w="70"/>
              <w:left w:type="dxa" w:w="90"/>
              <w:bottom w:type="dxa" w:w="70"/>
              <w:right w:type="dxa" w:w="90"/>
            </w:tcMar>
          </w:tcPr>
          <w:p>
            <w:pPr>
              <w:spacing w:after="0" w:before="0"/>
            </w:pPr>
            <w:r>
              <w:t>2 %</w:t>
            </w:r>
          </w:p>
        </w:tc>
        <w:tc>
          <w:tcPr>
            <w:tcW w:type="dxa" w:w="2979"/>
            <w:tcMar>
              <w:top w:type="dxa" w:w="70"/>
              <w:left w:type="dxa" w:w="90"/>
              <w:bottom w:type="dxa" w:w="70"/>
              <w:right w:type="dxa" w:w="90"/>
            </w:tcMar>
          </w:tcPr>
          <w:p>
            <w:pPr>
              <w:spacing w:after="0" w:before="0"/>
            </w:pPr>
            <w:r>
              <w:t>4.397</w:t>
            </w:r>
          </w:p>
        </w:tc>
        <w:tc>
          <w:tcPr>
            <w:tcW w:type="dxa" w:w="2979"/>
            <w:tcMar>
              <w:top w:type="dxa" w:w="70"/>
              <w:left w:type="dxa" w:w="90"/>
              <w:bottom w:type="dxa" w:w="70"/>
              <w:right w:type="dxa" w:w="90"/>
            </w:tcMar>
          </w:tcPr>
          <w:p>
            <w:pPr>
              <w:spacing w:after="0" w:before="0"/>
            </w:pPr>
            <w:r>
              <w:t>0.999 / 0.998</w:t>
            </w:r>
          </w:p>
        </w:tc>
      </w:tr>
      <w:tr>
        <w:tc>
          <w:tcPr>
            <w:tcW w:type="dxa" w:w="3069"/>
            <w:tcMar>
              <w:top w:type="dxa" w:w="70"/>
              <w:left w:type="dxa" w:w="90"/>
              <w:bottom w:type="dxa" w:w="70"/>
              <w:right w:type="dxa" w:w="90"/>
            </w:tcMar>
          </w:tcPr>
          <w:p>
            <w:pPr>
              <w:spacing w:after="0" w:before="0"/>
            </w:pPr>
            <w:r>
              <w:t>1 %</w:t>
            </w:r>
          </w:p>
        </w:tc>
        <w:tc>
          <w:tcPr>
            <w:tcW w:type="dxa" w:w="2979"/>
            <w:tcMar>
              <w:top w:type="dxa" w:w="70"/>
              <w:left w:type="dxa" w:w="90"/>
              <w:bottom w:type="dxa" w:w="70"/>
              <w:right w:type="dxa" w:w="90"/>
            </w:tcMar>
          </w:tcPr>
          <w:p>
            <w:pPr>
              <w:spacing w:after="0" w:before="0"/>
            </w:pPr>
            <w:r>
              <w:t>4.749</w:t>
            </w:r>
          </w:p>
        </w:tc>
        <w:tc>
          <w:tcPr>
            <w:tcW w:type="dxa" w:w="2979"/>
            <w:tcMar>
              <w:top w:type="dxa" w:w="70"/>
              <w:left w:type="dxa" w:w="90"/>
              <w:bottom w:type="dxa" w:w="70"/>
              <w:right w:type="dxa" w:w="90"/>
            </w:tcMar>
          </w:tcPr>
          <w:p>
            <w:pPr>
              <w:spacing w:after="0" w:before="0"/>
            </w:pPr>
            <w:r>
              <w:t>0.999 / 1.000</w:t>
            </w:r>
          </w:p>
        </w:tc>
      </w:tr>
      <w:tr>
        <w:tc>
          <w:tcPr>
            <w:tcW w:type="dxa" w:w="3069"/>
            <w:tcMar>
              <w:top w:type="dxa" w:w="70"/>
              <w:left w:type="dxa" w:w="90"/>
              <w:bottom w:type="dxa" w:w="70"/>
              <w:right w:type="dxa" w:w="90"/>
            </w:tcMar>
          </w:tcPr>
          <w:p>
            <w:pPr>
              <w:spacing w:after="0" w:before="0"/>
            </w:pPr>
            <w:r>
              <w:t>0.5 %</w:t>
            </w:r>
          </w:p>
        </w:tc>
        <w:tc>
          <w:tcPr>
            <w:tcW w:type="dxa" w:w="2979"/>
            <w:tcMar>
              <w:top w:type="dxa" w:w="70"/>
              <w:left w:type="dxa" w:w="90"/>
              <w:bottom w:type="dxa" w:w="70"/>
              <w:right w:type="dxa" w:w="90"/>
            </w:tcMar>
          </w:tcPr>
          <w:p>
            <w:pPr>
              <w:spacing w:after="0" w:before="0"/>
            </w:pPr>
            <w:r>
              <w:t>4.833</w:t>
            </w:r>
          </w:p>
        </w:tc>
        <w:tc>
          <w:tcPr>
            <w:tcW w:type="dxa" w:w="2979"/>
            <w:tcMar>
              <w:top w:type="dxa" w:w="70"/>
              <w:left w:type="dxa" w:w="90"/>
              <w:bottom w:type="dxa" w:w="70"/>
              <w:right w:type="dxa" w:w="90"/>
            </w:tcMar>
          </w:tcPr>
          <w:p>
            <w:pPr>
              <w:spacing w:after="0" w:before="0"/>
            </w:pPr>
            <w:r>
              <w:t>1.000 / 1.000</w:t>
            </w:r>
          </w:p>
        </w:tc>
      </w:tr>
    </w:tbl>
    <w:p>
      <w:pPr>
        <w:spacing w:after="120" w:line="276"/>
      </w:pPr>
      <w:r>
        <w:rPr>
          <w:sz w:val="20"/>
          <w:szCs w:val="20"/>
        </w:rPr>
        <w:t>The radiative-coefficient calibration study now uses common standard-normal draws and recomputes nominal, induced and fault distributions at every tolerance while holding the other assumed uncertainty terms fixed. Tightening the radiative coefficient improves the synthetic emissivity-vs-induced discrimination, but v0.4.3 derives no fixed ±5 % design requirement from this sensitivity curve.</w:t>
      </w:r>
    </w:p>
    <w:p>
      <w:pPr>
        <w:spacing w:after="120" w:line="276"/>
      </w:pPr>
      <w:r>
        <w:rPr>
          <w:color w:val="595959"/>
          <w:sz w:val="19"/>
          <w:szCs w:val="19"/>
        </w:rPr>
        <w:t>The perturbed parameter is explicitly an effective radiative coefficient in the rejection term. It is not represented as a true emissivity-area-product uncertainty: emissivity, radiating area, environment-facing projected area and view factors must be separated in a successor physics model.</w:t>
      </w:r>
    </w:p>
    <w:p>
      <w:pPr>
        <w:spacing w:after="60" w:line="276"/>
      </w:pPr>
      <w:r>
        <w:rPr>
          <w:sz w:val="20"/>
          <w:szCs w:val="20"/>
        </w:rPr>
        <w:t>The telemetry-bias calculation remains fault-comparator-specific: reproducing Detector A’s residual would require about 30.60 % reported-power under-reading for the emissivity construction, 23.98 % for the environmental construction, and 0 % for the loop construction. These are model outputs for one candidate metric, not general masquerade thresholds.</w:t>
      </w:r>
    </w:p>
    <w:p>
      <w:pPr>
        <w:spacing w:after="120" w:line="276"/>
      </w:pPr>
      <w:r>
        <w:rPr>
          <w:i/>
          <w:iCs/>
          <w:color w:val="595959"/>
          <w:sz w:val="19"/>
          <w:szCs w:val="19"/>
        </w:rPr>
        <w:t>The uncertainty results are illustrative only. Correlated measurement error, drift, quantisation, estimator bias, geometry uncertainty and model-form error remain outside the experiment; those omissions must be addressed before any operational attribution claim.</w:t>
      </w:r>
    </w:p>
    <w:p>
      <w:pPr>
        <w:pStyle w:val="Heading2"/>
      </w:pPr>
      <w:r>
        <w:t xml:space="preserve">3.7  F-05 — The Phase Detector Is a Candidate Feature, Not a Control</w:t>
      </w:r>
    </w:p>
    <w:p>
      <w:pPr>
        <w:spacing w:after="120" w:line="276"/>
      </w:pPr>
      <w:r>
        <w:rPr>
          <w:sz w:val="20"/>
          <w:szCs w:val="20"/>
        </w:rPr>
        <w:t>Earlier releases built the adversarial trace from the same hot-phase indicator used by the correlation statistic, and v0.4.1 also reused the adversarial generator for its “benign” case. v0.4.3 uses a controlled blend of fixed source traces across attack depths and a separately generated, energy-matched synthetic power-aware schedule. Residual circularity remains for the adversarial construction because the attack trace and statistic still share the hot-phase indicator.</w:t>
      </w:r>
    </w:p>
    <w:p>
      <w:pPr>
        <w:spacing w:after="60" w:before="160"/>
        <w:jc w:val="center"/>
      </w:pPr>
      <w:r>
        <w:drawing>
          <wp:inline xmlns:a="http://schemas.openxmlformats.org/drawingml/2006/main" xmlns:pic="http://schemas.openxmlformats.org/drawingml/2006/picture">
            <wp:extent cx="5715000" cy="2144100"/>
            <wp:docPr id="6" name="Picture 6" descr="Figure 5. Phase-shaping depth versus hot-phase correlation and peak temperature, alongside peak thermal excursions showing that a non-malicious synthetic power-aware schedule reproduces most of the full phase-shaped effect." title="Figure 5"/>
            <wp:cNvGraphicFramePr>
              <a:graphicFrameLocks noChangeAspect="1"/>
            </wp:cNvGraphicFramePr>
            <a:graphic>
              <a:graphicData uri="http://schemas.openxmlformats.org/drawingml/2006/picture">
                <pic:pic>
                  <pic:nvPicPr>
                    <pic:cNvPr id="0" name="fig5_detectorB.png"/>
                    <pic:cNvPicPr/>
                  </pic:nvPicPr>
                  <pic:blipFill>
                    <a:blip r:embed="rId16"/>
                    <a:stretch>
                      <a:fillRect/>
                    </a:stretch>
                  </pic:blipFill>
                  <pic:spPr>
                    <a:xfrm>
                      <a:off x="0" y="0"/>
                      <a:ext cx="5715000" cy="2144100"/>
                    </a:xfrm>
                    <a:prstGeom prst="rect"/>
                  </pic:spPr>
                </pic:pic>
              </a:graphicData>
            </a:graphic>
          </wp:inline>
        </w:drawing>
      </w:r>
    </w:p>
    <w:p>
      <w:pPr>
        <w:spacing w:after="200"/>
        <w:jc w:val="center"/>
      </w:pPr>
      <w:r>
        <w:t>Figure 5. Left: controlled phase-shaping depth sweep at matched sampled post-warmup average compute power. Right: thermal excursion relative to the diversified baseline. The independently generated non-malicious synthetic power-aware schedule produces 12.98 K of excursion — 84.0 % of the full phase-shaped case — while ρ = 0.918. This simultaneously shows that temporal shaping can matter for safety and that phase correlation does not establish malicious intent.</w:t>
      </w:r>
    </w:p>
    <w:p>
      <w:pPr>
        <w:spacing w:after="120" w:line="276"/>
      </w:pPr>
      <w:r>
        <w:t>The controlled depth sweep yields ρ = 0.034, 0.488, 0.849, 0.978, 0.997 and 1.000 from depth 0 to 1.0, with every trace matched to approximately 29.950 kW sampled post-warmup average. The independently generated power-aware schedule likewise yields ≈29.950 kW, ρ = 0.918 and a 65.79 °C model peak. Relative to the diversified 52.81 °C peak, that is a 12.981 K non-malicious synthetic excursion, compared with 15.461 K for the full phase-shaped case.</w:t>
      </w:r>
    </w:p>
    <w:p>
      <w:pPr>
        <w:spacing w:after="120" w:line="276"/>
      </w:pPr>
      <w:r>
        <w:t>The benign synthetic schedule therefore exercises most of the same timing-to-temperature mechanism while occupying an ambiguous region of the phase-correlation statistic. This is enough to establish two model-bounded conclusions: phase correlation alone does not identify intent, and the underlying thermal-safety problem is not unique to an attacker. It does not establish how common such scheduling is in operational orbital compute.</w:t>
      </w:r>
    </w:p>
    <w:p>
      <w:pPr>
        <w:pBdr>
          <w:top w:val="single" w:color="FBF3EC" w:sz="2" w:space="8"/>
          <w:bottom w:val="single" w:color="FBF3EC" w:sz="2" w:space="8"/>
          <w:left w:val="single" w:color="B3541E" w:sz="18" w:space="10"/>
          <w:right w:val="single" w:color="FBF3EC" w:sz="2" w:space="8"/>
        </w:pBdr>
        <w:shd w:fill="FBF3EC" w:val="clear"/>
        <w:spacing w:after="160" w:before="140" w:line="276"/>
        <w:ind w:left="120" w:right="120"/>
      </w:pPr>
      <w:r>
        <w:rPr>
          <w:b/>
          <w:bCs/>
          <w:color w:val="6B3410"/>
          <w:sz w:val="20"/>
          <w:szCs w:val="20"/>
        </w:rPr>
        <w:t>SR-THM-05 therefore remains a candidate feature only. A future evaluation must use representative workload traces, an independent attack generator, adversarial jitter/evasion, and predeclared false-positive/false-negative criteria.</w:t>
      </w:r>
    </w:p>
    <w:p>
      <w:pPr>
        <w:spacing w:after="120" w:line="276"/>
      </w:pPr>
      <w:r>
        <w:rPr>
          <w:color w:val="595959"/>
          <w:sz w:val="19"/>
          <w:szCs w:val="19"/>
        </w:rPr>
        <w:t xml:space="preserve">Residual circularity remains: the attack profile and the detector still share the in_hot_phase() indicator. Only the benign case is now independently generated. A fully independent evaluation requires real workload traces, adversarial jitter and evasion modelling.</w:t>
      </w:r>
    </w:p>
    <w:p>
      <w:pPr>
        <w:spacing w:after="120" w:line="276"/>
      </w:pPr>
      <w:r>
        <w:t>AS-03 is not classified as “likely false”. v0.4.4 records a synthetic non-malicious counterexample and independently cites terrestrial thermal-aware workload-distribution literature as evidence that non-malicious thermal-aware scheduling is a real scheduling class [R19]. Neither point establishes the prevalence or exact form of orbital-phase-aware scheduling in an operational platform.</w:t>
      </w:r>
    </w:p>
    <w:p>
      <w:pPr>
        <w:pStyle w:val="Heading2"/>
      </w:pPr>
      <w:r>
        <w:t>3.8  F-06 — Reference Protection Policy Prevents the Model-Limit Crossing in the Tested Case</w:t>
      </w:r>
    </w:p>
    <w:p>
      <w:pPr>
        <w:spacing w:after="120" w:line="276"/>
      </w:pPr>
      <w:r>
        <w:rPr>
          <w:sz w:val="20"/>
          <w:szCs w:val="20"/>
        </w:rPr>
        <w:t>In the A = 80 m², ε = 0.75 reference case, the energy-matched unprotected phase-shaped runs cross from the assumed 75 °C throttle threshold to the assumed 90 °C upper model limit in 1 410–1 415 s (mean 1 413.2 s; median 1 413.5 s). The local 60 s fitted rise rate after the throttle crossing is 1.074 K/min, while the average rate over a 15 K rise using the mean window is 0.637 K/min.</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3610"/>
        <w:gridCol w:w="2888"/>
        <w:gridCol w:w="2527"/>
      </w:tblGrid>
      <w:tr>
        <w:trPr>
          <w:tblHeader/>
          <w:tblHeader w:val="true"/>
        </w:trPr>
        <w:tc>
          <w:tcPr>
            <w:tcW w:type="dxa" w:w="3610"/>
            <w:shd w:fill="EFEFEF" w:val="clear"/>
            <w:tcMar>
              <w:top w:type="dxa" w:w="70"/>
              <w:left w:type="dxa" w:w="90"/>
              <w:bottom w:type="dxa" w:w="70"/>
              <w:right w:type="dxa" w:w="90"/>
            </w:tcMar>
          </w:tcPr>
          <w:p>
            <w:pPr>
              <w:spacing w:after="20" w:line="250"/>
            </w:pPr>
            <w:r>
              <w:rPr>
                <w:b/>
                <w:bCs/>
                <w:sz w:val="17"/>
                <w:szCs w:val="17"/>
              </w:rPr>
              <w:t>Detect-and-shed latency</w:t>
            </w:r>
          </w:p>
        </w:tc>
        <w:tc>
          <w:tcPr>
            <w:tcW w:type="dxa" w:w="2888"/>
            <w:shd w:fill="EFEFEF" w:val="clear"/>
            <w:tcMar>
              <w:top w:type="dxa" w:w="70"/>
              <w:left w:type="dxa" w:w="90"/>
              <w:bottom w:type="dxa" w:w="70"/>
              <w:right w:type="dxa" w:w="90"/>
            </w:tcMar>
          </w:tcPr>
          <w:p>
            <w:pPr>
              <w:spacing w:after="20" w:line="250"/>
            </w:pPr>
            <w:r>
              <w:rPr>
                <w:b/>
                <w:bCs/>
                <w:sz w:val="17"/>
                <w:szCs w:val="17"/>
              </w:rPr>
              <w:t>Peak temperature</w:t>
            </w:r>
          </w:p>
        </w:tc>
        <w:tc>
          <w:tcPr>
            <w:tcW w:type="dxa" w:w="2527"/>
            <w:shd w:fill="EFEFEF" w:val="clear"/>
            <w:tcMar>
              <w:top w:type="dxa" w:w="70"/>
              <w:left w:type="dxa" w:w="90"/>
              <w:bottom w:type="dxa" w:w="70"/>
              <w:right w:type="dxa" w:w="90"/>
            </w:tcMar>
          </w:tcPr>
          <w:p>
            <w:pPr>
              <w:spacing w:after="20" w:line="250"/>
            </w:pPr>
            <w:r>
              <w:rPr>
                <w:b/>
                <w:bCs/>
                <w:sz w:val="17"/>
                <w:szCs w:val="17"/>
              </w:rPr>
              <w:t>Assumed 90 °C model limit crossed</w:t>
            </w:r>
          </w:p>
        </w:tc>
      </w:tr>
      <w:tr>
        <w:tc>
          <w:tcPr>
            <w:tcW w:type="dxa" w:w="3610"/>
            <w:tcMar>
              <w:top w:type="dxa" w:w="70"/>
              <w:left w:type="dxa" w:w="90"/>
              <w:bottom w:type="dxa" w:w="70"/>
              <w:right w:type="dxa" w:w="90"/>
            </w:tcMar>
          </w:tcPr>
          <w:p>
            <w:pPr>
              <w:spacing w:after="20" w:line="250"/>
            </w:pPr>
            <w:r>
              <w:rPr>
                <w:sz w:val="17"/>
                <w:szCs w:val="17"/>
              </w:rPr>
              <w:t>10 s</w:t>
            </w:r>
          </w:p>
        </w:tc>
        <w:tc>
          <w:tcPr>
            <w:tcW w:type="dxa" w:w="2888"/>
            <w:tcMar>
              <w:top w:type="dxa" w:w="70"/>
              <w:left w:type="dxa" w:w="90"/>
              <w:bottom w:type="dxa" w:w="70"/>
              <w:right w:type="dxa" w:w="90"/>
            </w:tcMar>
          </w:tcPr>
          <w:p>
            <w:pPr>
              <w:spacing w:after="20" w:line="250"/>
            </w:pPr>
            <w:r>
              <w:rPr>
                <w:sz w:val="17"/>
                <w:szCs w:val="17"/>
              </w:rPr>
              <w:t>75.21 °C</w:t>
            </w:r>
          </w:p>
        </w:tc>
        <w:tc>
          <w:tcPr>
            <w:tcW w:type="dxa" w:w="2527"/>
            <w:tcMar>
              <w:top w:type="dxa" w:w="70"/>
              <w:left w:type="dxa" w:w="90"/>
              <w:bottom w:type="dxa" w:w="70"/>
              <w:right w:type="dxa" w:w="90"/>
            </w:tcMar>
          </w:tcPr>
          <w:p>
            <w:pPr>
              <w:spacing w:after="20" w:line="250"/>
            </w:pPr>
            <w:r>
              <w:rPr>
                <w:sz w:val="17"/>
                <w:szCs w:val="17"/>
              </w:rPr>
              <w:t>No</w:t>
            </w:r>
          </w:p>
        </w:tc>
      </w:tr>
      <w:tr>
        <w:tc>
          <w:tcPr>
            <w:tcW w:type="dxa" w:w="3610"/>
            <w:tcMar>
              <w:top w:type="dxa" w:w="70"/>
              <w:left w:type="dxa" w:w="90"/>
              <w:bottom w:type="dxa" w:w="70"/>
              <w:right w:type="dxa" w:w="90"/>
            </w:tcMar>
          </w:tcPr>
          <w:p>
            <w:pPr>
              <w:spacing w:after="20" w:line="250"/>
            </w:pPr>
            <w:r>
              <w:rPr>
                <w:sz w:val="17"/>
                <w:szCs w:val="17"/>
              </w:rPr>
              <w:t>300 s</w:t>
            </w:r>
          </w:p>
        </w:tc>
        <w:tc>
          <w:tcPr>
            <w:tcW w:type="dxa" w:w="2888"/>
            <w:tcMar>
              <w:top w:type="dxa" w:w="70"/>
              <w:left w:type="dxa" w:w="90"/>
              <w:bottom w:type="dxa" w:w="70"/>
              <w:right w:type="dxa" w:w="90"/>
            </w:tcMar>
          </w:tcPr>
          <w:p>
            <w:pPr>
              <w:spacing w:after="20" w:line="250"/>
            </w:pPr>
            <w:r>
              <w:rPr>
                <w:sz w:val="17"/>
                <w:szCs w:val="17"/>
              </w:rPr>
              <w:t>79.90 °C</w:t>
            </w:r>
          </w:p>
        </w:tc>
        <w:tc>
          <w:tcPr>
            <w:tcW w:type="dxa" w:w="2527"/>
            <w:tcMar>
              <w:top w:type="dxa" w:w="70"/>
              <w:left w:type="dxa" w:w="90"/>
              <w:bottom w:type="dxa" w:w="70"/>
              <w:right w:type="dxa" w:w="90"/>
            </w:tcMar>
          </w:tcPr>
          <w:p>
            <w:pPr>
              <w:spacing w:after="20" w:line="250"/>
            </w:pPr>
            <w:r>
              <w:rPr>
                <w:sz w:val="17"/>
                <w:szCs w:val="17"/>
              </w:rPr>
              <w:t>No</w:t>
            </w:r>
          </w:p>
        </w:tc>
      </w:tr>
      <w:tr>
        <w:tc>
          <w:tcPr>
            <w:tcW w:type="dxa" w:w="3610"/>
            <w:tcMar>
              <w:top w:type="dxa" w:w="70"/>
              <w:left w:type="dxa" w:w="90"/>
              <w:bottom w:type="dxa" w:w="70"/>
              <w:right w:type="dxa" w:w="90"/>
            </w:tcMar>
          </w:tcPr>
          <w:p>
            <w:pPr>
              <w:spacing w:after="20" w:line="250"/>
            </w:pPr>
            <w:r>
              <w:rPr>
                <w:sz w:val="17"/>
                <w:szCs w:val="17"/>
              </w:rPr>
              <w:t>900 s</w:t>
            </w:r>
          </w:p>
        </w:tc>
        <w:tc>
          <w:tcPr>
            <w:tcW w:type="dxa" w:w="2888"/>
            <w:tcMar>
              <w:top w:type="dxa" w:w="70"/>
              <w:left w:type="dxa" w:w="90"/>
              <w:bottom w:type="dxa" w:w="70"/>
              <w:right w:type="dxa" w:w="90"/>
            </w:tcMar>
          </w:tcPr>
          <w:p>
            <w:pPr>
              <w:spacing w:after="20" w:line="250"/>
            </w:pPr>
            <w:r>
              <w:rPr>
                <w:sz w:val="17"/>
                <w:szCs w:val="17"/>
              </w:rPr>
              <w:t>86.56 °C</w:t>
            </w:r>
          </w:p>
        </w:tc>
        <w:tc>
          <w:tcPr>
            <w:tcW w:type="dxa" w:w="2527"/>
            <w:tcMar>
              <w:top w:type="dxa" w:w="70"/>
              <w:left w:type="dxa" w:w="90"/>
              <w:bottom w:type="dxa" w:w="70"/>
              <w:right w:type="dxa" w:w="90"/>
            </w:tcMar>
          </w:tcPr>
          <w:p>
            <w:pPr>
              <w:spacing w:after="20" w:line="250"/>
            </w:pPr>
            <w:r>
              <w:rPr>
                <w:sz w:val="17"/>
                <w:szCs w:val="17"/>
              </w:rPr>
              <w:t>No</w:t>
            </w:r>
          </w:p>
        </w:tc>
      </w:tr>
      <w:tr>
        <w:tc>
          <w:tcPr>
            <w:tcW w:type="dxa" w:w="3610"/>
            <w:tcMar>
              <w:top w:type="dxa" w:w="70"/>
              <w:left w:type="dxa" w:w="90"/>
              <w:bottom w:type="dxa" w:w="70"/>
              <w:right w:type="dxa" w:w="90"/>
            </w:tcMar>
          </w:tcPr>
          <w:p>
            <w:pPr>
              <w:spacing w:after="20" w:line="250"/>
            </w:pPr>
            <w:r>
              <w:rPr>
                <w:sz w:val="17"/>
                <w:szCs w:val="17"/>
              </w:rPr>
              <w:t>1 400 s</w:t>
            </w:r>
          </w:p>
        </w:tc>
        <w:tc>
          <w:tcPr>
            <w:tcW w:type="dxa" w:w="2888"/>
            <w:tcMar>
              <w:top w:type="dxa" w:w="70"/>
              <w:left w:type="dxa" w:w="90"/>
              <w:bottom w:type="dxa" w:w="70"/>
              <w:right w:type="dxa" w:w="90"/>
            </w:tcMar>
          </w:tcPr>
          <w:p>
            <w:pPr>
              <w:spacing w:after="20" w:line="250"/>
            </w:pPr>
            <w:r>
              <w:rPr>
                <w:sz w:val="17"/>
                <w:szCs w:val="17"/>
              </w:rPr>
              <w:t>89.95 °C</w:t>
            </w:r>
          </w:p>
        </w:tc>
        <w:tc>
          <w:tcPr>
            <w:tcW w:type="dxa" w:w="2527"/>
            <w:tcMar>
              <w:top w:type="dxa" w:w="70"/>
              <w:left w:type="dxa" w:w="90"/>
              <w:bottom w:type="dxa" w:w="70"/>
              <w:right w:type="dxa" w:w="90"/>
            </w:tcMar>
          </w:tcPr>
          <w:p>
            <w:pPr>
              <w:spacing w:after="20" w:line="250"/>
            </w:pPr>
            <w:r>
              <w:rPr>
                <w:sz w:val="17"/>
                <w:szCs w:val="17"/>
              </w:rPr>
              <w:t>No</w:t>
            </w:r>
          </w:p>
        </w:tc>
      </w:tr>
      <w:tr>
        <w:tc>
          <w:tcPr>
            <w:tcW w:type="dxa" w:w="3610"/>
            <w:tcMar>
              <w:top w:type="dxa" w:w="70"/>
              <w:left w:type="dxa" w:w="90"/>
              <w:bottom w:type="dxa" w:w="70"/>
              <w:right w:type="dxa" w:w="90"/>
            </w:tcMar>
          </w:tcPr>
          <w:p>
            <w:pPr>
              <w:spacing w:after="20" w:line="250"/>
            </w:pPr>
            <w:r>
              <w:rPr>
                <w:sz w:val="17"/>
                <w:szCs w:val="17"/>
              </w:rPr>
              <w:t>1 500 s</w:t>
            </w:r>
          </w:p>
        </w:tc>
        <w:tc>
          <w:tcPr>
            <w:tcW w:type="dxa" w:w="2888"/>
            <w:tcMar>
              <w:top w:type="dxa" w:w="70"/>
              <w:left w:type="dxa" w:w="90"/>
              <w:bottom w:type="dxa" w:w="70"/>
              <w:right w:type="dxa" w:w="90"/>
            </w:tcMar>
          </w:tcPr>
          <w:p>
            <w:pPr>
              <w:spacing w:after="20" w:line="250"/>
            </w:pPr>
            <w:r>
              <w:rPr>
                <w:sz w:val="17"/>
                <w:szCs w:val="17"/>
              </w:rPr>
              <w:t>90.46 °C</w:t>
            </w:r>
          </w:p>
        </w:tc>
        <w:tc>
          <w:tcPr>
            <w:tcW w:type="dxa" w:w="2527"/>
            <w:tcMar>
              <w:top w:type="dxa" w:w="70"/>
              <w:left w:type="dxa" w:w="90"/>
              <w:bottom w:type="dxa" w:w="70"/>
              <w:right w:type="dxa" w:w="90"/>
            </w:tcMar>
          </w:tcPr>
          <w:p>
            <w:pPr>
              <w:spacing w:after="20" w:line="250"/>
            </w:pPr>
            <w:r>
              <w:rPr>
                <w:sz w:val="17"/>
                <w:szCs w:val="17"/>
              </w:rPr>
              <w:t>Yes</w:t>
            </w:r>
          </w:p>
        </w:tc>
      </w:tr>
      <w:tr>
        <w:tc>
          <w:tcPr>
            <w:tcW w:type="dxa" w:w="3610"/>
            <w:tcMar>
              <w:top w:type="dxa" w:w="70"/>
              <w:left w:type="dxa" w:w="90"/>
              <w:bottom w:type="dxa" w:w="70"/>
              <w:right w:type="dxa" w:w="90"/>
            </w:tcMar>
          </w:tcPr>
          <w:p>
            <w:pPr>
              <w:spacing w:after="20" w:line="250"/>
            </w:pPr>
            <w:r>
              <w:rPr>
                <w:sz w:val="17"/>
                <w:szCs w:val="17"/>
              </w:rPr>
              <w:t>2 400 s</w:t>
            </w:r>
          </w:p>
        </w:tc>
        <w:tc>
          <w:tcPr>
            <w:tcW w:type="dxa" w:w="2888"/>
            <w:tcMar>
              <w:top w:type="dxa" w:w="70"/>
              <w:left w:type="dxa" w:w="90"/>
              <w:bottom w:type="dxa" w:w="70"/>
              <w:right w:type="dxa" w:w="90"/>
            </w:tcMar>
          </w:tcPr>
          <w:p>
            <w:pPr>
              <w:spacing w:after="20" w:line="250"/>
            </w:pPr>
            <w:r>
              <w:rPr>
                <w:sz w:val="17"/>
                <w:szCs w:val="17"/>
              </w:rPr>
              <w:t>92.37 °C</w:t>
            </w:r>
          </w:p>
        </w:tc>
        <w:tc>
          <w:tcPr>
            <w:tcW w:type="dxa" w:w="2527"/>
            <w:tcMar>
              <w:top w:type="dxa" w:w="70"/>
              <w:left w:type="dxa" w:w="90"/>
              <w:bottom w:type="dxa" w:w="70"/>
              <w:right w:type="dxa" w:w="90"/>
            </w:tcMar>
          </w:tcPr>
          <w:p>
            <w:pPr>
              <w:spacing w:after="20" w:line="250"/>
            </w:pPr>
            <w:r>
              <w:rPr>
                <w:sz w:val="17"/>
                <w:szCs w:val="17"/>
              </w:rPr>
              <w:t>Yes</w:t>
            </w:r>
          </w:p>
        </w:tc>
      </w:tr>
    </w:tbl>
    <w:p>
      <w:pPr>
        <w:spacing w:after="120" w:line="276"/>
      </w:pPr>
      <w:r>
        <w:rPr>
          <w:sz w:val="20"/>
          <w:szCs w:val="20"/>
        </w:rPr>
        <w:t>The tested protection is specific: throttle threshold 75 °C; compute shedding to 30 % of design power; 5 K hysteresis; trusted/unbiased temperature measurement; no additional sensor delay; idealised immediate actuator transition after the stated control latency; no controller failure; and no telemetry deception. With those assumptions, 1 400 s latency stays below the assumed model limit (89.95 °C), while 1 500 s exceeds it (90.46 °C). No generic 1.4 ks requirement is inferred.</w:t>
      </w:r>
    </w:p>
    <w:p>
      <w:pPr>
        <w:spacing w:after="120" w:line="276"/>
      </w:pPr>
      <w:r>
        <w:rPr>
          <w:i/>
          <w:iCs/>
          <w:color w:val="595959"/>
          <w:sz w:val="19"/>
          <w:szCs w:val="19"/>
        </w:rPr>
        <w:t>The unprotected 92.37 °C result is a model-limit crossing with protection disabled; it is not evidence of irreversible hardware damage. The control lesson is narrower: physical safety should be validated directly against state limits, not inferred from whether an energy-balance residual appears nominal.</w:t>
      </w:r>
    </w:p>
    <w:p>
      <w:pPr>
        <w:pStyle w:val="Heading2"/>
      </w:pPr>
      <w:r>
        <w:t xml:space="preserve">3.9  What TSM-01 Does Not Show</w:t>
      </w:r>
    </w:p>
    <w:p>
      <w:pPr>
        <w:pStyle w:val="ListParagraph"/>
        <w:numPr>
          <w:ilvl w:val="0"/>
          <w:numId w:val="1"/>
        </w:numPr>
        <w:spacing w:after="70" w:line="264"/>
        <w:rPr>
          <w:sz w:val="20"/>
          <w:szCs w:val="20"/>
        </w:rPr>
      </w:pPr>
      <w:r>
        <w:t>It does not show that this attack works against orbital compute systems. It shows that workload timing changes peak thermal state in a two-node model under specific assumptions, including under one separately generated non-malicious synthetic schedule.</w:t>
      </w:r>
    </w:p>
    <w:p>
      <w:pPr>
        <w:pStyle w:val="ListParagraph"/>
        <w:numPr>
          <w:ilvl w:val="0"/>
          <w:numId w:val="1"/>
        </w:numPr>
        <w:spacing w:after="70" w:line="264"/>
        <w:rPr>
          <w:sz w:val="20"/>
          <w:szCs w:val="20"/>
        </w:rPr>
      </w:pPr>
      <w:r>
        <w:t xml:space="preserve">It does not establish any margin threshold, detection performance, or attribution capability for a real architecture.</w:t>
      </w:r>
    </w:p>
    <w:p>
      <w:pPr>
        <w:pStyle w:val="ListParagraph"/>
        <w:numPr>
          <w:ilvl w:val="0"/>
          <w:numId w:val="1"/>
        </w:numPr>
        <w:spacing w:after="70" w:line="264"/>
        <w:rPr>
          <w:sz w:val="20"/>
          <w:szCs w:val="20"/>
        </w:rPr>
      </w:pPr>
      <w:r>
        <w:t xml:space="preserve">It does not demonstrate that a tenant can reach the required preconditions (Section 3.2), several of which are unverified.</w:t>
      </w:r>
    </w:p>
    <w:p>
      <w:pPr>
        <w:pStyle w:val="ListParagraph"/>
        <w:numPr>
          <w:ilvl w:val="0"/>
          <w:numId w:val="1"/>
        </w:numPr>
        <w:spacing w:after="70" w:line="264"/>
        <w:rPr>
          <w:sz w:val="20"/>
          <w:szCs w:val="20"/>
        </w:rPr>
      </w:pPr>
      <w:r>
        <w:t xml:space="preserve">It does not evaluate multi-node behaviour. Whether margin consumption aggregates across a shared loop or averages out across independent nodes is unknown and is the largest single threat to F-01's generality.</w:t>
      </w:r>
    </w:p>
    <w:p>
      <w:pPr>
        <w:pStyle w:val="ListParagraph"/>
        <w:numPr>
          <w:ilvl w:val="0"/>
          <w:numId w:val="1"/>
        </w:numPr>
        <w:spacing w:after="70" w:line="264"/>
        <w:rPr>
          <w:sz w:val="20"/>
          <w:szCs w:val="20"/>
        </w:rPr>
      </w:pPr>
      <w:r>
        <w:t xml:space="preserve">It does not model thermal fatigue from the induced cycling, which may be a more relevant damage mechanism than peak overtemperature.</w:t>
      </w:r>
    </w:p>
    <w:p>
      <w:pPr>
        <w:pStyle w:val="Heading2"/>
      </w:pPr>
      <w:r>
        <w:t xml:space="preserve">3.10  Threats to Validity</w:t>
      </w:r>
    </w:p>
    <w:p>
      <w:pPr>
        <w:pStyle w:val="ListParagraph"/>
        <w:numPr>
          <w:ilvl w:val="0"/>
          <w:numId w:val="1"/>
        </w:numPr>
        <w:spacing w:after="70" w:line="264"/>
        <w:rPr>
          <w:sz w:val="20"/>
          <w:szCs w:val="20"/>
        </w:rPr>
      </w:pPr>
      <w:r>
        <w:t xml:space="preserve">Single-node lumped model; no node-to-node coupling, intra-rack gradients or cluster interaction.</w:t>
      </w:r>
    </w:p>
    <w:p>
      <w:pPr>
        <w:pStyle w:val="ListParagraph"/>
        <w:numPr>
          <w:ilvl w:val="0"/>
          <w:numId w:val="1"/>
        </w:numPr>
        <w:spacing w:after="70" w:line="264"/>
        <w:rPr>
          <w:sz w:val="20"/>
          <w:szCs w:val="20"/>
        </w:rPr>
      </w:pPr>
      <w:r>
        <w:t xml:space="preserve">Simplified two-phase environmental flux rather than full view-factor orbital geometry.</w:t>
      </w:r>
    </w:p>
    <w:p>
      <w:pPr>
        <w:pStyle w:val="ListParagraph"/>
        <w:numPr>
          <w:ilvl w:val="0"/>
          <w:numId w:val="1"/>
        </w:numPr>
        <w:spacing w:after="70" w:line="264"/>
        <w:rPr>
          <w:sz w:val="20"/>
          <w:szCs w:val="20"/>
        </w:rPr>
      </w:pPr>
      <w:r>
        <w:t>Parameters are explicit project assumptions unless Appendix A identifies independent support. External literature provides physical context and order-of-magnitude comparators; it does not validate the exact TSM-01 baseline. Absolute temperatures must not be quoted as predictions for a real system. The broad 8.03–23.68 K sensitivity range is dominated by assumed compute-power parameters; local thermal-design slices moved the result by only about 2.6–3.6 K within the tested ranges, which does not establish global robustness or interaction effects.</w:t>
      </w:r>
    </w:p>
    <w:p>
      <w:pPr>
        <w:pStyle w:val="ListParagraph"/>
        <w:numPr>
          <w:ilvl w:val="0"/>
          <w:numId w:val="1"/>
        </w:numPr>
        <w:spacing w:after="70" w:line="264"/>
        <w:rPr>
          <w:sz w:val="20"/>
          <w:szCs w:val="20"/>
        </w:rPr>
      </w:pPr>
      <w:r>
        <w:t xml:space="preserve">Real fault management would include limit and rate checks not modelled. Evasion claims are specific to the detectors implemented here.</w:t>
      </w:r>
    </w:p>
    <w:p>
      <w:pPr>
        <w:pStyle w:val="ListParagraph"/>
        <w:numPr>
          <w:ilvl w:val="0"/>
          <w:numId w:val="1"/>
        </w:numPr>
        <w:spacing w:after="70" w:line="264"/>
        <w:rPr>
          <w:sz w:val="20"/>
          <w:szCs w:val="20"/>
        </w:rPr>
      </w:pPr>
      <w:r>
        <w:t>The uncertainty distributions are illustrative project assumptions. They do not include correlated measurement error, long-term drift, quantisation, geometry uncertainty, estimator bias or model-form error, and must not be called “realistic” without empirical support.</w:t>
      </w:r>
    </w:p>
    <w:p>
      <w:pPr>
        <w:pStyle w:val="ListParagraph"/>
      </w:pPr>
      <w:r>
        <w:t>The stochastic release-step table is not a convergence proof because changing dt changes the random workload samples. Numerical-convergence evidence comes only from the separate deterministic fixed-forcing experiment; model-form error remains outside that test.</w:t>
      </w:r>
    </w:p>
    <w:p>
      <w:pPr>
        <w:pStyle w:val="ListParagraph"/>
        <w:numPr>
          <w:ilvl w:val="0"/>
          <w:numId w:val="1"/>
        </w:numPr>
        <w:spacing w:after="70" w:line="264"/>
        <w:rPr>
          <w:sz w:val="20"/>
          <w:szCs w:val="20"/>
        </w:rPr>
      </w:pPr>
      <w:r>
        <w:t xml:space="preserve">The model has had no independent physics review. All findings carry project-generated evidence status only.</w:t>
      </w:r>
    </w:p>
    <w:p>
      <w:r>
        <w:br w:type="page"/>
      </w:r>
    </w:p>
    <w:p>
      <w:pPr>
        <w:pStyle w:val="Heading1"/>
      </w:pPr>
      <w:r>
        <w:t xml:space="preserve">4  Threat-Modelling and SPARTA/NRS Method</w:t>
      </w:r>
    </w:p>
    <w:p>
      <w:pPr>
        <w:spacing w:after="120" w:line="276"/>
      </w:pPr>
      <w:r>
        <w:rPr>
          <w:sz w:val="20"/>
          <w:szCs w:val="20"/>
        </w:rPr>
        <w:t xml:space="preserve">Retained from v0.3.1; it survived both reviews.</w:t>
      </w:r>
    </w:p>
    <w:p>
      <w:pPr>
        <w:pStyle w:val="ListParagraph"/>
        <w:numPr>
          <w:ilvl w:val="0"/>
          <w:numId w:val="1"/>
        </w:numPr>
        <w:spacing w:after="70" w:line="264"/>
        <w:rPr>
          <w:sz w:val="20"/>
          <w:szCs w:val="20"/>
        </w:rPr>
      </w:pPr>
      <w:r>
        <w:t>SPARTA Notional Risk Scores are starting points for mission-specific tailoring, not operational risk measurements. They use a 5×5 risk matrix whose cell values are not the arithmetic product of likelihood and impact.</w:t>
      </w:r>
    </w:p>
    <w:p>
      <w:pPr>
        <w:pStyle w:val="ListParagraph"/>
        <w:numPr>
          <w:ilvl w:val="0"/>
          <w:numId w:val="1"/>
        </w:numPr>
        <w:spacing w:after="70" w:line="264"/>
        <w:rPr>
          <w:sz w:val="20"/>
          <w:szCs w:val="20"/>
        </w:rPr>
      </w:pPr>
      <w:r>
        <w:t xml:space="preserve">Mission and architecture principally drive impact; verified countermeasures principally drive likelihood.</w:t>
      </w:r>
    </w:p>
    <w:p>
      <w:pPr>
        <w:pStyle w:val="ListParagraph"/>
        <w:numPr>
          <w:ilvl w:val="0"/>
          <w:numId w:val="1"/>
        </w:numPr>
        <w:spacing w:after="70" w:line="264"/>
        <w:rPr>
          <w:sz w:val="20"/>
          <w:szCs w:val="20"/>
        </w:rPr>
      </w:pPr>
      <w:r>
        <w:t xml:space="preserve">Upward re-weighting is legitimate where the architecture introduces surfaces the generic baseline did not assume, provided the rationale states whether the driver is consequence or probability.</w:t>
      </w:r>
    </w:p>
    <w:p>
      <w:pPr>
        <w:pStyle w:val="ListParagraph"/>
        <w:numPr>
          <w:ilvl w:val="0"/>
          <w:numId w:val="1"/>
        </w:numPr>
        <w:spacing w:after="70" w:line="264"/>
        <w:rPr>
          <w:sz w:val="20"/>
          <w:szCs w:val="20"/>
        </w:rPr>
      </w:pPr>
      <w:r>
        <w:t xml:space="preserve">Techniques are scored atomically; chain feasibility and consequence are separate metrics and are never summed into a technique score.</w:t>
      </w:r>
    </w:p>
    <w:p>
      <w:pPr>
        <w:pStyle w:val="ListParagraph"/>
        <w:numPr>
          <w:ilvl w:val="0"/>
          <w:numId w:val="1"/>
        </w:numPr>
        <w:spacing w:after="70" w:line="264"/>
        <w:rPr>
          <w:sz w:val="20"/>
          <w:szCs w:val="20"/>
        </w:rPr>
      </w:pPr>
      <w:r>
        <w:t xml:space="preserve">Assume-breach posture: execution, persistence, evasion and lateral movement all presuppose initial access.</w:t>
      </w:r>
    </w:p>
    <w:p>
      <w:pPr>
        <w:pStyle w:val="Heading2"/>
      </w:pPr>
      <w:r>
        <w:t xml:space="preserve">4.1  Control Evidence Level</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1083"/>
        <w:gridCol w:w="2888"/>
        <w:gridCol w:w="5055"/>
      </w:tblGrid>
      <w:tr>
        <w:trPr>
          <w:tblHeader/>
          <w:tblHeader w:val="true"/>
        </w:trPr>
        <w:tc>
          <w:tcPr>
            <w:tcW w:type="dxa" w:w="1083"/>
            <w:shd w:fill="EFEFEF" w:val="clear"/>
            <w:tcMar>
              <w:top w:type="dxa" w:w="70"/>
              <w:left w:type="dxa" w:w="90"/>
              <w:bottom w:type="dxa" w:w="70"/>
              <w:right w:type="dxa" w:w="90"/>
            </w:tcMar>
          </w:tcPr>
          <w:p>
            <w:pPr>
              <w:spacing w:after="20" w:line="250"/>
            </w:pPr>
            <w:r>
              <w:rPr>
                <w:b/>
                <w:bCs/>
                <w:sz w:val="17"/>
                <w:szCs w:val="17"/>
              </w:rPr>
              <w:t>Project-defined level</w:t>
            </w:r>
          </w:p>
        </w:tc>
        <w:tc>
          <w:tcPr>
            <w:tcW w:type="dxa" w:w="2888"/>
            <w:shd w:fill="EFEFEF" w:val="clear"/>
            <w:tcMar>
              <w:top w:type="dxa" w:w="70"/>
              <w:left w:type="dxa" w:w="90"/>
              <w:bottom w:type="dxa" w:w="70"/>
              <w:right w:type="dxa" w:w="90"/>
            </w:tcMar>
          </w:tcPr>
          <w:p>
            <w:pPr>
              <w:spacing w:after="20" w:line="250"/>
            </w:pPr>
            <w:r>
              <w:rPr>
                <w:b/>
                <w:bCs/>
                <w:sz w:val="17"/>
                <w:szCs w:val="17"/>
              </w:rPr>
              <w:t>Evidence</w:t>
            </w:r>
          </w:p>
        </w:tc>
        <w:tc>
          <w:tcPr>
            <w:tcW w:type="dxa" w:w="5055"/>
            <w:shd w:fill="EFEFEF" w:val="clear"/>
            <w:tcMar>
              <w:top w:type="dxa" w:w="70"/>
              <w:left w:type="dxa" w:w="90"/>
              <w:bottom w:type="dxa" w:w="70"/>
              <w:right w:type="dxa" w:w="90"/>
            </w:tcMar>
          </w:tcPr>
          <w:p>
            <w:pPr>
              <w:spacing w:after="20" w:line="250"/>
            </w:pPr>
            <w:r>
              <w:rPr>
                <w:b/>
                <w:bCs/>
                <w:sz w:val="17"/>
                <w:szCs w:val="17"/>
              </w:rPr>
              <w:t>Use in residual-risk assessment</w:t>
            </w:r>
          </w:p>
        </w:tc>
      </w:tr>
      <w:tr>
        <w:tc>
          <w:tcPr>
            <w:tcW w:type="dxa" w:w="1083"/>
            <w:tcMar>
              <w:top w:type="dxa" w:w="70"/>
              <w:left w:type="dxa" w:w="90"/>
              <w:bottom w:type="dxa" w:w="70"/>
              <w:right w:type="dxa" w:w="90"/>
            </w:tcMar>
          </w:tcPr>
          <w:p>
            <w:pPr>
              <w:spacing w:after="20" w:line="250"/>
            </w:pPr>
            <w:r>
              <w:rPr>
                <w:sz w:val="17"/>
                <w:szCs w:val="17"/>
              </w:rPr>
              <w:t xml:space="preserve">E0 Unknown</w:t>
            </w:r>
          </w:p>
        </w:tc>
        <w:tc>
          <w:tcPr>
            <w:tcW w:type="dxa" w:w="2888"/>
            <w:tcMar>
              <w:top w:type="dxa" w:w="70"/>
              <w:left w:type="dxa" w:w="90"/>
              <w:bottom w:type="dxa" w:w="70"/>
              <w:right w:type="dxa" w:w="90"/>
            </w:tcMar>
          </w:tcPr>
          <w:p>
            <w:pPr>
              <w:spacing w:after="20" w:line="250"/>
            </w:pPr>
            <w:r>
              <w:rPr>
                <w:sz w:val="17"/>
                <w:szCs w:val="17"/>
              </w:rPr>
              <w:t xml:space="preserve">No public evidence</w:t>
            </w:r>
          </w:p>
        </w:tc>
        <w:tc>
          <w:tcPr>
            <w:tcW w:type="dxa" w:w="5055"/>
            <w:tcMar>
              <w:top w:type="dxa" w:w="70"/>
              <w:left w:type="dxa" w:w="90"/>
              <w:bottom w:type="dxa" w:w="70"/>
              <w:right w:type="dxa" w:w="90"/>
            </w:tcMar>
          </w:tcPr>
          <w:p>
            <w:pPr>
              <w:spacing w:after="20" w:line="250"/>
            </w:pPr>
            <w:r>
              <w:rPr>
                <w:sz w:val="17"/>
                <w:szCs w:val="17"/>
              </w:rPr>
              <w:t xml:space="preserve">No credit</w:t>
            </w:r>
          </w:p>
        </w:tc>
      </w:tr>
      <w:tr>
        <w:tc>
          <w:tcPr>
            <w:tcW w:type="dxa" w:w="1083"/>
            <w:tcMar>
              <w:top w:type="dxa" w:w="70"/>
              <w:left w:type="dxa" w:w="90"/>
              <w:bottom w:type="dxa" w:w="70"/>
              <w:right w:type="dxa" w:w="90"/>
            </w:tcMar>
          </w:tcPr>
          <w:p>
            <w:pPr>
              <w:spacing w:after="20" w:line="250"/>
            </w:pPr>
            <w:r>
              <w:rPr>
                <w:sz w:val="17"/>
                <w:szCs w:val="17"/>
              </w:rPr>
              <w:t xml:space="preserve">E1 Claimed</w:t>
            </w:r>
          </w:p>
        </w:tc>
        <w:tc>
          <w:tcPr>
            <w:tcW w:type="dxa" w:w="2888"/>
            <w:tcMar>
              <w:top w:type="dxa" w:w="70"/>
              <w:left w:type="dxa" w:w="90"/>
              <w:bottom w:type="dxa" w:w="70"/>
              <w:right w:type="dxa" w:w="90"/>
            </w:tcMar>
          </w:tcPr>
          <w:p>
            <w:pPr>
              <w:spacing w:after="20" w:line="250"/>
            </w:pPr>
            <w:r>
              <w:rPr>
                <w:sz w:val="17"/>
                <w:szCs w:val="17"/>
              </w:rPr>
              <w:t xml:space="preserve">Marketing material or intent</w:t>
            </w:r>
          </w:p>
        </w:tc>
        <w:tc>
          <w:tcPr>
            <w:tcW w:type="dxa" w:w="5055"/>
            <w:tcMar>
              <w:top w:type="dxa" w:w="70"/>
              <w:left w:type="dxa" w:w="90"/>
              <w:bottom w:type="dxa" w:w="70"/>
              <w:right w:type="dxa" w:w="90"/>
            </w:tcMar>
          </w:tcPr>
          <w:p>
            <w:pPr>
              <w:spacing w:after="20" w:line="250"/>
            </w:pPr>
            <w:r>
              <w:rPr>
                <w:sz w:val="17"/>
                <w:szCs w:val="17"/>
              </w:rPr>
              <w:t xml:space="preserve">No credit; recorded as open assumption</w:t>
            </w:r>
          </w:p>
        </w:tc>
      </w:tr>
      <w:tr>
        <w:tc>
          <w:tcPr>
            <w:tcW w:type="dxa" w:w="1083"/>
            <w:tcMar>
              <w:top w:type="dxa" w:w="70"/>
              <w:left w:type="dxa" w:w="90"/>
              <w:bottom w:type="dxa" w:w="70"/>
              <w:right w:type="dxa" w:w="90"/>
            </w:tcMar>
          </w:tcPr>
          <w:p>
            <w:pPr>
              <w:spacing w:after="20" w:line="250"/>
            </w:pPr>
            <w:r>
              <w:rPr>
                <w:sz w:val="17"/>
                <w:szCs w:val="17"/>
              </w:rPr>
              <w:t xml:space="preserve">E2 Designed</w:t>
            </w:r>
          </w:p>
        </w:tc>
        <w:tc>
          <w:tcPr>
            <w:tcW w:type="dxa" w:w="2888"/>
            <w:tcMar>
              <w:top w:type="dxa" w:w="70"/>
              <w:left w:type="dxa" w:w="90"/>
              <w:bottom w:type="dxa" w:w="70"/>
              <w:right w:type="dxa" w:w="90"/>
            </w:tcMar>
          </w:tcPr>
          <w:p>
            <w:pPr>
              <w:spacing w:after="20" w:line="250"/>
            </w:pPr>
            <w:r>
              <w:rPr>
                <w:sz w:val="17"/>
                <w:szCs w:val="17"/>
              </w:rPr>
              <w:t xml:space="preserve">Architecture or interface disclosure</w:t>
            </w:r>
          </w:p>
        </w:tc>
        <w:tc>
          <w:tcPr>
            <w:tcW w:type="dxa" w:w="5055"/>
            <w:tcMar>
              <w:top w:type="dxa" w:w="70"/>
              <w:left w:type="dxa" w:w="90"/>
              <w:bottom w:type="dxa" w:w="70"/>
              <w:right w:type="dxa" w:w="90"/>
            </w:tcMar>
          </w:tcPr>
          <w:p>
            <w:pPr>
              <w:spacing w:after="20" w:line="250"/>
            </w:pPr>
            <w:r>
              <w:rPr>
                <w:sz w:val="17"/>
                <w:szCs w:val="17"/>
              </w:rPr>
              <w:t xml:space="preserve">Design evidence only</w:t>
            </w:r>
          </w:p>
        </w:tc>
      </w:tr>
      <w:tr>
        <w:tc>
          <w:tcPr>
            <w:tcW w:type="dxa" w:w="1083"/>
            <w:tcMar>
              <w:top w:type="dxa" w:w="70"/>
              <w:left w:type="dxa" w:w="90"/>
              <w:bottom w:type="dxa" w:w="70"/>
              <w:right w:type="dxa" w:w="90"/>
            </w:tcMar>
          </w:tcPr>
          <w:p>
            <w:pPr>
              <w:spacing w:after="20" w:line="250"/>
            </w:pPr>
            <w:r>
              <w:rPr>
                <w:sz w:val="17"/>
                <w:szCs w:val="17"/>
              </w:rPr>
              <w:t xml:space="preserve">E3 Verified</w:t>
            </w:r>
          </w:p>
        </w:tc>
        <w:tc>
          <w:tcPr>
            <w:tcW w:type="dxa" w:w="2888"/>
            <w:tcMar>
              <w:top w:type="dxa" w:w="70"/>
              <w:left w:type="dxa" w:w="90"/>
              <w:bottom w:type="dxa" w:w="70"/>
              <w:right w:type="dxa" w:w="90"/>
            </w:tcMar>
          </w:tcPr>
          <w:p>
            <w:pPr>
              <w:spacing w:after="20" w:line="250"/>
            </w:pPr>
            <w:r>
              <w:rPr>
                <w:sz w:val="17"/>
                <w:szCs w:val="17"/>
              </w:rPr>
              <w:t xml:space="preserve">Reproducible implementation-specific test or applicable certification</w:t>
            </w:r>
          </w:p>
        </w:tc>
        <w:tc>
          <w:tcPr>
            <w:tcW w:type="dxa" w:w="5055"/>
            <w:tcMar>
              <w:top w:type="dxa" w:w="70"/>
              <w:left w:type="dxa" w:w="90"/>
              <w:bottom w:type="dxa" w:w="70"/>
              <w:right w:type="dxa" w:w="90"/>
            </w:tcMar>
          </w:tcPr>
          <w:p>
            <w:pPr>
              <w:spacing w:after="20" w:line="250"/>
            </w:pPr>
            <w:r>
              <w:rPr>
                <w:sz w:val="17"/>
                <w:szCs w:val="17"/>
              </w:rPr>
              <w:t xml:space="preserve">May reduce residual likelihood within verified scope</w:t>
            </w:r>
          </w:p>
        </w:tc>
      </w:tr>
      <w:tr>
        <w:tc>
          <w:tcPr>
            <w:tcW w:type="dxa" w:w="1083"/>
            <w:tcMar>
              <w:top w:type="dxa" w:w="70"/>
              <w:left w:type="dxa" w:w="90"/>
              <w:bottom w:type="dxa" w:w="70"/>
              <w:right w:type="dxa" w:w="90"/>
            </w:tcMar>
          </w:tcPr>
          <w:p>
            <w:pPr>
              <w:spacing w:after="20" w:line="250"/>
            </w:pPr>
            <w:r>
              <w:rPr>
                <w:sz w:val="17"/>
                <w:szCs w:val="17"/>
              </w:rPr>
              <w:t xml:space="preserve">E4 Demonstrated</w:t>
            </w:r>
          </w:p>
        </w:tc>
        <w:tc>
          <w:tcPr>
            <w:tcW w:type="dxa" w:w="2888"/>
            <w:tcMar>
              <w:top w:type="dxa" w:w="70"/>
              <w:left w:type="dxa" w:w="90"/>
              <w:bottom w:type="dxa" w:w="70"/>
              <w:right w:type="dxa" w:w="90"/>
            </w:tcMar>
          </w:tcPr>
          <w:p>
            <w:pPr>
              <w:spacing w:after="20" w:line="250"/>
            </w:pPr>
            <w:r>
              <w:rPr>
                <w:sz w:val="17"/>
                <w:szCs w:val="17"/>
              </w:rPr>
              <w:t xml:space="preserve">Production telemetry, exercise or incident evidence</w:t>
            </w:r>
          </w:p>
        </w:tc>
        <w:tc>
          <w:tcPr>
            <w:tcW w:type="dxa" w:w="5055"/>
            <w:tcMar>
              <w:top w:type="dxa" w:w="70"/>
              <w:left w:type="dxa" w:w="90"/>
              <w:bottom w:type="dxa" w:w="70"/>
              <w:right w:type="dxa" w:w="90"/>
            </w:tcMar>
          </w:tcPr>
          <w:p>
            <w:pPr>
              <w:spacing w:after="20" w:line="250"/>
            </w:pPr>
            <w:r>
              <w:rPr>
                <w:sz w:val="17"/>
                <w:szCs w:val="17"/>
              </w:rPr>
              <w:t xml:space="preserve">Strongest credit; requires review date</w:t>
            </w:r>
          </w:p>
        </w:tc>
      </w:tr>
    </w:tbl>
    <w:p>
      <w:pPr>
        <w:spacing w:after="120" w:line="276"/>
      </w:pPr>
      <w:r>
        <w:rPr>
          <w:sz w:val="20"/>
          <w:szCs w:val="20"/>
        </w:rPr>
        <w:t>E0–E4 evidence levels and P0–P2 scenario priorities in this document are project-defined analytical labels; they are not SPARTA, NASA or NIST scales. Model-generated evidence is recorded as project-generated modelling evidence. It can inform architecture hypotheses and scenario consequences but does not by itself confer implementation-level control assurance.</w:t>
      </w:r>
    </w:p>
    <w:p>
      <w:pPr>
        <w:pStyle w:val="Heading2"/>
      </w:pPr>
      <w:r>
        <w:t xml:space="preserve">4.2  Architecture Decision Records</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1173"/>
        <w:gridCol w:w="5235"/>
        <w:gridCol w:w="2618"/>
      </w:tblGrid>
      <w:tr>
        <w:trPr>
          <w:tblHeader/>
          <w:tblHeader w:val="true"/>
        </w:trPr>
        <w:tc>
          <w:tcPr>
            <w:tcW w:type="dxa" w:w="1173"/>
            <w:shd w:fill="EFEFEF" w:val="clear"/>
            <w:tcMar>
              <w:top w:type="dxa" w:w="70"/>
              <w:left w:type="dxa" w:w="90"/>
              <w:bottom w:type="dxa" w:w="70"/>
              <w:right w:type="dxa" w:w="90"/>
            </w:tcMar>
          </w:tcPr>
          <w:p>
            <w:pPr>
              <w:spacing w:after="20" w:line="250"/>
            </w:pPr>
            <w:r>
              <w:rPr>
                <w:b/>
                <w:bCs/>
                <w:sz w:val="17"/>
                <w:szCs w:val="17"/>
              </w:rPr>
              <w:t xml:space="preserve">ADR</w:t>
            </w:r>
          </w:p>
        </w:tc>
        <w:tc>
          <w:tcPr>
            <w:tcW w:type="dxa" w:w="5235"/>
            <w:shd w:fill="EFEFEF" w:val="clear"/>
            <w:tcMar>
              <w:top w:type="dxa" w:w="70"/>
              <w:left w:type="dxa" w:w="90"/>
              <w:bottom w:type="dxa" w:w="70"/>
              <w:right w:type="dxa" w:w="90"/>
            </w:tcMar>
          </w:tcPr>
          <w:p>
            <w:pPr>
              <w:spacing w:after="20" w:line="250"/>
            </w:pPr>
            <w:r>
              <w:rPr>
                <w:b/>
                <w:bCs/>
                <w:sz w:val="17"/>
                <w:szCs w:val="17"/>
              </w:rPr>
              <w:t xml:space="preserve">Decision</w:t>
            </w:r>
          </w:p>
        </w:tc>
        <w:tc>
          <w:tcPr>
            <w:tcW w:type="dxa" w:w="2618"/>
            <w:shd w:fill="EFEFEF" w:val="clear"/>
            <w:tcMar>
              <w:top w:type="dxa" w:w="70"/>
              <w:left w:type="dxa" w:w="90"/>
              <w:bottom w:type="dxa" w:w="70"/>
              <w:right w:type="dxa" w:w="90"/>
            </w:tcMar>
          </w:tcPr>
          <w:p>
            <w:pPr>
              <w:spacing w:after="20" w:line="250"/>
            </w:pPr>
            <w:r>
              <w:rPr>
                <w:b/>
                <w:bCs/>
                <w:sz w:val="17"/>
                <w:szCs w:val="17"/>
              </w:rPr>
              <w:t xml:space="preserve">Status</w:t>
            </w:r>
          </w:p>
        </w:tc>
      </w:tr>
      <w:tr>
        <w:tc>
          <w:tcPr>
            <w:tcW w:type="dxa" w:w="1173"/>
            <w:tcMar>
              <w:top w:type="dxa" w:w="70"/>
              <w:left w:type="dxa" w:w="90"/>
              <w:bottom w:type="dxa" w:w="70"/>
              <w:right w:type="dxa" w:w="90"/>
            </w:tcMar>
          </w:tcPr>
          <w:p>
            <w:pPr>
              <w:spacing w:after="20" w:line="250"/>
            </w:pPr>
            <w:r>
              <w:rPr>
                <w:sz w:val="17"/>
                <w:szCs w:val="17"/>
              </w:rPr>
              <w:t xml:space="preserve">ADR-001</w:t>
            </w:r>
          </w:p>
        </w:tc>
        <w:tc>
          <w:tcPr>
            <w:tcW w:type="dxa" w:w="5235"/>
            <w:tcMar>
              <w:top w:type="dxa" w:w="70"/>
              <w:left w:type="dxa" w:w="90"/>
              <w:bottom w:type="dxa" w:w="70"/>
              <w:right w:type="dxa" w:w="90"/>
            </w:tcMar>
          </w:tcPr>
          <w:p>
            <w:pPr>
              <w:spacing w:after="20" w:line="250"/>
            </w:pPr>
            <w:r>
              <w:rPr>
                <w:sz w:val="17"/>
                <w:szCs w:val="17"/>
              </w:rPr>
              <w:t xml:space="preserve">MEDIUM SPARTA NRS for the commercial reference mission; HIGH as justified sensitivity case.</w:t>
            </w:r>
          </w:p>
        </w:tc>
        <w:tc>
          <w:tcPr>
            <w:tcW w:type="dxa" w:w="2618"/>
            <w:tcMar>
              <w:top w:type="dxa" w:w="70"/>
              <w:left w:type="dxa" w:w="90"/>
              <w:bottom w:type="dxa" w:w="70"/>
              <w:right w:type="dxa" w:w="90"/>
            </w:tcMar>
          </w:tcPr>
          <w:p>
            <w:pPr>
              <w:spacing w:after="20" w:line="250"/>
            </w:pPr>
            <w:r>
              <w:rPr>
                <w:sz w:val="17"/>
                <w:szCs w:val="17"/>
              </w:rPr>
              <w:t xml:space="preserve">Unchanged</w:t>
            </w:r>
          </w:p>
        </w:tc>
      </w:tr>
      <w:tr>
        <w:tc>
          <w:tcPr>
            <w:tcW w:type="dxa" w:w="1173"/>
            <w:tcMar>
              <w:top w:type="dxa" w:w="70"/>
              <w:left w:type="dxa" w:w="90"/>
              <w:bottom w:type="dxa" w:w="70"/>
              <w:right w:type="dxa" w:w="90"/>
            </w:tcMar>
          </w:tcPr>
          <w:p>
            <w:pPr>
              <w:spacing w:after="20" w:line="250"/>
            </w:pPr>
            <w:r>
              <w:rPr>
                <w:sz w:val="17"/>
                <w:szCs w:val="17"/>
              </w:rPr>
              <w:t xml:space="preserve">ADR-002</w:t>
            </w:r>
          </w:p>
        </w:tc>
        <w:tc>
          <w:tcPr>
            <w:tcW w:type="dxa" w:w="5235"/>
            <w:tcMar>
              <w:top w:type="dxa" w:w="70"/>
              <w:left w:type="dxa" w:w="90"/>
              <w:bottom w:type="dxa" w:w="70"/>
              <w:right w:type="dxa" w:w="90"/>
            </w:tcMar>
          </w:tcPr>
          <w:p>
            <w:pPr>
              <w:spacing w:after="20" w:line="250"/>
            </w:pPr>
            <w:r>
              <w:rPr>
                <w:sz w:val="17"/>
                <w:szCs w:val="17"/>
              </w:rPr>
              <w:t xml:space="preserve">Atomic technique scoring; chain feasibility and consequence kept separate.</w:t>
            </w:r>
          </w:p>
        </w:tc>
        <w:tc>
          <w:tcPr>
            <w:tcW w:type="dxa" w:w="2618"/>
            <w:tcMar>
              <w:top w:type="dxa" w:w="70"/>
              <w:left w:type="dxa" w:w="90"/>
              <w:bottom w:type="dxa" w:w="70"/>
              <w:right w:type="dxa" w:w="90"/>
            </w:tcMar>
          </w:tcPr>
          <w:p>
            <w:pPr>
              <w:spacing w:after="20" w:line="250"/>
            </w:pPr>
            <w:r>
              <w:rPr>
                <w:sz w:val="17"/>
                <w:szCs w:val="17"/>
              </w:rPr>
              <w:t xml:space="preserve">Unchanged</w:t>
            </w:r>
          </w:p>
        </w:tc>
      </w:tr>
      <w:tr>
        <w:tc>
          <w:tcPr>
            <w:tcW w:type="dxa" w:w="1173"/>
            <w:tcMar>
              <w:top w:type="dxa" w:w="70"/>
              <w:left w:type="dxa" w:w="90"/>
              <w:bottom w:type="dxa" w:w="70"/>
              <w:right w:type="dxa" w:w="90"/>
            </w:tcMar>
          </w:tcPr>
          <w:p>
            <w:pPr>
              <w:spacing w:after="20" w:line="250"/>
            </w:pPr>
            <w:r>
              <w:rPr>
                <w:sz w:val="17"/>
                <w:szCs w:val="17"/>
              </w:rPr>
              <w:t xml:space="preserve">ADR-003</w:t>
            </w:r>
          </w:p>
        </w:tc>
        <w:tc>
          <w:tcPr>
            <w:tcW w:type="dxa" w:w="5235"/>
            <w:tcMar>
              <w:top w:type="dxa" w:w="70"/>
              <w:left w:type="dxa" w:w="90"/>
              <w:bottom w:type="dxa" w:w="70"/>
              <w:right w:type="dxa" w:w="90"/>
            </w:tcMar>
          </w:tcPr>
          <w:p>
            <w:pPr>
              <w:spacing w:after="20" w:line="250"/>
            </w:pPr>
            <w:r>
              <w:rPr>
                <w:sz w:val="17"/>
                <w:szCs w:val="17"/>
              </w:rPr>
              <w:t xml:space="preserve">No residual-likelihood credit at E0–E2.</w:t>
            </w:r>
          </w:p>
        </w:tc>
        <w:tc>
          <w:tcPr>
            <w:tcW w:type="dxa" w:w="2618"/>
            <w:tcMar>
              <w:top w:type="dxa" w:w="70"/>
              <w:left w:type="dxa" w:w="90"/>
              <w:bottom w:type="dxa" w:w="70"/>
              <w:right w:type="dxa" w:w="90"/>
            </w:tcMar>
          </w:tcPr>
          <w:p>
            <w:pPr>
              <w:spacing w:after="20" w:line="250"/>
            </w:pPr>
            <w:r>
              <w:rPr>
                <w:sz w:val="17"/>
                <w:szCs w:val="17"/>
              </w:rPr>
              <w:t xml:space="preserve">Unchanged</w:t>
            </w:r>
          </w:p>
        </w:tc>
      </w:tr>
      <w:tr>
        <w:tc>
          <w:tcPr>
            <w:tcW w:type="dxa" w:w="1173"/>
            <w:tcMar>
              <w:top w:type="dxa" w:w="70"/>
              <w:left w:type="dxa" w:w="90"/>
              <w:bottom w:type="dxa" w:w="70"/>
              <w:right w:type="dxa" w:w="90"/>
            </w:tcMar>
          </w:tcPr>
          <w:p>
            <w:pPr>
              <w:spacing w:after="20" w:line="250"/>
            </w:pPr>
            <w:r>
              <w:rPr>
                <w:sz w:val="17"/>
                <w:szCs w:val="17"/>
              </w:rPr>
              <w:t xml:space="preserve">ADR-004</w:t>
            </w:r>
          </w:p>
        </w:tc>
        <w:tc>
          <w:tcPr>
            <w:tcW w:type="dxa" w:w="5235"/>
            <w:tcMar>
              <w:top w:type="dxa" w:w="70"/>
              <w:left w:type="dxa" w:w="90"/>
              <w:bottom w:type="dxa" w:w="70"/>
              <w:right w:type="dxa" w:w="90"/>
            </w:tcMar>
          </w:tcPr>
          <w:p>
            <w:pPr>
              <w:spacing w:after="20" w:line="250"/>
            </w:pPr>
            <w:r>
              <w:rPr>
                <w:sz w:val="17"/>
                <w:szCs w:val="17"/>
              </w:rPr>
              <w:t xml:space="preserve">Onboard safety envelope operates at higher trust than tenant or ground authority.</w:t>
            </w:r>
          </w:p>
        </w:tc>
        <w:tc>
          <w:tcPr>
            <w:tcW w:type="dxa" w:w="2618"/>
            <w:tcMar>
              <w:top w:type="dxa" w:w="70"/>
              <w:left w:type="dxa" w:w="90"/>
              <w:bottom w:type="dxa" w:w="70"/>
              <w:right w:type="dxa" w:w="90"/>
            </w:tcMar>
          </w:tcPr>
          <w:p>
            <w:pPr>
              <w:spacing w:after="20" w:line="250"/>
            </w:pPr>
            <w:r>
              <w:rPr>
                <w:sz w:val="17"/>
                <w:szCs w:val="17"/>
              </w:rPr>
              <w:t xml:space="preserve">Unchanged</w:t>
            </w:r>
          </w:p>
        </w:tc>
      </w:tr>
      <w:tr>
        <w:tc>
          <w:tcPr>
            <w:tcW w:type="dxa" w:w="1173"/>
            <w:tcMar>
              <w:top w:type="dxa" w:w="70"/>
              <w:left w:type="dxa" w:w="90"/>
              <w:bottom w:type="dxa" w:w="70"/>
              <w:right w:type="dxa" w:w="90"/>
            </w:tcMar>
          </w:tcPr>
          <w:p>
            <w:pPr>
              <w:spacing w:after="20" w:line="250"/>
            </w:pPr>
            <w:r>
              <w:rPr>
                <w:sz w:val="17"/>
                <w:szCs w:val="17"/>
              </w:rPr>
              <w:t xml:space="preserve">ADR-005</w:t>
            </w:r>
          </w:p>
        </w:tc>
        <w:tc>
          <w:tcPr>
            <w:tcW w:type="dxa" w:w="5235"/>
            <w:tcMar>
              <w:top w:type="dxa" w:w="70"/>
              <w:left w:type="dxa" w:w="90"/>
              <w:bottom w:type="dxa" w:w="70"/>
              <w:right w:type="dxa" w:w="90"/>
            </w:tcMar>
          </w:tcPr>
          <w:p>
            <w:pPr>
              <w:spacing w:after="20" w:line="250"/>
            </w:pPr>
            <w:r>
              <w:rPr>
                <w:sz w:val="17"/>
                <w:szCs w:val="17"/>
              </w:rPr>
              <w:t xml:space="preserve">Thermal-margin risk is assessed against thermal state and orbital phase, not cumulative energy.</w:t>
            </w:r>
          </w:p>
        </w:tc>
        <w:tc>
          <w:tcPr>
            <w:tcW w:type="dxa" w:w="2618"/>
            <w:tcMar>
              <w:top w:type="dxa" w:w="70"/>
              <w:left w:type="dxa" w:w="90"/>
              <w:bottom w:type="dxa" w:w="70"/>
              <w:right w:type="dxa" w:w="90"/>
            </w:tcMar>
          </w:tcPr>
          <w:p>
            <w:pPr>
              <w:spacing w:after="20" w:line="250"/>
            </w:pPr>
            <w:r>
              <w:rPr>
                <w:sz w:val="17"/>
                <w:szCs w:val="17"/>
              </w:rPr>
              <w:t xml:space="preserve">Retained; threshold removed</w:t>
            </w:r>
          </w:p>
        </w:tc>
      </w:tr>
      <w:tr>
        <w:tc>
          <w:tcPr>
            <w:tcW w:type="dxa" w:w="1173"/>
            <w:tcMar>
              <w:top w:type="dxa" w:w="70"/>
              <w:left w:type="dxa" w:w="90"/>
              <w:bottom w:type="dxa" w:w="70"/>
              <w:right w:type="dxa" w:w="90"/>
            </w:tcMar>
          </w:tcPr>
          <w:p>
            <w:pPr>
              <w:spacing w:after="20" w:line="250"/>
            </w:pPr>
            <w:r>
              <w:rPr>
                <w:sz w:val="17"/>
                <w:szCs w:val="17"/>
              </w:rPr>
              <w:t xml:space="preserve">ADR-006</w:t>
            </w:r>
          </w:p>
        </w:tc>
        <w:tc>
          <w:tcPr>
            <w:tcW w:type="dxa" w:w="5235"/>
            <w:tcMar>
              <w:top w:type="dxa" w:w="70"/>
              <w:left w:type="dxa" w:w="90"/>
              <w:bottom w:type="dxa" w:w="70"/>
              <w:right w:type="dxa" w:w="90"/>
            </w:tcMar>
          </w:tcPr>
          <w:p>
            <w:pPr>
              <w:spacing w:after="20" w:line="250"/>
            </w:pPr>
            <w:r>
              <w:rPr>
                <w:sz w:val="17"/>
                <w:szCs w:val="17"/>
              </w:rPr>
              <w:t xml:space="preserve">Attribution capability is an architectural property of the detector set, not an assumed difficulty.</w:t>
            </w:r>
          </w:p>
        </w:tc>
        <w:tc>
          <w:tcPr>
            <w:tcW w:type="dxa" w:w="2618"/>
            <w:tcMar>
              <w:top w:type="dxa" w:w="70"/>
              <w:left w:type="dxa" w:w="90"/>
              <w:bottom w:type="dxa" w:w="70"/>
              <w:right w:type="dxa" w:w="90"/>
            </w:tcMar>
          </w:tcPr>
          <w:p>
            <w:pPr>
              <w:spacing w:after="20" w:line="250"/>
            </w:pPr>
            <w:r>
              <w:rPr>
                <w:sz w:val="17"/>
                <w:szCs w:val="17"/>
              </w:rPr>
              <w:t xml:space="preserve">Revised — was 'telemetry path'; corrected per F-03</w:t>
            </w:r>
          </w:p>
        </w:tc>
      </w:tr>
      <w:tr>
        <w:tc>
          <w:tcPr>
            <w:tcW w:type="dxa" w:w="1173"/>
            <w:tcMar>
              <w:top w:type="dxa" w:w="70"/>
              <w:left w:type="dxa" w:w="90"/>
              <w:bottom w:type="dxa" w:w="70"/>
              <w:right w:type="dxa" w:w="90"/>
            </w:tcMar>
          </w:tcPr>
          <w:p>
            <w:pPr>
              <w:spacing w:after="20" w:line="250"/>
            </w:pPr>
            <w:r>
              <w:rPr>
                <w:sz w:val="17"/>
                <w:szCs w:val="17"/>
              </w:rPr>
              <w:t xml:space="preserve">ADR-007</w:t>
            </w:r>
          </w:p>
        </w:tc>
        <w:tc>
          <w:tcPr>
            <w:tcW w:type="dxa" w:w="5235"/>
            <w:tcMar>
              <w:top w:type="dxa" w:w="70"/>
              <w:left w:type="dxa" w:w="90"/>
              <w:bottom w:type="dxa" w:w="70"/>
              <w:right w:type="dxa" w:w="90"/>
            </w:tcMar>
          </w:tcPr>
          <w:p>
            <w:pPr>
              <w:spacing w:after="20" w:line="250"/>
            </w:pPr>
            <w:r>
              <w:rPr>
                <w:sz w:val="17"/>
                <w:szCs w:val="17"/>
              </w:rPr>
              <w:t xml:space="preserve">Where SPARTA has no technique matching a mechanism, an architecture-specific extension is declared rather than forcing a near-fit mapping.</w:t>
            </w:r>
          </w:p>
        </w:tc>
        <w:tc>
          <w:tcPr>
            <w:tcW w:type="dxa" w:w="2618"/>
            <w:tcMar>
              <w:top w:type="dxa" w:w="70"/>
              <w:left w:type="dxa" w:w="90"/>
              <w:bottom w:type="dxa" w:w="70"/>
              <w:right w:type="dxa" w:w="90"/>
            </w:tcMar>
          </w:tcPr>
          <w:p>
            <w:pPr>
              <w:spacing w:after="20" w:line="250"/>
            </w:pPr>
            <w:r>
              <w:rPr>
                <w:sz w:val="17"/>
                <w:szCs w:val="17"/>
              </w:rPr>
              <w:t xml:space="preserve">New — see 5.1</w:t>
            </w:r>
          </w:p>
        </w:tc>
      </w:tr>
    </w:tbl>
    <w:p>
      <w:pPr>
        <w:pStyle w:val="Heading1"/>
      </w:pPr>
      <w:r>
        <w:t xml:space="preserve">5  Scenarios</w:t>
      </w:r>
    </w:p>
    <w:p>
      <w:pPr>
        <w:pStyle w:val="Heading2"/>
      </w:pPr>
      <w:r>
        <w:t>5.1  S-02 — Adversarial Exploitation of Temporal Thermal Coupling by Authorised Workload</w:t>
      </w:r>
    </w:p>
    <w:p>
      <w:pPr>
        <w:spacing w:after="120" w:line="276"/>
      </w:pPr>
      <w:r>
        <w:t>v0.4 mapped this mechanism to EX-0012.09 and EX-0012.10. That mapping remains withdrawn. Those techniques sit under the Modify On-Board Values family; the initial mechanism modifies no onboard value and uses authorised workload demand. v0.4.4 also separates hazard from threat: F-01 is the underlying thermal-safety/resource-control coupling, while S-02 is the hypothesis that an authorised tenant could intentionally exploit it under the Section 3.2 preconditions.</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1986"/>
        <w:gridCol w:w="7040"/>
      </w:tblGrid>
      <w:tr>
        <w:trPr>
          <w:tblHeader/>
          <w:tblHeader w:val="true"/>
        </w:trPr>
        <w:tc>
          <w:tcPr>
            <w:tcW w:type="dxa" w:w="1986"/>
            <w:shd w:fill="EFEFEF" w:val="clear"/>
            <w:tcMar>
              <w:top w:type="dxa" w:w="70"/>
              <w:left w:type="dxa" w:w="90"/>
              <w:bottom w:type="dxa" w:w="70"/>
              <w:right w:type="dxa" w:w="90"/>
            </w:tcMar>
          </w:tcPr>
          <w:p>
            <w:pPr>
              <w:spacing w:after="20" w:line="250"/>
            </w:pPr>
            <w:r>
              <w:rPr>
                <w:b/>
                <w:bCs/>
                <w:sz w:val="17"/>
                <w:szCs w:val="17"/>
              </w:rPr>
              <w:t xml:space="preserve">Field</w:t>
            </w:r>
          </w:p>
        </w:tc>
        <w:tc>
          <w:tcPr>
            <w:tcW w:type="dxa" w:w="7040"/>
            <w:shd w:fill="EFEFEF" w:val="clear"/>
            <w:tcMar>
              <w:top w:type="dxa" w:w="70"/>
              <w:left w:type="dxa" w:w="90"/>
              <w:bottom w:type="dxa" w:w="70"/>
              <w:right w:type="dxa" w:w="90"/>
            </w:tcMar>
          </w:tcPr>
          <w:p>
            <w:pPr>
              <w:spacing w:after="20" w:line="250"/>
            </w:pPr>
            <w:r>
              <w:rPr>
                <w:b/>
                <w:bCs/>
                <w:sz w:val="17"/>
                <w:szCs w:val="17"/>
              </w:rPr>
              <w:t xml:space="preserve">Content</w:t>
            </w:r>
          </w:p>
        </w:tc>
      </w:tr>
      <w:tr>
        <w:tc>
          <w:tcPr>
            <w:tcW w:type="dxa" w:w="1986"/>
            <w:tcMar>
              <w:top w:type="dxa" w:w="70"/>
              <w:left w:type="dxa" w:w="90"/>
              <w:bottom w:type="dxa" w:w="70"/>
              <w:right w:type="dxa" w:w="90"/>
            </w:tcMar>
          </w:tcPr>
          <w:p>
            <w:pPr>
              <w:spacing w:after="20" w:line="250"/>
            </w:pPr>
            <w:r>
              <w:rPr>
                <w:sz w:val="17"/>
                <w:szCs w:val="17"/>
              </w:rPr>
              <w:t xml:space="preserve">Priority</w:t>
            </w:r>
          </w:p>
        </w:tc>
        <w:tc>
          <w:tcPr>
            <w:tcW w:type="dxa" w:w="7040"/>
            <w:tcMar>
              <w:top w:type="dxa" w:w="70"/>
              <w:left w:type="dxa" w:w="90"/>
              <w:bottom w:type="dxa" w:w="70"/>
              <w:right w:type="dxa" w:w="90"/>
            </w:tcMar>
          </w:tcPr>
          <w:p>
            <w:pPr>
              <w:spacing w:after="20" w:line="250"/>
            </w:pPr>
            <w:r>
              <w:rPr>
                <w:sz w:val="17"/>
                <w:szCs w:val="17"/>
              </w:rPr>
              <w:t xml:space="preserve">P0</w:t>
            </w:r>
          </w:p>
        </w:tc>
      </w:tr>
      <w:tr>
        <w:tc>
          <w:tcPr>
            <w:tcW w:type="dxa" w:w="1986"/>
            <w:tcMar>
              <w:top w:type="dxa" w:w="70"/>
              <w:left w:type="dxa" w:w="90"/>
              <w:bottom w:type="dxa" w:w="70"/>
              <w:right w:type="dxa" w:w="90"/>
            </w:tcMar>
          </w:tcPr>
          <w:p>
            <w:pPr>
              <w:spacing w:after="20" w:line="250"/>
            </w:pPr>
            <w:r>
              <w:rPr>
                <w:sz w:val="17"/>
                <w:szCs w:val="17"/>
              </w:rPr>
              <w:t xml:space="preserve">Primary assets</w:t>
            </w:r>
          </w:p>
        </w:tc>
        <w:tc>
          <w:tcPr>
            <w:tcW w:type="dxa" w:w="7040"/>
            <w:tcMar>
              <w:top w:type="dxa" w:w="70"/>
              <w:left w:type="dxa" w:w="90"/>
              <w:bottom w:type="dxa" w:w="70"/>
              <w:right w:type="dxa" w:w="90"/>
            </w:tcMar>
          </w:tcPr>
          <w:p>
            <w:pPr>
              <w:spacing w:after="20" w:line="250"/>
            </w:pPr>
            <w:r>
              <w:rPr>
                <w:sz w:val="17"/>
                <w:szCs w:val="17"/>
              </w:rPr>
              <w:t xml:space="preserve">A-04 thermal control state, A-05 electrical power state, A-08 tenant isolation boundary, A-09 workload scheduler / resource policy</w:t>
            </w:r>
          </w:p>
        </w:tc>
      </w:tr>
      <w:tr>
        <w:tc>
          <w:tcPr>
            <w:tcW w:type="dxa" w:w="1986"/>
            <w:tcMar>
              <w:top w:type="dxa" w:w="70"/>
              <w:left w:type="dxa" w:w="90"/>
              <w:bottom w:type="dxa" w:w="70"/>
              <w:right w:type="dxa" w:w="90"/>
            </w:tcMar>
          </w:tcPr>
          <w:p>
            <w:pPr>
              <w:spacing w:after="20" w:line="250"/>
            </w:pPr>
            <w:r>
              <w:rPr>
                <w:sz w:val="17"/>
                <w:szCs w:val="17"/>
              </w:rPr>
              <w:t xml:space="preserve">Mechanism classification</w:t>
            </w:r>
          </w:p>
        </w:tc>
        <w:tc>
          <w:tcPr>
            <w:tcW w:type="dxa" w:w="7040"/>
            <w:tcMar>
              <w:top w:type="dxa" w:w="70"/>
              <w:left w:type="dxa" w:w="90"/>
              <w:bottom w:type="dxa" w:w="70"/>
              <w:right w:type="dxa" w:w="90"/>
            </w:tcMar>
            <w:vAlign w:val="center"/>
          </w:tcPr>
          <w:p>
            <w:r/>
            <w:r>
              <w:rPr>
                <w:rFonts w:ascii="Aptos" w:hAnsi="Aptos"/>
                <w:b w:val="0"/>
                <w:sz w:val="14"/>
              </w:rPr>
              <w:t>Architecture-specific extension: Adversarial Authorised Workload Resource Shaping. The underlying temporal thermal coupling also occurs in a non-malicious synthetic schedule; the security mechanism is intentional exploitation of that coupling.</w:t>
            </w:r>
          </w:p>
        </w:tc>
      </w:tr>
      <w:tr>
        <w:tc>
          <w:tcPr>
            <w:tcW w:type="dxa" w:w="1986"/>
            <w:tcMar>
              <w:top w:type="dxa" w:w="70"/>
              <w:left w:type="dxa" w:w="90"/>
              <w:bottom w:type="dxa" w:w="70"/>
              <w:right w:type="dxa" w:w="90"/>
            </w:tcMar>
          </w:tcPr>
          <w:p>
            <w:pPr>
              <w:spacing w:after="20" w:line="250"/>
            </w:pPr>
            <w:r>
              <w:rPr>
                <w:sz w:val="17"/>
                <w:szCs w:val="17"/>
              </w:rPr>
              <w:t xml:space="preserve">SPARTA relationship</w:t>
            </w:r>
          </w:p>
        </w:tc>
        <w:tc>
          <w:tcPr>
            <w:tcW w:type="dxa" w:w="7040"/>
            <w:tcMar>
              <w:top w:type="dxa" w:w="70"/>
              <w:left w:type="dxa" w:w="90"/>
              <w:bottom w:type="dxa" w:w="70"/>
              <w:right w:type="dxa" w:w="90"/>
            </w:tcMar>
          </w:tcPr>
          <w:p>
            <w:pPr>
              <w:spacing w:after="20" w:line="250"/>
            </w:pPr>
            <w:r>
              <w:rPr>
                <w:sz w:val="17"/>
                <w:szCs w:val="17"/>
              </w:rPr>
              <w:t xml:space="preserve">Used for consequence mapping (IMP-0003 Denial) and for later chain steps where control-surface compromise is present. Not used to describe the initial mechanism.</w:t>
            </w:r>
          </w:p>
        </w:tc>
      </w:tr>
      <w:tr>
        <w:tc>
          <w:tcPr>
            <w:tcW w:type="dxa" w:w="1986"/>
            <w:tcMar>
              <w:top w:type="dxa" w:w="70"/>
              <w:left w:type="dxa" w:w="90"/>
              <w:bottom w:type="dxa" w:w="70"/>
              <w:right w:type="dxa" w:w="90"/>
            </w:tcMar>
          </w:tcPr>
          <w:p>
            <w:pPr>
              <w:spacing w:after="20" w:line="250"/>
            </w:pPr>
            <w:r>
              <w:rPr>
                <w:sz w:val="17"/>
                <w:szCs w:val="17"/>
              </w:rPr>
              <w:t>Sub-scenario A</w:t>
            </w:r>
          </w:p>
        </w:tc>
        <w:tc>
          <w:tcPr>
            <w:tcW w:type="dxa" w:w="7040"/>
            <w:tcMar>
              <w:top w:type="dxa" w:w="70"/>
              <w:left w:type="dxa" w:w="90"/>
              <w:bottom w:type="dxa" w:w="70"/>
              <w:right w:type="dxa" w:w="90"/>
            </w:tcMar>
          </w:tcPr>
          <w:p>
            <w:pPr>
              <w:spacing w:after="20" w:line="250"/>
            </w:pPr>
            <w:r>
              <w:rPr>
                <w:sz w:val="17"/>
                <w:szCs w:val="17"/>
              </w:rPr>
              <w:t>Honest telemetry. TSM-01 exposes candidate trajectory, energy-balance, gradient and temporal observables; attribution performance is not yet validated.</w:t>
            </w:r>
          </w:p>
        </w:tc>
      </w:tr>
      <w:tr>
        <w:tc>
          <w:tcPr>
            <w:tcW w:type="dxa" w:w="1986"/>
            <w:tcMar>
              <w:top w:type="dxa" w:w="70"/>
              <w:left w:type="dxa" w:w="90"/>
              <w:bottom w:type="dxa" w:w="70"/>
              <w:right w:type="dxa" w:w="90"/>
            </w:tcMar>
          </w:tcPr>
          <w:p>
            <w:pPr>
              <w:spacing w:after="20" w:line="250"/>
            </w:pPr>
            <w:r>
              <w:rPr>
                <w:sz w:val="17"/>
                <w:szCs w:val="17"/>
              </w:rPr>
              <w:t xml:space="preserve">Sub-scenario B</w:t>
            </w:r>
          </w:p>
        </w:tc>
        <w:tc>
          <w:tcPr>
            <w:tcW w:type="dxa" w:w="7040"/>
            <w:tcMar>
              <w:top w:type="dxa" w:w="70"/>
              <w:left w:type="dxa" w:w="90"/>
              <w:bottom w:type="dxa" w:w="70"/>
              <w:right w:type="dxa" w:w="90"/>
            </w:tcMar>
          </w:tcPr>
          <w:p>
            <w:pPr>
              <w:spacing w:after="20" w:line="250"/>
            </w:pPr>
            <w:r>
              <w:rPr>
                <w:sz w:val="17"/>
                <w:szCs w:val="17"/>
              </w:rPr>
              <w:t xml:space="preserve">Telemetry-deception enhanced. Power under-reporting defeats Detector A. Formerly S-03.</w:t>
            </w:r>
          </w:p>
        </w:tc>
      </w:tr>
      <w:tr>
        <w:tc>
          <w:tcPr>
            <w:tcW w:type="dxa" w:w="1986"/>
            <w:tcMar>
              <w:top w:type="dxa" w:w="70"/>
              <w:left w:type="dxa" w:w="90"/>
              <w:bottom w:type="dxa" w:w="70"/>
              <w:right w:type="dxa" w:w="90"/>
            </w:tcMar>
          </w:tcPr>
          <w:p>
            <w:pPr>
              <w:spacing w:after="20" w:line="250"/>
            </w:pPr>
            <w:r>
              <w:rPr>
                <w:sz w:val="17"/>
                <w:szCs w:val="17"/>
              </w:rPr>
              <w:t>Evidence status</w:t>
            </w:r>
          </w:p>
        </w:tc>
        <w:tc>
          <w:tcPr>
            <w:tcW w:type="dxa" w:w="7040"/>
            <w:tcMar>
              <w:top w:type="dxa" w:w="70"/>
              <w:left w:type="dxa" w:w="90"/>
              <w:bottom w:type="dxa" w:w="70"/>
              <w:right w:type="dxa" w:w="90"/>
            </w:tcMar>
            <w:vAlign w:val="center"/>
          </w:tcPr>
          <w:p>
            <w:r/>
            <w:r>
              <w:rPr>
                <w:rFonts w:ascii="Aptos" w:hAnsi="Aptos"/>
                <w:b w:val="0"/>
                <w:sz w:val="14"/>
              </w:rPr>
              <w:t>Underlying timing-to-thermal-state coupling supported by project-generated modelling evidence (F-01), including a non-malicious synthetic comparator. Adversarial exploitation preconditions remain unverified; magnitude is model-specific; no independent physics review.</w:t>
            </w:r>
          </w:p>
        </w:tc>
      </w:tr>
      <w:tr>
        <w:tc>
          <w:tcPr>
            <w:tcW w:type="dxa" w:w="1986"/>
            <w:tcMar>
              <w:top w:type="dxa" w:w="70"/>
              <w:left w:type="dxa" w:w="90"/>
              <w:bottom w:type="dxa" w:w="70"/>
              <w:right w:type="dxa" w:w="90"/>
            </w:tcMar>
          </w:tcPr>
          <w:p>
            <w:pPr>
              <w:spacing w:after="20" w:line="250"/>
            </w:pPr>
            <w:r>
              <w:rPr>
                <w:sz w:val="17"/>
                <w:szCs w:val="17"/>
              </w:rPr>
              <w:t>Consequence severity</w:t>
            </w:r>
          </w:p>
        </w:tc>
        <w:tc>
          <w:tcPr>
            <w:tcW w:type="dxa" w:w="7040"/>
            <w:tcMar>
              <w:top w:type="dxa" w:w="70"/>
              <w:left w:type="dxa" w:w="90"/>
              <w:bottom w:type="dxa" w:w="70"/>
              <w:right w:type="dxa" w:w="90"/>
            </w:tcMar>
          </w:tcPr>
          <w:p>
            <w:pPr>
              <w:spacing w:after="20" w:line="250"/>
            </w:pPr>
            <w:r>
              <w:rPr>
                <w:sz w:val="17"/>
                <w:szCs w:val="17"/>
              </w:rPr>
              <w:t>Conditional and architecture-dependent. F-06 only demonstrates that one specified reference protection policy prevents crossing an assumed model limit for tested latencies up to 1 400 s; no generic hardware-loss/service-loss conclusion is inferred.</w:t>
            </w:r>
          </w:p>
        </w:tc>
      </w:tr>
      <w:tr>
        <w:tc>
          <w:tcPr>
            <w:tcW w:type="dxa" w:w="1986"/>
            <w:tcMar>
              <w:top w:type="dxa" w:w="70"/>
              <w:left w:type="dxa" w:w="90"/>
              <w:bottom w:type="dxa" w:w="70"/>
              <w:right w:type="dxa" w:w="90"/>
            </w:tcMar>
          </w:tcPr>
          <w:p>
            <w:pPr>
              <w:spacing w:after="20" w:line="250"/>
            </w:pPr>
            <w:r>
              <w:rPr>
                <w:sz w:val="17"/>
                <w:szCs w:val="17"/>
              </w:rPr>
              <w:t xml:space="preserve">Chain feasibility</w:t>
            </w:r>
          </w:p>
        </w:tc>
        <w:tc>
          <w:tcPr>
            <w:tcW w:type="dxa" w:w="7040"/>
            <w:tcMar>
              <w:top w:type="dxa" w:w="70"/>
              <w:left w:type="dxa" w:w="90"/>
              <w:bottom w:type="dxa" w:w="70"/>
              <w:right w:type="dxa" w:w="90"/>
            </w:tcMar>
          </w:tcPr>
          <w:p>
            <w:pPr>
              <w:spacing w:after="20" w:line="250"/>
            </w:pPr>
            <w:r>
              <w:rPr>
                <w:sz w:val="17"/>
                <w:szCs w:val="17"/>
              </w:rPr>
              <w:t xml:space="preserve">Unknown / Conditional — downgraded from Medium–High. Several preconditions in Section 3.2 are unverified.</w:t>
            </w:r>
          </w:p>
        </w:tc>
      </w:tr>
    </w:tbl>
    <w:p>
      <w:pPr>
        <w:pStyle w:val="Heading2"/>
      </w:pPr>
      <w:r>
        <w:t xml:space="preserve">5.2  S-02B — Telemetry Deception (formerly S-03)</w:t>
      </w:r>
    </w:p>
    <w:p>
      <w:pPr>
        <w:spacing w:after="120" w:line="276"/>
      </w:pPr>
      <w:r>
        <w:rPr>
          <w:sz w:val="20"/>
          <w:szCs w:val="20"/>
        </w:rPr>
        <w:t xml:space="preserve">v0.4 stated that S-03 was no longer a separate evasion story while retaining it as an independent P0 entry. That inconsistency is resolved by folding it into S-02 as a variant.</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2166"/>
        <w:gridCol w:w="6860"/>
      </w:tblGrid>
      <w:tr>
        <w:trPr>
          <w:tblHeader/>
          <w:tblHeader w:val="true"/>
        </w:trPr>
        <w:tc>
          <w:tcPr>
            <w:tcW w:type="dxa" w:w="2166"/>
            <w:shd w:fill="EFEFEF" w:val="clear"/>
            <w:tcMar>
              <w:top w:type="dxa" w:w="70"/>
              <w:left w:type="dxa" w:w="90"/>
              <w:bottom w:type="dxa" w:w="70"/>
              <w:right w:type="dxa" w:w="90"/>
            </w:tcMar>
          </w:tcPr>
          <w:p>
            <w:pPr>
              <w:spacing w:after="20" w:line="250"/>
            </w:pPr>
            <w:r>
              <w:rPr>
                <w:b/>
                <w:bCs/>
                <w:sz w:val="17"/>
                <w:szCs w:val="17"/>
              </w:rPr>
              <w:t xml:space="preserve">Field</w:t>
            </w:r>
          </w:p>
        </w:tc>
        <w:tc>
          <w:tcPr>
            <w:tcW w:type="dxa" w:w="6860"/>
            <w:shd w:fill="EFEFEF" w:val="clear"/>
            <w:tcMar>
              <w:top w:type="dxa" w:w="70"/>
              <w:left w:type="dxa" w:w="90"/>
              <w:bottom w:type="dxa" w:w="70"/>
              <w:right w:type="dxa" w:w="90"/>
            </w:tcMar>
          </w:tcPr>
          <w:p>
            <w:pPr>
              <w:spacing w:after="20" w:line="250"/>
            </w:pPr>
            <w:r>
              <w:rPr>
                <w:b/>
                <w:bCs/>
                <w:sz w:val="17"/>
                <w:szCs w:val="17"/>
              </w:rPr>
              <w:t xml:space="preserve">Content</w:t>
            </w:r>
          </w:p>
        </w:tc>
      </w:tr>
      <w:tr>
        <w:tc>
          <w:tcPr>
            <w:tcW w:type="dxa" w:w="2166"/>
            <w:tcMar>
              <w:top w:type="dxa" w:w="70"/>
              <w:left w:type="dxa" w:w="90"/>
              <w:bottom w:type="dxa" w:w="70"/>
              <w:right w:type="dxa" w:w="90"/>
            </w:tcMar>
          </w:tcPr>
          <w:p>
            <w:pPr>
              <w:spacing w:after="20" w:line="250"/>
            </w:pPr>
            <w:r>
              <w:rPr>
                <w:sz w:val="17"/>
                <w:szCs w:val="17"/>
              </w:rPr>
              <w:t xml:space="preserve">Mechanism</w:t>
            </w:r>
          </w:p>
        </w:tc>
        <w:tc>
          <w:tcPr>
            <w:tcW w:type="dxa" w:w="6860"/>
            <w:tcMar>
              <w:top w:type="dxa" w:w="70"/>
              <w:left w:type="dxa" w:w="90"/>
              <w:bottom w:type="dxa" w:w="70"/>
              <w:right w:type="dxa" w:w="90"/>
            </w:tcMar>
          </w:tcPr>
          <w:p>
            <w:pPr>
              <w:spacing w:after="20" w:line="250"/>
            </w:pPr>
            <w:r>
              <w:rPr>
                <w:sz w:val="17"/>
                <w:szCs w:val="17"/>
              </w:rPr>
              <w:t xml:space="preserve">Biasing reported node power so induced heating reproduces the residual signature of physical degradation.</w:t>
            </w:r>
          </w:p>
        </w:tc>
      </w:tr>
      <w:tr>
        <w:tc>
          <w:tcPr>
            <w:tcW w:type="dxa" w:w="2166"/>
            <w:tcMar>
              <w:top w:type="dxa" w:w="70"/>
              <w:left w:type="dxa" w:w="90"/>
              <w:bottom w:type="dxa" w:w="70"/>
              <w:right w:type="dxa" w:w="90"/>
            </w:tcMar>
          </w:tcPr>
          <w:p>
            <w:pPr>
              <w:spacing w:after="20" w:line="250"/>
            </w:pPr>
            <w:r>
              <w:rPr>
                <w:sz w:val="17"/>
                <w:szCs w:val="17"/>
              </w:rPr>
              <w:t>Quantified residual-matching values</w:t>
            </w:r>
          </w:p>
        </w:tc>
        <w:tc>
          <w:tcPr>
            <w:tcW w:type="dxa" w:w="6860"/>
            <w:tcMar>
              <w:top w:type="dxa" w:w="70"/>
              <w:left w:type="dxa" w:w="90"/>
              <w:bottom w:type="dxa" w:w="70"/>
              <w:right w:type="dxa" w:w="90"/>
            </w:tcMar>
          </w:tcPr>
          <w:p>
            <w:pPr>
              <w:spacing w:after="20" w:line="250"/>
            </w:pPr>
            <w:r>
              <w:rPr>
                <w:sz w:val="17"/>
                <w:szCs w:val="17"/>
              </w:rPr>
              <w:t>Comparator-specific: 30.60 % reported-power under-reading for the emissivity construction; 23.98 % for environmental flux; 0 % for loop/conductance.</w:t>
            </w:r>
          </w:p>
        </w:tc>
      </w:tr>
      <w:tr>
        <w:tc>
          <w:tcPr>
            <w:tcW w:type="dxa" w:w="2166"/>
            <w:tcMar>
              <w:top w:type="dxa" w:w="70"/>
              <w:left w:type="dxa" w:w="90"/>
              <w:bottom w:type="dxa" w:w="70"/>
              <w:right w:type="dxa" w:w="90"/>
            </w:tcMar>
          </w:tcPr>
          <w:p>
            <w:pPr>
              <w:spacing w:after="20" w:line="250"/>
            </w:pPr>
            <w:r>
              <w:rPr>
                <w:sz w:val="17"/>
                <w:szCs w:val="17"/>
              </w:rPr>
              <w:t xml:space="preserve">Limitation identified</w:t>
            </w:r>
          </w:p>
        </w:tc>
        <w:tc>
          <w:tcPr>
            <w:tcW w:type="dxa" w:w="6860"/>
            <w:tcMar>
              <w:top w:type="dxa" w:w="70"/>
              <w:left w:type="dxa" w:w="90"/>
              <w:bottom w:type="dxa" w:w="70"/>
              <w:right w:type="dxa" w:w="90"/>
            </w:tcMar>
          </w:tcPr>
          <w:p>
            <w:pPr>
              <w:spacing w:after="20" w:line="250"/>
            </w:pPr>
            <w:r>
              <w:rPr>
                <w:sz w:val="17"/>
                <w:szCs w:val="17"/>
              </w:rPr>
              <w:t xml:space="preserve">Power-magnitude bias alone does not defeat temporal or gradient detectors. A consistent masquerade would require coherent falsification across magnitude, temporal profile, phase correlation and any independent bus-current measurement — a substantially harder problem.</w:t>
            </w:r>
          </w:p>
        </w:tc>
      </w:tr>
      <w:tr>
        <w:tc>
          <w:tcPr>
            <w:tcW w:type="dxa" w:w="2166"/>
            <w:tcMar>
              <w:top w:type="dxa" w:w="70"/>
              <w:left w:type="dxa" w:w="90"/>
              <w:bottom w:type="dxa" w:w="70"/>
              <w:right w:type="dxa" w:w="90"/>
            </w:tcMar>
          </w:tcPr>
          <w:p>
            <w:pPr>
              <w:spacing w:after="20" w:line="250"/>
            </w:pPr>
            <w:r>
              <w:rPr>
                <w:sz w:val="17"/>
                <w:szCs w:val="17"/>
              </w:rPr>
              <w:t>Standing</w:t>
            </w:r>
          </w:p>
        </w:tc>
        <w:tc>
          <w:tcPr>
            <w:tcW w:type="dxa" w:w="6860"/>
            <w:tcMar>
              <w:top w:type="dxa" w:w="70"/>
              <w:left w:type="dxa" w:w="90"/>
              <w:bottom w:type="dxa" w:w="70"/>
              <w:right w:type="dxa" w:w="90"/>
            </w:tcMar>
          </w:tcPr>
          <w:p>
            <w:pPr>
              <w:spacing w:after="20" w:line="250"/>
            </w:pPr>
            <w:r>
              <w:rPr>
                <w:sz w:val="17"/>
                <w:szCs w:val="17"/>
              </w:rPr>
              <w:t>“Power-telemetry bias can defeat Detector A for selected comparators” is supported within TSM-01. A coherent natural-fault masquerade is not demonstrated.</w:t>
            </w:r>
          </w:p>
        </w:tc>
      </w:tr>
    </w:tbl>
    <w:p>
      <w:pPr>
        <w:pStyle w:val="Heading1"/>
      </w:pPr>
      <w:r>
        <w:t xml:space="preserve">6  Prioritised Risk Register</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542"/>
        <w:gridCol w:w="2888"/>
        <w:gridCol w:w="1444"/>
        <w:gridCol w:w="3430"/>
        <w:gridCol w:w="722"/>
      </w:tblGrid>
      <w:tr>
        <w:trPr>
          <w:tblHeader/>
          <w:tblHeader w:val="true"/>
        </w:trPr>
        <w:tc>
          <w:tcPr>
            <w:tcW w:type="dxa" w:w="542"/>
            <w:shd w:fill="EFEFEF" w:val="clear"/>
            <w:tcMar>
              <w:top w:type="dxa" w:w="70"/>
              <w:left w:type="dxa" w:w="90"/>
              <w:bottom w:type="dxa" w:w="70"/>
              <w:right w:type="dxa" w:w="90"/>
            </w:tcMar>
          </w:tcPr>
          <w:p>
            <w:pPr>
              <w:spacing w:after="20" w:line="250"/>
            </w:pPr>
            <w:r>
              <w:rPr>
                <w:b/>
                <w:bCs/>
                <w:sz w:val="17"/>
                <w:szCs w:val="17"/>
              </w:rPr>
              <w:t xml:space="preserve">ID</w:t>
            </w:r>
          </w:p>
        </w:tc>
        <w:tc>
          <w:tcPr>
            <w:tcW w:type="dxa" w:w="2888"/>
            <w:shd w:fill="EFEFEF" w:val="clear"/>
            <w:tcMar>
              <w:top w:type="dxa" w:w="70"/>
              <w:left w:type="dxa" w:w="90"/>
              <w:bottom w:type="dxa" w:w="70"/>
              <w:right w:type="dxa" w:w="90"/>
            </w:tcMar>
          </w:tcPr>
          <w:p>
            <w:pPr>
              <w:spacing w:after="20" w:line="250"/>
            </w:pPr>
            <w:r>
              <w:rPr>
                <w:b/>
                <w:bCs/>
                <w:sz w:val="17"/>
                <w:szCs w:val="17"/>
              </w:rPr>
              <w:t xml:space="preserve">Scenario</w:t>
            </w:r>
          </w:p>
        </w:tc>
        <w:tc>
          <w:tcPr>
            <w:tcW w:type="dxa" w:w="1444"/>
            <w:shd w:fill="EFEFEF" w:val="clear"/>
            <w:tcMar>
              <w:top w:type="dxa" w:w="70"/>
              <w:left w:type="dxa" w:w="90"/>
              <w:bottom w:type="dxa" w:w="70"/>
              <w:right w:type="dxa" w:w="90"/>
            </w:tcMar>
          </w:tcPr>
          <w:p>
            <w:pPr>
              <w:spacing w:after="20" w:line="250"/>
            </w:pPr>
            <w:r>
              <w:rPr>
                <w:b/>
                <w:bCs/>
                <w:sz w:val="17"/>
                <w:szCs w:val="17"/>
              </w:rPr>
              <w:t xml:space="preserve">Severity</w:t>
            </w:r>
          </w:p>
        </w:tc>
        <w:tc>
          <w:tcPr>
            <w:tcW w:type="dxa" w:w="3430"/>
            <w:shd w:fill="EFEFEF" w:val="clear"/>
            <w:tcMar>
              <w:top w:type="dxa" w:w="70"/>
              <w:left w:type="dxa" w:w="90"/>
              <w:bottom w:type="dxa" w:w="70"/>
              <w:right w:type="dxa" w:w="90"/>
            </w:tcMar>
          </w:tcPr>
          <w:p>
            <w:pPr>
              <w:spacing w:after="20" w:line="250"/>
            </w:pPr>
            <w:r>
              <w:rPr>
                <w:b/>
                <w:bCs/>
                <w:sz w:val="17"/>
                <w:szCs w:val="17"/>
              </w:rPr>
              <w:t xml:space="preserve">Evidence status</w:t>
            </w:r>
          </w:p>
        </w:tc>
        <w:tc>
          <w:tcPr>
            <w:tcW w:type="dxa" w:w="722"/>
            <w:shd w:fill="EFEFEF" w:val="clear"/>
            <w:tcMar>
              <w:top w:type="dxa" w:w="70"/>
              <w:left w:type="dxa" w:w="90"/>
              <w:bottom w:type="dxa" w:w="70"/>
              <w:right w:type="dxa" w:w="90"/>
            </w:tcMar>
          </w:tcPr>
          <w:p>
            <w:pPr>
              <w:spacing w:after="20" w:line="250"/>
            </w:pPr>
            <w:r>
              <w:rPr>
                <w:b/>
                <w:bCs/>
                <w:sz w:val="17"/>
                <w:szCs w:val="17"/>
              </w:rPr>
              <w:t xml:space="preserve">Priority</w:t>
            </w:r>
          </w:p>
        </w:tc>
      </w:tr>
      <w:tr>
        <w:tc>
          <w:tcPr>
            <w:tcW w:type="dxa" w:w="542"/>
            <w:tcMar>
              <w:top w:type="dxa" w:w="70"/>
              <w:left w:type="dxa" w:w="90"/>
              <w:bottom w:type="dxa" w:w="70"/>
              <w:right w:type="dxa" w:w="90"/>
            </w:tcMar>
          </w:tcPr>
          <w:p>
            <w:pPr>
              <w:spacing w:after="20" w:line="250"/>
            </w:pPr>
            <w:r>
              <w:rPr>
                <w:sz w:val="17"/>
                <w:szCs w:val="17"/>
              </w:rPr>
              <w:t xml:space="preserve">S-01</w:t>
            </w:r>
          </w:p>
        </w:tc>
        <w:tc>
          <w:tcPr>
            <w:tcW w:type="dxa" w:w="2888"/>
            <w:tcMar>
              <w:top w:type="dxa" w:w="70"/>
              <w:left w:type="dxa" w:w="90"/>
              <w:bottom w:type="dxa" w:w="70"/>
              <w:right w:type="dxa" w:w="90"/>
            </w:tcMar>
          </w:tcPr>
          <w:p>
            <w:pPr>
              <w:spacing w:after="20" w:line="250"/>
            </w:pPr>
            <w:r>
              <w:rPr>
                <w:sz w:val="17"/>
                <w:szCs w:val="17"/>
              </w:rPr>
              <w:t xml:space="preserve">Malicious commanding with valid ground authority</w:t>
            </w:r>
          </w:p>
        </w:tc>
        <w:tc>
          <w:tcPr>
            <w:tcW w:type="dxa" w:w="1444"/>
            <w:tcMar>
              <w:top w:type="dxa" w:w="70"/>
              <w:left w:type="dxa" w:w="90"/>
              <w:bottom w:type="dxa" w:w="70"/>
              <w:right w:type="dxa" w:w="90"/>
            </w:tcMar>
          </w:tcPr>
          <w:p>
            <w:pPr>
              <w:spacing w:after="20" w:line="250"/>
            </w:pPr>
            <w:r>
              <w:rPr>
                <w:sz w:val="17"/>
                <w:szCs w:val="17"/>
              </w:rPr>
              <w:t xml:space="preserve">Conditional 5</w:t>
            </w:r>
          </w:p>
        </w:tc>
        <w:tc>
          <w:tcPr>
            <w:tcW w:type="dxa" w:w="3430"/>
            <w:tcMar>
              <w:top w:type="dxa" w:w="70"/>
              <w:left w:type="dxa" w:w="90"/>
              <w:bottom w:type="dxa" w:w="70"/>
              <w:right w:type="dxa" w:w="90"/>
            </w:tcMar>
          </w:tcPr>
          <w:p>
            <w:pPr>
              <w:spacing w:after="20" w:line="250"/>
            </w:pPr>
            <w:r>
              <w:rPr>
                <w:sz w:val="17"/>
                <w:szCs w:val="17"/>
              </w:rPr>
              <w:t xml:space="preserve">Provisional; architecture-dependent</w:t>
            </w:r>
          </w:p>
        </w:tc>
        <w:tc>
          <w:tcPr>
            <w:tcW w:type="dxa" w:w="722"/>
            <w:tcMar>
              <w:top w:type="dxa" w:w="70"/>
              <w:left w:type="dxa" w:w="90"/>
              <w:bottom w:type="dxa" w:w="70"/>
              <w:right w:type="dxa" w:w="90"/>
            </w:tcMar>
          </w:tcPr>
          <w:p>
            <w:pPr>
              <w:spacing w:after="20" w:line="250"/>
            </w:pPr>
            <w:r>
              <w:rPr>
                <w:sz w:val="17"/>
                <w:szCs w:val="17"/>
              </w:rPr>
              <w:t xml:space="preserve">P0</w:t>
            </w:r>
          </w:p>
        </w:tc>
      </w:tr>
      <w:tr>
        <w:tc>
          <w:tcPr>
            <w:tcW w:type="dxa" w:w="542"/>
            <w:tcMar>
              <w:top w:type="dxa" w:w="70"/>
              <w:left w:type="dxa" w:w="90"/>
              <w:bottom w:type="dxa" w:w="70"/>
              <w:right w:type="dxa" w:w="90"/>
            </w:tcMar>
          </w:tcPr>
          <w:p>
            <w:pPr>
              <w:spacing w:after="20" w:line="250"/>
            </w:pPr>
            <w:r>
              <w:rPr>
                <w:sz w:val="17"/>
                <w:szCs w:val="17"/>
              </w:rPr>
              <w:t xml:space="preserve">S-02</w:t>
            </w:r>
          </w:p>
        </w:tc>
        <w:tc>
          <w:tcPr>
            <w:tcW w:type="dxa" w:w="2888"/>
            <w:tcMar>
              <w:top w:type="dxa" w:w="70"/>
              <w:left w:type="dxa" w:w="90"/>
              <w:bottom w:type="dxa" w:w="70"/>
              <w:right w:type="dxa" w:w="90"/>
            </w:tcMar>
            <w:vAlign w:val="center"/>
          </w:tcPr>
          <w:p>
            <w:r/>
            <w:r>
              <w:rPr>
                <w:rFonts w:ascii="Aptos" w:hAnsi="Aptos"/>
                <w:b w:val="0"/>
                <w:sz w:val="13"/>
              </w:rPr>
              <w:t>Adversarial exploitation of temporal thermal coupling by authorised tenant workload (A: honest telemetry; B: telemetry deception)</w:t>
            </w:r>
          </w:p>
        </w:tc>
        <w:tc>
          <w:tcPr>
            <w:tcW w:type="dxa" w:w="1444"/>
            <w:tcMar>
              <w:top w:type="dxa" w:w="70"/>
              <w:left w:type="dxa" w:w="90"/>
              <w:bottom w:type="dxa" w:w="70"/>
              <w:right w:type="dxa" w:w="90"/>
            </w:tcMar>
          </w:tcPr>
          <w:p>
            <w:pPr>
              <w:spacing w:after="20" w:line="250"/>
            </w:pPr>
            <w:r>
              <w:rPr>
                <w:sz w:val="17"/>
                <w:szCs w:val="17"/>
              </w:rPr>
              <w:t xml:space="preserve">Conditional, design-dependent</w:t>
            </w:r>
          </w:p>
        </w:tc>
        <w:tc>
          <w:tcPr>
            <w:tcW w:type="dxa" w:w="3430"/>
            <w:tcMar>
              <w:top w:type="dxa" w:w="70"/>
              <w:left w:type="dxa" w:w="90"/>
              <w:bottom w:type="dxa" w:w="70"/>
              <w:right w:type="dxa" w:w="90"/>
            </w:tcMar>
            <w:vAlign w:val="center"/>
          </w:tcPr>
          <w:p>
            <w:r/>
            <w:r>
              <w:rPr>
                <w:rFonts w:ascii="Aptos" w:hAnsi="Aptos"/>
                <w:b w:val="0"/>
                <w:sz w:val="13"/>
              </w:rPr>
              <w:t>Underlying safety coupling modelled (F-01); non-malicious synthetic scheduling produces 84.0 % of full phase-shaped excursion. Adversarial feasibility remains Unknown/Conditional.</w:t>
            </w:r>
          </w:p>
        </w:tc>
        <w:tc>
          <w:tcPr>
            <w:tcW w:type="dxa" w:w="722"/>
            <w:tcMar>
              <w:top w:type="dxa" w:w="70"/>
              <w:left w:type="dxa" w:w="90"/>
              <w:bottom w:type="dxa" w:w="70"/>
              <w:right w:type="dxa" w:w="90"/>
            </w:tcMar>
          </w:tcPr>
          <w:p>
            <w:pPr>
              <w:spacing w:after="20" w:line="250"/>
            </w:pPr>
            <w:r>
              <w:rPr>
                <w:sz w:val="17"/>
                <w:szCs w:val="17"/>
              </w:rPr>
              <w:t xml:space="preserve">P0</w:t>
            </w:r>
          </w:p>
        </w:tc>
      </w:tr>
      <w:tr>
        <w:tc>
          <w:tcPr>
            <w:tcW w:type="dxa" w:w="542"/>
            <w:tcMar>
              <w:top w:type="dxa" w:w="70"/>
              <w:left w:type="dxa" w:w="90"/>
              <w:bottom w:type="dxa" w:w="70"/>
              <w:right w:type="dxa" w:w="90"/>
            </w:tcMar>
          </w:tcPr>
          <w:p>
            <w:pPr>
              <w:spacing w:after="20" w:line="250"/>
            </w:pPr>
            <w:r>
              <w:rPr>
                <w:sz w:val="17"/>
                <w:szCs w:val="17"/>
              </w:rPr>
              <w:t xml:space="preserve">S-04</w:t>
            </w:r>
          </w:p>
        </w:tc>
        <w:tc>
          <w:tcPr>
            <w:tcW w:type="dxa" w:w="2888"/>
            <w:tcMar>
              <w:top w:type="dxa" w:w="70"/>
              <w:left w:type="dxa" w:w="90"/>
              <w:bottom w:type="dxa" w:w="70"/>
              <w:right w:type="dxa" w:w="90"/>
            </w:tcMar>
          </w:tcPr>
          <w:p>
            <w:pPr>
              <w:spacing w:after="20" w:line="250"/>
            </w:pPr>
            <w:r>
              <w:rPr>
                <w:sz w:val="17"/>
                <w:szCs w:val="17"/>
              </w:rPr>
              <w:t xml:space="preserve">Software supply-chain or on-orbit update compromise</w:t>
            </w:r>
          </w:p>
        </w:tc>
        <w:tc>
          <w:tcPr>
            <w:tcW w:type="dxa" w:w="1444"/>
            <w:tcMar>
              <w:top w:type="dxa" w:w="70"/>
              <w:left w:type="dxa" w:w="90"/>
              <w:bottom w:type="dxa" w:w="70"/>
              <w:right w:type="dxa" w:w="90"/>
            </w:tcMar>
          </w:tcPr>
          <w:p>
            <w:pPr>
              <w:spacing w:after="20" w:line="250"/>
            </w:pPr>
            <w:r>
              <w:rPr>
                <w:sz w:val="17"/>
                <w:szCs w:val="17"/>
              </w:rPr>
              <w:t xml:space="preserve">Conditional 5</w:t>
            </w:r>
          </w:p>
        </w:tc>
        <w:tc>
          <w:tcPr>
            <w:tcW w:type="dxa" w:w="3430"/>
            <w:tcMar>
              <w:top w:type="dxa" w:w="70"/>
              <w:left w:type="dxa" w:w="90"/>
              <w:bottom w:type="dxa" w:w="70"/>
              <w:right w:type="dxa" w:w="90"/>
            </w:tcMar>
          </w:tcPr>
          <w:p>
            <w:pPr>
              <w:spacing w:after="20" w:line="250"/>
            </w:pPr>
            <w:r>
              <w:rPr>
                <w:sz w:val="17"/>
                <w:szCs w:val="17"/>
              </w:rPr>
              <w:t xml:space="preserve">Medium hypothesis</w:t>
            </w:r>
          </w:p>
        </w:tc>
        <w:tc>
          <w:tcPr>
            <w:tcW w:type="dxa" w:w="722"/>
            <w:tcMar>
              <w:top w:type="dxa" w:w="70"/>
              <w:left w:type="dxa" w:w="90"/>
              <w:bottom w:type="dxa" w:w="70"/>
              <w:right w:type="dxa" w:w="90"/>
            </w:tcMar>
          </w:tcPr>
          <w:p>
            <w:pPr>
              <w:spacing w:after="20" w:line="250"/>
            </w:pPr>
            <w:r>
              <w:rPr>
                <w:sz w:val="17"/>
                <w:szCs w:val="17"/>
              </w:rPr>
              <w:t xml:space="preserve">P0</w:t>
            </w:r>
          </w:p>
        </w:tc>
      </w:tr>
      <w:tr>
        <w:tc>
          <w:tcPr>
            <w:tcW w:type="dxa" w:w="542"/>
            <w:tcMar>
              <w:top w:type="dxa" w:w="70"/>
              <w:left w:type="dxa" w:w="90"/>
              <w:bottom w:type="dxa" w:w="70"/>
              <w:right w:type="dxa" w:w="90"/>
            </w:tcMar>
          </w:tcPr>
          <w:p>
            <w:pPr>
              <w:spacing w:after="20" w:line="250"/>
            </w:pPr>
            <w:r>
              <w:rPr>
                <w:sz w:val="17"/>
                <w:szCs w:val="17"/>
              </w:rPr>
              <w:t xml:space="preserve">S-05</w:t>
            </w:r>
          </w:p>
        </w:tc>
        <w:tc>
          <w:tcPr>
            <w:tcW w:type="dxa" w:w="2888"/>
            <w:tcMar>
              <w:top w:type="dxa" w:w="70"/>
              <w:left w:type="dxa" w:w="90"/>
              <w:bottom w:type="dxa" w:w="70"/>
              <w:right w:type="dxa" w:w="90"/>
            </w:tcMar>
          </w:tcPr>
          <w:p>
            <w:pPr>
              <w:spacing w:after="20" w:line="250"/>
            </w:pPr>
            <w:r>
              <w:rPr>
                <w:sz w:val="17"/>
                <w:szCs w:val="17"/>
              </w:rPr>
              <w:t xml:space="preserve">Virtualization escape and tenant-to-platform lateral movement</w:t>
            </w:r>
          </w:p>
        </w:tc>
        <w:tc>
          <w:tcPr>
            <w:tcW w:type="dxa" w:w="1444"/>
            <w:tcMar>
              <w:top w:type="dxa" w:w="70"/>
              <w:left w:type="dxa" w:w="90"/>
              <w:bottom w:type="dxa" w:w="70"/>
              <w:right w:type="dxa" w:w="90"/>
            </w:tcMar>
          </w:tcPr>
          <w:p>
            <w:pPr>
              <w:spacing w:after="20" w:line="250"/>
            </w:pPr>
            <w:r>
              <w:rPr>
                <w:sz w:val="17"/>
                <w:szCs w:val="17"/>
              </w:rPr>
              <w:t xml:space="preserve">Conditional 4–5</w:t>
            </w:r>
          </w:p>
        </w:tc>
        <w:tc>
          <w:tcPr>
            <w:tcW w:type="dxa" w:w="3430"/>
            <w:tcMar>
              <w:top w:type="dxa" w:w="70"/>
              <w:left w:type="dxa" w:w="90"/>
              <w:bottom w:type="dxa" w:w="70"/>
              <w:right w:type="dxa" w:w="90"/>
            </w:tcMar>
          </w:tcPr>
          <w:p>
            <w:pPr>
              <w:spacing w:after="20" w:line="250"/>
            </w:pPr>
            <w:r>
              <w:rPr>
                <w:sz w:val="17"/>
                <w:szCs w:val="17"/>
              </w:rPr>
              <w:t xml:space="preserve">Medium hypothesis</w:t>
            </w:r>
          </w:p>
        </w:tc>
        <w:tc>
          <w:tcPr>
            <w:tcW w:type="dxa" w:w="722"/>
            <w:tcMar>
              <w:top w:type="dxa" w:w="70"/>
              <w:left w:type="dxa" w:w="90"/>
              <w:bottom w:type="dxa" w:w="70"/>
              <w:right w:type="dxa" w:w="90"/>
            </w:tcMar>
          </w:tcPr>
          <w:p>
            <w:pPr>
              <w:spacing w:after="20" w:line="250"/>
            </w:pPr>
            <w:r>
              <w:rPr>
                <w:sz w:val="17"/>
                <w:szCs w:val="17"/>
              </w:rPr>
              <w:t xml:space="preserve">P1</w:t>
            </w:r>
          </w:p>
        </w:tc>
      </w:tr>
      <w:tr>
        <w:tc>
          <w:tcPr>
            <w:tcW w:type="dxa" w:w="542"/>
            <w:tcMar>
              <w:top w:type="dxa" w:w="70"/>
              <w:left w:type="dxa" w:w="90"/>
              <w:bottom w:type="dxa" w:w="70"/>
              <w:right w:type="dxa" w:w="90"/>
            </w:tcMar>
          </w:tcPr>
          <w:p>
            <w:pPr>
              <w:spacing w:after="20" w:line="250"/>
            </w:pPr>
            <w:r>
              <w:rPr>
                <w:sz w:val="17"/>
                <w:szCs w:val="17"/>
              </w:rPr>
              <w:t xml:space="preserve">S-06</w:t>
            </w:r>
          </w:p>
        </w:tc>
        <w:tc>
          <w:tcPr>
            <w:tcW w:type="dxa" w:w="2888"/>
            <w:tcMar>
              <w:top w:type="dxa" w:w="70"/>
              <w:left w:type="dxa" w:w="90"/>
              <w:bottom w:type="dxa" w:w="70"/>
              <w:right w:type="dxa" w:w="90"/>
            </w:tcMar>
          </w:tcPr>
          <w:p>
            <w:pPr>
              <w:spacing w:after="20" w:line="250"/>
            </w:pPr>
            <w:r>
              <w:rPr>
                <w:sz w:val="17"/>
                <w:szCs w:val="17"/>
              </w:rPr>
              <w:t xml:space="preserve">Attestation or key-release trust-plane compromise</w:t>
            </w:r>
          </w:p>
        </w:tc>
        <w:tc>
          <w:tcPr>
            <w:tcW w:type="dxa" w:w="1444"/>
            <w:tcMar>
              <w:top w:type="dxa" w:w="70"/>
              <w:left w:type="dxa" w:w="90"/>
              <w:bottom w:type="dxa" w:w="70"/>
              <w:right w:type="dxa" w:w="90"/>
            </w:tcMar>
          </w:tcPr>
          <w:p>
            <w:pPr>
              <w:spacing w:after="20" w:line="250"/>
            </w:pPr>
            <w:r>
              <w:rPr>
                <w:sz w:val="17"/>
                <w:szCs w:val="17"/>
              </w:rPr>
              <w:t xml:space="preserve">Conditional 5</w:t>
            </w:r>
          </w:p>
        </w:tc>
        <w:tc>
          <w:tcPr>
            <w:tcW w:type="dxa" w:w="3430"/>
            <w:tcMar>
              <w:top w:type="dxa" w:w="70"/>
              <w:left w:type="dxa" w:w="90"/>
              <w:bottom w:type="dxa" w:w="70"/>
              <w:right w:type="dxa" w:w="90"/>
            </w:tcMar>
          </w:tcPr>
          <w:p>
            <w:pPr>
              <w:spacing w:after="20" w:line="250"/>
            </w:pPr>
            <w:r>
              <w:rPr>
                <w:sz w:val="17"/>
                <w:szCs w:val="17"/>
              </w:rPr>
              <w:t xml:space="preserve">Low–Medium hypothesis</w:t>
            </w:r>
          </w:p>
        </w:tc>
        <w:tc>
          <w:tcPr>
            <w:tcW w:type="dxa" w:w="722"/>
            <w:tcMar>
              <w:top w:type="dxa" w:w="70"/>
              <w:left w:type="dxa" w:w="90"/>
              <w:bottom w:type="dxa" w:w="70"/>
              <w:right w:type="dxa" w:w="90"/>
            </w:tcMar>
          </w:tcPr>
          <w:p>
            <w:pPr>
              <w:spacing w:after="20" w:line="250"/>
            </w:pPr>
            <w:r>
              <w:rPr>
                <w:sz w:val="17"/>
                <w:szCs w:val="17"/>
              </w:rPr>
              <w:t xml:space="preserve">P1</w:t>
            </w:r>
          </w:p>
        </w:tc>
      </w:tr>
      <w:tr>
        <w:tc>
          <w:tcPr>
            <w:tcW w:type="dxa" w:w="542"/>
            <w:tcMar>
              <w:top w:type="dxa" w:w="70"/>
              <w:left w:type="dxa" w:w="90"/>
              <w:bottom w:type="dxa" w:w="70"/>
              <w:right w:type="dxa" w:w="90"/>
            </w:tcMar>
          </w:tcPr>
          <w:p>
            <w:pPr>
              <w:spacing w:after="20" w:line="250"/>
            </w:pPr>
            <w:r>
              <w:rPr>
                <w:sz w:val="17"/>
                <w:szCs w:val="17"/>
              </w:rPr>
              <w:t>S-07</w:t>
            </w:r>
          </w:p>
        </w:tc>
        <w:tc>
          <w:tcPr>
            <w:tcW w:type="dxa" w:w="2888"/>
            <w:tcMar>
              <w:top w:type="dxa" w:w="70"/>
              <w:left w:type="dxa" w:w="90"/>
              <w:bottom w:type="dxa" w:w="70"/>
              <w:right w:type="dxa" w:w="90"/>
            </w:tcMar>
          </w:tcPr>
          <w:p>
            <w:pPr>
              <w:spacing w:after="20" w:line="250"/>
            </w:pPr>
            <w:r>
              <w:rPr>
                <w:sz w:val="17"/>
                <w:szCs w:val="17"/>
              </w:rPr>
              <w:t>Link/terminal spoofing, jamming or denial</w:t>
            </w:r>
          </w:p>
        </w:tc>
        <w:tc>
          <w:tcPr>
            <w:tcW w:type="dxa" w:w="1444"/>
            <w:tcMar>
              <w:top w:type="dxa" w:w="70"/>
              <w:left w:type="dxa" w:w="90"/>
              <w:bottom w:type="dxa" w:w="70"/>
              <w:right w:type="dxa" w:w="90"/>
            </w:tcMar>
          </w:tcPr>
          <w:p>
            <w:pPr>
              <w:spacing w:after="20" w:line="250"/>
            </w:pPr>
            <w:r>
              <w:rPr>
                <w:sz w:val="17"/>
                <w:szCs w:val="17"/>
              </w:rPr>
              <w:t>TBD</w:t>
            </w:r>
          </w:p>
        </w:tc>
        <w:tc>
          <w:tcPr>
            <w:tcW w:type="dxa" w:w="3430"/>
            <w:tcMar>
              <w:top w:type="dxa" w:w="70"/>
              <w:left w:type="dxa" w:w="90"/>
              <w:bottom w:type="dxa" w:w="70"/>
              <w:right w:type="dxa" w:w="90"/>
            </w:tcMar>
          </w:tcPr>
          <w:p>
            <w:pPr>
              <w:spacing w:after="20" w:line="250"/>
            </w:pPr>
            <w:r>
              <w:rPr>
                <w:sz w:val="17"/>
                <w:szCs w:val="17"/>
              </w:rPr>
              <w:t>Consultation offered; scheduling pending. No Salkield technical finding yet.</w:t>
            </w:r>
          </w:p>
        </w:tc>
        <w:tc>
          <w:tcPr>
            <w:tcW w:type="dxa" w:w="722"/>
            <w:tcMar>
              <w:top w:type="dxa" w:w="70"/>
              <w:left w:type="dxa" w:w="90"/>
              <w:bottom w:type="dxa" w:w="70"/>
              <w:right w:type="dxa" w:w="90"/>
            </w:tcMar>
          </w:tcPr>
          <w:p>
            <w:pPr>
              <w:spacing w:after="20" w:line="250"/>
            </w:pPr>
            <w:r>
              <w:rPr>
                <w:sz w:val="17"/>
                <w:szCs w:val="17"/>
              </w:rPr>
              <w:t>P1</w:t>
            </w:r>
          </w:p>
        </w:tc>
      </w:tr>
      <w:tr>
        <w:tc>
          <w:tcPr>
            <w:tcW w:type="dxa" w:w="542"/>
            <w:tcMar>
              <w:top w:type="dxa" w:w="70"/>
              <w:left w:type="dxa" w:w="90"/>
              <w:bottom w:type="dxa" w:w="70"/>
              <w:right w:type="dxa" w:w="90"/>
            </w:tcMar>
          </w:tcPr>
          <w:p>
            <w:pPr>
              <w:spacing w:after="20" w:line="250"/>
            </w:pPr>
            <w:r>
              <w:rPr>
                <w:sz w:val="17"/>
                <w:szCs w:val="17"/>
              </w:rPr>
              <w:t>S-08</w:t>
            </w:r>
          </w:p>
        </w:tc>
        <w:tc>
          <w:tcPr>
            <w:tcW w:type="dxa" w:w="2888"/>
            <w:tcMar>
              <w:top w:type="dxa" w:w="70"/>
              <w:left w:type="dxa" w:w="90"/>
              <w:bottom w:type="dxa" w:w="70"/>
              <w:right w:type="dxa" w:w="90"/>
            </w:tcMar>
          </w:tcPr>
          <w:p>
            <w:pPr>
              <w:spacing w:after="20" w:line="250"/>
            </w:pPr>
            <w:r>
              <w:rPr>
                <w:sz w:val="17"/>
                <w:szCs w:val="17"/>
              </w:rPr>
              <w:t>Scheduler / shared-resource policy manipulation</w:t>
            </w:r>
          </w:p>
        </w:tc>
        <w:tc>
          <w:tcPr>
            <w:tcW w:type="dxa" w:w="1444"/>
            <w:tcMar>
              <w:top w:type="dxa" w:w="70"/>
              <w:left w:type="dxa" w:w="90"/>
              <w:bottom w:type="dxa" w:w="70"/>
              <w:right w:type="dxa" w:w="90"/>
            </w:tcMar>
          </w:tcPr>
          <w:p>
            <w:pPr>
              <w:spacing w:after="20" w:line="250"/>
            </w:pPr>
            <w:r>
              <w:rPr>
                <w:sz w:val="17"/>
                <w:szCs w:val="17"/>
              </w:rPr>
              <w:t>Conditional 4–5</w:t>
            </w:r>
          </w:p>
        </w:tc>
        <w:tc>
          <w:tcPr>
            <w:tcW w:type="dxa" w:w="3430"/>
            <w:tcMar>
              <w:top w:type="dxa" w:w="70"/>
              <w:left w:type="dxa" w:w="90"/>
              <w:bottom w:type="dxa" w:w="70"/>
              <w:right w:type="dxa" w:w="90"/>
            </w:tcMar>
          </w:tcPr>
          <w:p>
            <w:pPr>
              <w:spacing w:after="20" w:line="250"/>
            </w:pPr>
            <w:r>
              <w:rPr>
                <w:sz w:val="17"/>
                <w:szCs w:val="17"/>
              </w:rPr>
              <w:t>F-01 supports physical-consequence coupling if scheduler authority controls workload timing/resource placement; scheduler-compromise feasibility is not established.</w:t>
            </w:r>
          </w:p>
        </w:tc>
        <w:tc>
          <w:tcPr>
            <w:tcW w:type="dxa" w:w="722"/>
            <w:tcMar>
              <w:top w:type="dxa" w:w="70"/>
              <w:left w:type="dxa" w:w="90"/>
              <w:bottom w:type="dxa" w:w="70"/>
              <w:right w:type="dxa" w:w="90"/>
            </w:tcMar>
          </w:tcPr>
          <w:p>
            <w:pPr>
              <w:spacing w:after="20" w:line="250"/>
            </w:pPr>
            <w:r>
              <w:rPr>
                <w:sz w:val="17"/>
                <w:szCs w:val="17"/>
              </w:rPr>
              <w:t>P1</w:t>
            </w:r>
          </w:p>
        </w:tc>
      </w:tr>
      <w:tr>
        <w:tc>
          <w:tcPr>
            <w:tcW w:type="dxa" w:w="542"/>
            <w:tcMar>
              <w:top w:type="dxa" w:w="70"/>
              <w:left w:type="dxa" w:w="90"/>
              <w:bottom w:type="dxa" w:w="70"/>
              <w:right w:type="dxa" w:w="90"/>
            </w:tcMar>
          </w:tcPr>
          <w:p>
            <w:pPr>
              <w:spacing w:after="20" w:line="250"/>
            </w:pPr>
            <w:r>
              <w:rPr>
                <w:sz w:val="17"/>
                <w:szCs w:val="17"/>
              </w:rPr>
              <w:t>S-09</w:t>
            </w:r>
          </w:p>
        </w:tc>
        <w:tc>
          <w:tcPr>
            <w:tcW w:type="dxa" w:w="2888"/>
            <w:tcMar>
              <w:top w:type="dxa" w:w="70"/>
              <w:left w:type="dxa" w:w="90"/>
              <w:bottom w:type="dxa" w:w="70"/>
              <w:right w:type="dxa" w:w="90"/>
            </w:tcMar>
          </w:tcPr>
          <w:p>
            <w:pPr>
              <w:spacing w:after="20" w:line="250"/>
            </w:pPr>
            <w:r>
              <w:rPr>
                <w:sz w:val="17"/>
                <w:szCs w:val="17"/>
              </w:rPr>
              <w:t>PNT / time-state corruption</w:t>
            </w:r>
          </w:p>
        </w:tc>
        <w:tc>
          <w:tcPr>
            <w:tcW w:type="dxa" w:w="1444"/>
            <w:tcMar>
              <w:top w:type="dxa" w:w="70"/>
              <w:left w:type="dxa" w:w="90"/>
              <w:bottom w:type="dxa" w:w="70"/>
              <w:right w:type="dxa" w:w="90"/>
            </w:tcMar>
          </w:tcPr>
          <w:p>
            <w:pPr>
              <w:spacing w:after="20" w:line="250"/>
            </w:pPr>
            <w:r>
              <w:rPr>
                <w:sz w:val="17"/>
                <w:szCs w:val="17"/>
              </w:rPr>
              <w:t>Conditional 4–5</w:t>
            </w:r>
          </w:p>
        </w:tc>
        <w:tc>
          <w:tcPr>
            <w:tcW w:type="dxa" w:w="3430"/>
            <w:tcMar>
              <w:top w:type="dxa" w:w="70"/>
              <w:left w:type="dxa" w:w="90"/>
              <w:bottom w:type="dxa" w:w="70"/>
              <w:right w:type="dxa" w:w="90"/>
            </w:tcMar>
          </w:tcPr>
          <w:p>
            <w:pPr>
              <w:spacing w:after="20" w:line="250"/>
            </w:pPr>
            <w:r>
              <w:rPr>
                <w:sz w:val="17"/>
                <w:szCs w:val="17"/>
              </w:rPr>
              <w:t>Separate threat hypothesis. F-01 provides no evidence about PNT/time compromise feasibility; impact depends on architecture-specific time/PNT dependencies.</w:t>
            </w:r>
          </w:p>
        </w:tc>
        <w:tc>
          <w:tcPr>
            <w:tcW w:type="dxa" w:w="722"/>
            <w:tcMar>
              <w:top w:type="dxa" w:w="70"/>
              <w:left w:type="dxa" w:w="90"/>
              <w:bottom w:type="dxa" w:w="70"/>
              <w:right w:type="dxa" w:w="90"/>
            </w:tcMar>
          </w:tcPr>
          <w:p>
            <w:pPr>
              <w:spacing w:after="20" w:line="250"/>
            </w:pPr>
            <w:r>
              <w:rPr>
                <w:sz w:val="17"/>
                <w:szCs w:val="17"/>
              </w:rPr>
              <w:t>P1</w:t>
            </w:r>
          </w:p>
        </w:tc>
      </w:tr>
      <w:tr>
        <w:tc>
          <w:tcPr>
            <w:tcW w:type="dxa" w:w="542"/>
            <w:tcMar>
              <w:top w:type="dxa" w:w="70"/>
              <w:left w:type="dxa" w:w="90"/>
              <w:bottom w:type="dxa" w:w="70"/>
              <w:right w:type="dxa" w:w="90"/>
            </w:tcMar>
          </w:tcPr>
          <w:p>
            <w:pPr>
              <w:spacing w:after="20" w:line="250"/>
            </w:pPr>
            <w:r>
              <w:rPr>
                <w:sz w:val="17"/>
                <w:szCs w:val="17"/>
              </w:rPr>
              <w:t xml:space="preserve">S-10</w:t>
            </w:r>
          </w:p>
        </w:tc>
        <w:tc>
          <w:tcPr>
            <w:tcW w:type="dxa" w:w="2888"/>
            <w:tcMar>
              <w:top w:type="dxa" w:w="70"/>
              <w:left w:type="dxa" w:w="90"/>
              <w:bottom w:type="dxa" w:w="70"/>
              <w:right w:type="dxa" w:w="90"/>
            </w:tcMar>
          </w:tcPr>
          <w:p>
            <w:pPr>
              <w:spacing w:after="20" w:line="250"/>
            </w:pPr>
            <w:r>
              <w:rPr>
                <w:sz w:val="17"/>
                <w:szCs w:val="17"/>
              </w:rPr>
              <w:t xml:space="preserve">AI / model / data poisoning</w:t>
            </w:r>
          </w:p>
        </w:tc>
        <w:tc>
          <w:tcPr>
            <w:tcW w:type="dxa" w:w="1444"/>
            <w:tcMar>
              <w:top w:type="dxa" w:w="70"/>
              <w:left w:type="dxa" w:w="90"/>
              <w:bottom w:type="dxa" w:w="70"/>
              <w:right w:type="dxa" w:w="90"/>
            </w:tcMar>
          </w:tcPr>
          <w:p>
            <w:pPr>
              <w:spacing w:after="20" w:line="250"/>
            </w:pPr>
            <w:r>
              <w:rPr>
                <w:sz w:val="17"/>
                <w:szCs w:val="17"/>
              </w:rPr>
              <w:t xml:space="preserve">Conditional 2–5</w:t>
            </w:r>
          </w:p>
        </w:tc>
        <w:tc>
          <w:tcPr>
            <w:tcW w:type="dxa" w:w="3430"/>
            <w:tcMar>
              <w:top w:type="dxa" w:w="70"/>
              <w:left w:type="dxa" w:w="90"/>
              <w:bottom w:type="dxa" w:w="70"/>
              <w:right w:type="dxa" w:w="90"/>
            </w:tcMar>
          </w:tcPr>
          <w:p>
            <w:pPr>
              <w:spacing w:after="20" w:line="250"/>
            </w:pPr>
            <w:r>
              <w:rPr>
                <w:sz w:val="17"/>
                <w:szCs w:val="17"/>
              </w:rPr>
              <w:t xml:space="preserve">Low–Medium</w:t>
            </w:r>
          </w:p>
        </w:tc>
        <w:tc>
          <w:tcPr>
            <w:tcW w:type="dxa" w:w="722"/>
            <w:tcMar>
              <w:top w:type="dxa" w:w="70"/>
              <w:left w:type="dxa" w:w="90"/>
              <w:bottom w:type="dxa" w:w="70"/>
              <w:right w:type="dxa" w:w="90"/>
            </w:tcMar>
          </w:tcPr>
          <w:p>
            <w:pPr>
              <w:spacing w:after="20" w:line="250"/>
            </w:pPr>
            <w:r>
              <w:rPr>
                <w:sz w:val="17"/>
                <w:szCs w:val="17"/>
              </w:rPr>
              <w:t xml:space="preserve">P2</w:t>
            </w:r>
          </w:p>
        </w:tc>
      </w:tr>
    </w:tbl>
    <w:p>
      <w:pPr>
        <w:spacing w:after="120" w:line="276"/>
      </w:pPr>
      <w:r>
        <w:rPr>
          <w:color w:val="595959"/>
          <w:sz w:val="19"/>
          <w:szCs w:val="19"/>
        </w:rPr>
        <w:t>S-03 is removed as an independent entry and appears as S-02B. P0–P2 priorities below are project-defined triage labels, not SPARTA NRS values.</w:t>
      </w:r>
    </w:p>
    <w:p>
      <w:pPr>
        <w:pStyle w:val="Heading1"/>
      </w:pPr>
      <w:r>
        <w:t xml:space="preserve">7  Requirements</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1354"/>
        <w:gridCol w:w="4694"/>
        <w:gridCol w:w="1083"/>
        <w:gridCol w:w="1895"/>
      </w:tblGrid>
      <w:tr>
        <w:trPr>
          <w:tblHeader/>
          <w:tblHeader w:val="true"/>
        </w:trPr>
        <w:tc>
          <w:tcPr>
            <w:tcW w:type="dxa" w:w="1354"/>
            <w:shd w:fill="EFEFEF" w:val="clear"/>
            <w:tcMar>
              <w:top w:type="dxa" w:w="70"/>
              <w:left w:type="dxa" w:w="90"/>
              <w:bottom w:type="dxa" w:w="70"/>
              <w:right w:type="dxa" w:w="90"/>
            </w:tcMar>
          </w:tcPr>
          <w:p>
            <w:pPr>
              <w:spacing w:after="20" w:line="250"/>
            </w:pPr>
            <w:r>
              <w:rPr>
                <w:b/>
                <w:bCs/>
                <w:sz w:val="17"/>
                <w:szCs w:val="17"/>
              </w:rPr>
              <w:t xml:space="preserve">Req ID</w:t>
            </w:r>
          </w:p>
        </w:tc>
        <w:tc>
          <w:tcPr>
            <w:tcW w:type="dxa" w:w="4694"/>
            <w:shd w:fill="EFEFEF" w:val="clear"/>
            <w:tcMar>
              <w:top w:type="dxa" w:w="70"/>
              <w:left w:type="dxa" w:w="90"/>
              <w:bottom w:type="dxa" w:w="70"/>
              <w:right w:type="dxa" w:w="90"/>
            </w:tcMar>
          </w:tcPr>
          <w:p>
            <w:pPr>
              <w:spacing w:after="20" w:line="250"/>
            </w:pPr>
            <w:r>
              <w:rPr>
                <w:b/>
                <w:bCs/>
                <w:sz w:val="17"/>
                <w:szCs w:val="17"/>
              </w:rPr>
              <w:t xml:space="preserve">Requirement</w:t>
            </w:r>
          </w:p>
        </w:tc>
        <w:tc>
          <w:tcPr>
            <w:tcW w:type="dxa" w:w="1083"/>
            <w:shd w:fill="EFEFEF" w:val="clear"/>
            <w:tcMar>
              <w:top w:type="dxa" w:w="70"/>
              <w:left w:type="dxa" w:w="90"/>
              <w:bottom w:type="dxa" w:w="70"/>
              <w:right w:type="dxa" w:w="90"/>
            </w:tcMar>
          </w:tcPr>
          <w:p>
            <w:pPr>
              <w:spacing w:after="20" w:line="250"/>
            </w:pPr>
            <w:r>
              <w:rPr>
                <w:b/>
                <w:bCs/>
                <w:sz w:val="17"/>
                <w:szCs w:val="17"/>
              </w:rPr>
              <w:t xml:space="preserve">Source</w:t>
            </w:r>
          </w:p>
        </w:tc>
        <w:tc>
          <w:tcPr>
            <w:tcW w:type="dxa" w:w="1895"/>
            <w:shd w:fill="EFEFEF" w:val="clear"/>
            <w:tcMar>
              <w:top w:type="dxa" w:w="70"/>
              <w:left w:type="dxa" w:w="90"/>
              <w:bottom w:type="dxa" w:w="70"/>
              <w:right w:type="dxa" w:w="90"/>
            </w:tcMar>
          </w:tcPr>
          <w:p>
            <w:pPr>
              <w:spacing w:after="20" w:line="250"/>
            </w:pPr>
            <w:r>
              <w:rPr>
                <w:b/>
                <w:bCs/>
                <w:sz w:val="17"/>
                <w:szCs w:val="17"/>
              </w:rPr>
              <w:t xml:space="preserve">Status</w:t>
            </w:r>
          </w:p>
        </w:tc>
      </w:tr>
      <w:tr>
        <w:tc>
          <w:tcPr>
            <w:tcW w:type="dxa" w:w="1354"/>
            <w:tcMar>
              <w:top w:type="dxa" w:w="70"/>
              <w:left w:type="dxa" w:w="90"/>
              <w:bottom w:type="dxa" w:w="70"/>
              <w:right w:type="dxa" w:w="90"/>
            </w:tcMar>
          </w:tcPr>
          <w:p>
            <w:pPr>
              <w:spacing w:after="20" w:line="250"/>
            </w:pPr>
            <w:r>
              <w:rPr>
                <w:sz w:val="17"/>
                <w:szCs w:val="17"/>
              </w:rPr>
              <w:t xml:space="preserve">SR-THM-01</w:t>
            </w:r>
          </w:p>
        </w:tc>
        <w:tc>
          <w:tcPr>
            <w:tcW w:type="dxa" w:w="4694"/>
            <w:tcMar>
              <w:top w:type="dxa" w:w="70"/>
              <w:left w:type="dxa" w:w="90"/>
              <w:bottom w:type="dxa" w:w="70"/>
              <w:right w:type="dxa" w:w="90"/>
            </w:tcMar>
            <w:vAlign w:val="center"/>
          </w:tcPr>
          <w:p>
            <w:r/>
            <w:r>
              <w:rPr>
                <w:rFonts w:ascii="Aptos" w:hAnsi="Aptos"/>
                <w:b w:val="0"/>
                <w:sz w:val="13"/>
              </w:rPr>
              <w:t>The onboard admission/resource controller shall bound accepted workload against instantaneous and predicted thermal state, not cumulative energy alone; the safety control shall apply regardless of whether workload timing is benign or adversarial.</w:t>
            </w:r>
          </w:p>
        </w:tc>
        <w:tc>
          <w:tcPr>
            <w:tcW w:type="dxa" w:w="1083"/>
            <w:tcMar>
              <w:top w:type="dxa" w:w="70"/>
              <w:left w:type="dxa" w:w="90"/>
              <w:bottom w:type="dxa" w:w="70"/>
              <w:right w:type="dxa" w:w="90"/>
            </w:tcMar>
            <w:vAlign w:val="center"/>
          </w:tcPr>
          <w:p>
            <w:r/>
            <w:r>
              <w:rPr>
                <w:rFonts w:ascii="Aptos" w:hAnsi="Aptos"/>
                <w:b w:val="0"/>
                <w:sz w:val="13"/>
              </w:rPr>
              <w:t>F-01 safety coupling</w:t>
            </w:r>
          </w:p>
        </w:tc>
        <w:tc>
          <w:tcPr>
            <w:tcW w:type="dxa" w:w="1895"/>
            <w:tcMar>
              <w:top w:type="dxa" w:w="70"/>
              <w:left w:type="dxa" w:w="90"/>
              <w:bottom w:type="dxa" w:w="70"/>
              <w:right w:type="dxa" w:w="90"/>
            </w:tcMar>
          </w:tcPr>
          <w:p>
            <w:pPr>
              <w:spacing w:after="20" w:line="250"/>
            </w:pPr>
            <w:r>
              <w:rPr>
                <w:sz w:val="17"/>
                <w:szCs w:val="17"/>
              </w:rPr>
              <w:t xml:space="preserve">Retained</w:t>
            </w:r>
          </w:p>
        </w:tc>
      </w:tr>
      <w:tr>
        <w:tc>
          <w:tcPr>
            <w:tcW w:type="dxa" w:w="1354"/>
            <w:tcMar>
              <w:top w:type="dxa" w:w="70"/>
              <w:left w:type="dxa" w:w="90"/>
              <w:bottom w:type="dxa" w:w="70"/>
              <w:right w:type="dxa" w:w="90"/>
            </w:tcMar>
          </w:tcPr>
          <w:p>
            <w:pPr>
              <w:spacing w:after="20" w:line="250"/>
            </w:pPr>
            <w:r>
              <w:rPr>
                <w:sz w:val="17"/>
                <w:szCs w:val="17"/>
              </w:rPr>
              <w:t>SR-THM-02</w:t>
            </w:r>
          </w:p>
        </w:tc>
        <w:tc>
          <w:tcPr>
            <w:tcW w:type="dxa" w:w="4694"/>
            <w:tcMar>
              <w:top w:type="dxa" w:w="70"/>
              <w:left w:type="dxa" w:w="90"/>
              <w:bottom w:type="dxa" w:w="70"/>
              <w:right w:type="dxa" w:w="90"/>
            </w:tcMar>
          </w:tcPr>
          <w:p>
            <w:pPr>
              <w:spacing w:after="20" w:line="250"/>
            </w:pPr>
            <w:r>
              <w:rPr>
                <w:sz w:val="17"/>
                <w:szCs w:val="17"/>
              </w:rPr>
              <w:t>For selected operational thresholds, autonomous protection shall be validated to reduce workload with demonstrated timing margin before the applicable hardware or model safety limit. Protection shall not depend on tenant/cloud authorisation.</w:t>
            </w:r>
          </w:p>
        </w:tc>
        <w:tc>
          <w:tcPr>
            <w:tcW w:type="dxa" w:w="1083"/>
            <w:tcMar>
              <w:top w:type="dxa" w:w="70"/>
              <w:left w:type="dxa" w:w="90"/>
              <w:bottom w:type="dxa" w:w="70"/>
              <w:right w:type="dxa" w:w="90"/>
            </w:tcMar>
          </w:tcPr>
          <w:p>
            <w:pPr>
              <w:spacing w:after="20" w:line="250"/>
            </w:pPr>
            <w:r>
              <w:rPr>
                <w:sz w:val="17"/>
                <w:szCs w:val="17"/>
              </w:rPr>
              <w:t>F-06</w:t>
            </w:r>
          </w:p>
        </w:tc>
        <w:tc>
          <w:tcPr>
            <w:tcW w:type="dxa" w:w="1895"/>
            <w:tcMar>
              <w:top w:type="dxa" w:w="70"/>
              <w:left w:type="dxa" w:w="90"/>
              <w:bottom w:type="dxa" w:w="70"/>
              <w:right w:type="dxa" w:w="90"/>
            </w:tcMar>
          </w:tcPr>
          <w:p>
            <w:pPr>
              <w:spacing w:after="20" w:line="250"/>
            </w:pPr>
            <w:r>
              <w:rPr>
                <w:sz w:val="17"/>
                <w:szCs w:val="17"/>
              </w:rPr>
              <w:t>Retained, outcome-based; the ≈1.4 ks model window is not generalised.</w:t>
            </w:r>
          </w:p>
        </w:tc>
      </w:tr>
      <w:tr>
        <w:tc>
          <w:tcPr>
            <w:tcW w:type="dxa" w:w="1354"/>
            <w:tcMar>
              <w:top w:type="dxa" w:w="70"/>
              <w:left w:type="dxa" w:w="90"/>
              <w:bottom w:type="dxa" w:w="70"/>
              <w:right w:type="dxa" w:w="90"/>
            </w:tcMar>
          </w:tcPr>
          <w:p>
            <w:pPr>
              <w:spacing w:after="20" w:line="250"/>
            </w:pPr>
            <w:r>
              <w:rPr>
                <w:sz w:val="17"/>
                <w:szCs w:val="17"/>
              </w:rPr>
              <w:t xml:space="preserve">SR-THM-03</w:t>
            </w:r>
          </w:p>
        </w:tc>
        <w:tc>
          <w:tcPr>
            <w:tcW w:type="dxa" w:w="4694"/>
            <w:tcMar>
              <w:top w:type="dxa" w:w="70"/>
              <w:left w:type="dxa" w:w="90"/>
              <w:bottom w:type="dxa" w:w="70"/>
              <w:right w:type="dxa" w:w="90"/>
            </w:tcMar>
          </w:tcPr>
          <w:p>
            <w:pPr>
              <w:spacing w:after="20" w:line="250"/>
            </w:pPr>
            <w:r>
              <w:rPr>
                <w:sz w:val="17"/>
                <w:szCs w:val="17"/>
              </w:rPr>
              <w:t xml:space="preserve">Node power, node temperature and radiator temperature shall be reported through an authenticated path independent of the compute domain and of accelerator firmware.</w:t>
            </w:r>
          </w:p>
        </w:tc>
        <w:tc>
          <w:tcPr>
            <w:tcW w:type="dxa" w:w="1083"/>
            <w:tcMar>
              <w:top w:type="dxa" w:w="70"/>
              <w:left w:type="dxa" w:w="90"/>
              <w:bottom w:type="dxa" w:w="70"/>
              <w:right w:type="dxa" w:w="90"/>
            </w:tcMar>
          </w:tcPr>
          <w:p>
            <w:pPr>
              <w:spacing w:after="20" w:line="250"/>
            </w:pPr>
            <w:r>
              <w:rPr>
                <w:sz w:val="17"/>
                <w:szCs w:val="17"/>
              </w:rPr>
              <w:t xml:space="preserve">F-03, F-04</w:t>
            </w:r>
          </w:p>
        </w:tc>
        <w:tc>
          <w:tcPr>
            <w:tcW w:type="dxa" w:w="1895"/>
            <w:tcMar>
              <w:top w:type="dxa" w:w="70"/>
              <w:left w:type="dxa" w:w="90"/>
              <w:bottom w:type="dxa" w:w="70"/>
              <w:right w:type="dxa" w:w="90"/>
            </w:tcMar>
          </w:tcPr>
          <w:p>
            <w:pPr>
              <w:spacing w:after="20" w:line="250"/>
            </w:pPr>
            <w:r>
              <w:rPr>
                <w:sz w:val="17"/>
                <w:szCs w:val="17"/>
              </w:rPr>
              <w:t xml:space="preserve">Retained</w:t>
            </w:r>
          </w:p>
        </w:tc>
      </w:tr>
      <w:tr>
        <w:tc>
          <w:tcPr>
            <w:tcW w:type="dxa" w:w="1354"/>
            <w:tcMar>
              <w:top w:type="dxa" w:w="70"/>
              <w:left w:type="dxa" w:w="90"/>
              <w:bottom w:type="dxa" w:w="70"/>
              <w:right w:type="dxa" w:w="90"/>
            </w:tcMar>
          </w:tcPr>
          <w:p>
            <w:pPr>
              <w:spacing w:after="20" w:line="250"/>
            </w:pPr>
            <w:r>
              <w:rPr>
                <w:sz w:val="17"/>
                <w:szCs w:val="17"/>
              </w:rPr>
              <w:t xml:space="preserve">SR-THM-04</w:t>
            </w:r>
          </w:p>
        </w:tc>
        <w:tc>
          <w:tcPr>
            <w:tcW w:type="dxa" w:w="4694"/>
            <w:tcMar>
              <w:top w:type="dxa" w:w="70"/>
              <w:left w:type="dxa" w:w="90"/>
              <w:bottom w:type="dxa" w:w="70"/>
              <w:right w:type="dxa" w:w="90"/>
            </w:tcMar>
          </w:tcPr>
          <w:p>
            <w:pPr>
              <w:spacing w:after="20" w:line="250"/>
            </w:pPr>
            <w:r>
              <w:rPr>
                <w:sz w:val="17"/>
                <w:szCs w:val="17"/>
              </w:rPr>
              <w:t xml:space="preserve">The platform shall cross-check reported node power against at least one independent physical measurement sufficient to detect sustained bias.</w:t>
            </w:r>
          </w:p>
        </w:tc>
        <w:tc>
          <w:tcPr>
            <w:tcW w:type="dxa" w:w="1083"/>
            <w:tcMar>
              <w:top w:type="dxa" w:w="70"/>
              <w:left w:type="dxa" w:w="90"/>
              <w:bottom w:type="dxa" w:w="70"/>
              <w:right w:type="dxa" w:w="90"/>
            </w:tcMar>
          </w:tcPr>
          <w:p>
            <w:pPr>
              <w:spacing w:after="20" w:line="250"/>
            </w:pPr>
            <w:r>
              <w:rPr>
                <w:sz w:val="17"/>
                <w:szCs w:val="17"/>
              </w:rPr>
              <w:t xml:space="preserve">F-04</w:t>
            </w:r>
          </w:p>
        </w:tc>
        <w:tc>
          <w:tcPr>
            <w:tcW w:type="dxa" w:w="1895"/>
            <w:tcMar>
              <w:top w:type="dxa" w:w="70"/>
              <w:left w:type="dxa" w:w="90"/>
              <w:bottom w:type="dxa" w:w="70"/>
              <w:right w:type="dxa" w:w="90"/>
            </w:tcMar>
          </w:tcPr>
          <w:p>
            <w:pPr>
              <w:spacing w:after="20" w:line="250"/>
            </w:pPr>
            <w:r>
              <w:rPr>
                <w:sz w:val="17"/>
                <w:szCs w:val="17"/>
              </w:rPr>
              <w:t xml:space="preserve">Retained; specific percentage removed as fault-specific</w:t>
            </w:r>
          </w:p>
        </w:tc>
      </w:tr>
      <w:tr>
        <w:tc>
          <w:tcPr>
            <w:tcW w:type="dxa" w:w="1354"/>
            <w:tcMar>
              <w:top w:type="dxa" w:w="70"/>
              <w:left w:type="dxa" w:w="90"/>
              <w:bottom w:type="dxa" w:w="70"/>
              <w:right w:type="dxa" w:w="90"/>
            </w:tcMar>
          </w:tcPr>
          <w:p>
            <w:pPr>
              <w:spacing w:after="20" w:line="250"/>
            </w:pPr>
            <w:r>
              <w:rPr>
                <w:sz w:val="17"/>
                <w:szCs w:val="17"/>
              </w:rPr>
              <w:t xml:space="preserve">SR-THM-05</w:t>
            </w:r>
          </w:p>
        </w:tc>
        <w:tc>
          <w:tcPr>
            <w:tcW w:type="dxa" w:w="4694"/>
            <w:tcMar>
              <w:top w:type="dxa" w:w="70"/>
              <w:left w:type="dxa" w:w="90"/>
              <w:bottom w:type="dxa" w:w="70"/>
              <w:right w:type="dxa" w:w="90"/>
            </w:tcMar>
          </w:tcPr>
          <w:p>
            <w:pPr>
              <w:spacing w:after="20" w:line="250"/>
            </w:pPr>
            <w:r>
              <w:rPr>
                <w:sz w:val="17"/>
                <w:szCs w:val="17"/>
              </w:rPr>
              <w:t xml:space="preserve">Orbital-phase correlation of aggregate demand may be computed as a candidate detection feature. It shall not be relied upon as a control until false-positive behaviour against benign power-aware scheduling is characterised.</w:t>
            </w:r>
          </w:p>
        </w:tc>
        <w:tc>
          <w:tcPr>
            <w:tcW w:type="dxa" w:w="1083"/>
            <w:tcMar>
              <w:top w:type="dxa" w:w="70"/>
              <w:left w:type="dxa" w:w="90"/>
              <w:bottom w:type="dxa" w:w="70"/>
              <w:right w:type="dxa" w:w="90"/>
            </w:tcMar>
          </w:tcPr>
          <w:p>
            <w:pPr>
              <w:spacing w:after="20" w:line="250"/>
            </w:pPr>
            <w:r>
              <w:rPr>
                <w:sz w:val="17"/>
                <w:szCs w:val="17"/>
              </w:rPr>
              <w:t xml:space="preserve">F-05</w:t>
            </w:r>
          </w:p>
        </w:tc>
        <w:tc>
          <w:tcPr>
            <w:tcW w:type="dxa" w:w="1895"/>
            <w:tcMar>
              <w:top w:type="dxa" w:w="70"/>
              <w:left w:type="dxa" w:w="90"/>
              <w:bottom w:type="dxa" w:w="70"/>
              <w:right w:type="dxa" w:w="90"/>
            </w:tcMar>
          </w:tcPr>
          <w:p>
            <w:pPr>
              <w:spacing w:after="20" w:line="250"/>
            </w:pPr>
            <w:r>
              <w:rPr>
                <w:sz w:val="17"/>
                <w:szCs w:val="17"/>
              </w:rPr>
              <w:t xml:space="preserve">DOWNGRADED from mandatory</w:t>
            </w:r>
          </w:p>
        </w:tc>
      </w:tr>
      <w:tr>
        <w:tc>
          <w:tcPr>
            <w:tcW w:type="dxa" w:w="1354"/>
            <w:tcMar>
              <w:top w:type="dxa" w:w="70"/>
              <w:left w:type="dxa" w:w="90"/>
              <w:bottom w:type="dxa" w:w="70"/>
              <w:right w:type="dxa" w:w="90"/>
            </w:tcMar>
          </w:tcPr>
          <w:p>
            <w:pPr>
              <w:spacing w:after="20" w:line="250"/>
            </w:pPr>
            <w:r>
              <w:rPr>
                <w:sz w:val="17"/>
                <w:szCs w:val="17"/>
              </w:rPr>
              <w:t xml:space="preserve">SR-THM-06</w:t>
            </w:r>
          </w:p>
        </w:tc>
        <w:tc>
          <w:tcPr>
            <w:tcW w:type="dxa" w:w="4694"/>
            <w:tcMar>
              <w:top w:type="dxa" w:w="70"/>
              <w:left w:type="dxa" w:w="90"/>
              <w:bottom w:type="dxa" w:w="70"/>
              <w:right w:type="dxa" w:w="90"/>
            </w:tcMar>
          </w:tcPr>
          <w:p>
            <w:pPr>
              <w:spacing w:after="20" w:line="250"/>
            </w:pPr>
            <w:r>
              <w:rPr>
                <w:sz w:val="17"/>
                <w:szCs w:val="17"/>
              </w:rPr>
              <w:t xml:space="preserve">—</w:t>
            </w:r>
          </w:p>
        </w:tc>
        <w:tc>
          <w:tcPr>
            <w:tcW w:type="dxa" w:w="1083"/>
            <w:tcMar>
              <w:top w:type="dxa" w:w="70"/>
              <w:left w:type="dxa" w:w="90"/>
              <w:bottom w:type="dxa" w:w="70"/>
              <w:right w:type="dxa" w:w="90"/>
            </w:tcMar>
          </w:tcPr>
          <w:p>
            <w:pPr>
              <w:spacing w:after="20" w:line="250"/>
            </w:pPr>
            <w:r>
              <w:rPr>
                <w:sz w:val="17"/>
                <w:szCs w:val="17"/>
              </w:rPr>
              <w:t xml:space="preserve">—</w:t>
            </w:r>
          </w:p>
        </w:tc>
        <w:tc>
          <w:tcPr>
            <w:tcW w:type="dxa" w:w="1895"/>
            <w:tcMar>
              <w:top w:type="dxa" w:w="70"/>
              <w:left w:type="dxa" w:w="90"/>
              <w:bottom w:type="dxa" w:w="70"/>
              <w:right w:type="dxa" w:w="90"/>
            </w:tcMar>
          </w:tcPr>
          <w:p>
            <w:pPr>
              <w:spacing w:after="20" w:line="250"/>
            </w:pPr>
            <w:r>
              <w:rPr>
                <w:sz w:val="17"/>
                <w:szCs w:val="17"/>
              </w:rPr>
              <w:t xml:space="preserve">WITHDRAWN. The 17 K threshold was not generalisable.</w:t>
            </w:r>
          </w:p>
        </w:tc>
      </w:tr>
      <w:tr>
        <w:tc>
          <w:tcPr>
            <w:tcW w:type="dxa" w:w="1354"/>
            <w:tcMar>
              <w:top w:type="dxa" w:w="70"/>
              <w:left w:type="dxa" w:w="90"/>
              <w:bottom w:type="dxa" w:w="70"/>
              <w:right w:type="dxa" w:w="90"/>
            </w:tcMar>
          </w:tcPr>
          <w:p>
            <w:pPr>
              <w:spacing w:after="20" w:line="250"/>
            </w:pPr>
            <w:r>
              <w:rPr>
                <w:sz w:val="17"/>
                <w:szCs w:val="17"/>
              </w:rPr>
              <w:t xml:space="preserve">SR-THM-07</w:t>
            </w:r>
          </w:p>
        </w:tc>
        <w:tc>
          <w:tcPr>
            <w:tcW w:type="dxa" w:w="4694"/>
            <w:tcMar>
              <w:top w:type="dxa" w:w="70"/>
              <w:left w:type="dxa" w:w="90"/>
              <w:bottom w:type="dxa" w:w="70"/>
              <w:right w:type="dxa" w:w="90"/>
            </w:tcMar>
          </w:tcPr>
          <w:p>
            <w:pPr>
              <w:spacing w:after="20" w:line="250"/>
            </w:pPr>
            <w:r>
              <w:rPr>
                <w:sz w:val="17"/>
                <w:szCs w:val="17"/>
              </w:rPr>
              <w:t xml:space="preserve">Spacecraft bus safety functions shall retain priority over all tenant workloads, including during shedding and recovery.</w:t>
            </w:r>
          </w:p>
        </w:tc>
        <w:tc>
          <w:tcPr>
            <w:tcW w:type="dxa" w:w="1083"/>
            <w:tcMar>
              <w:top w:type="dxa" w:w="70"/>
              <w:left w:type="dxa" w:w="90"/>
              <w:bottom w:type="dxa" w:w="70"/>
              <w:right w:type="dxa" w:w="90"/>
            </w:tcMar>
          </w:tcPr>
          <w:p>
            <w:pPr>
              <w:spacing w:after="20" w:line="250"/>
            </w:pPr>
            <w:r>
              <w:rPr>
                <w:sz w:val="17"/>
                <w:szCs w:val="17"/>
              </w:rPr>
              <w:t xml:space="preserve">F-06, ADR-004</w:t>
            </w:r>
          </w:p>
        </w:tc>
        <w:tc>
          <w:tcPr>
            <w:tcW w:type="dxa" w:w="1895"/>
            <w:tcMar>
              <w:top w:type="dxa" w:w="70"/>
              <w:left w:type="dxa" w:w="90"/>
              <w:bottom w:type="dxa" w:w="70"/>
              <w:right w:type="dxa" w:w="90"/>
            </w:tcMar>
          </w:tcPr>
          <w:p>
            <w:pPr>
              <w:spacing w:after="20" w:line="250"/>
            </w:pPr>
            <w:r>
              <w:rPr>
                <w:sz w:val="17"/>
                <w:szCs w:val="17"/>
              </w:rPr>
              <w:t xml:space="preserve">Retained</w:t>
            </w:r>
          </w:p>
        </w:tc>
      </w:tr>
      <w:tr>
        <w:tc>
          <w:tcPr>
            <w:tcW w:type="dxa" w:w="1354"/>
            <w:tcMar>
              <w:top w:type="dxa" w:w="70"/>
              <w:left w:type="dxa" w:w="90"/>
              <w:bottom w:type="dxa" w:w="70"/>
              <w:right w:type="dxa" w:w="90"/>
            </w:tcMar>
          </w:tcPr>
          <w:p>
            <w:pPr>
              <w:spacing w:after="20" w:line="250"/>
            </w:pPr>
            <w:r>
              <w:rPr>
                <w:sz w:val="17"/>
                <w:szCs w:val="17"/>
              </w:rPr>
              <w:t>SR-THM-08</w:t>
            </w:r>
          </w:p>
        </w:tc>
        <w:tc>
          <w:tcPr>
            <w:tcW w:type="dxa" w:w="4694"/>
            <w:tcMar>
              <w:top w:type="dxa" w:w="70"/>
              <w:left w:type="dxa" w:w="90"/>
              <w:bottom w:type="dxa" w:w="70"/>
              <w:right w:type="dxa" w:w="90"/>
            </w:tcMar>
          </w:tcPr>
          <w:p>
            <w:pPr>
              <w:spacing w:after="20" w:line="250"/>
            </w:pPr>
            <w:r>
              <w:rPr>
                <w:sz w:val="17"/>
                <w:szCs w:val="17"/>
              </w:rPr>
              <w:t>If an energy-balance estimator is used for fault discrimination, uncertainty in radiative properties, electrical-power measurement, environmental heat-load estimation and relevant sensors shall be characterised and propagated into validated decision performance.</w:t>
            </w:r>
          </w:p>
        </w:tc>
        <w:tc>
          <w:tcPr>
            <w:tcW w:type="dxa" w:w="1083"/>
            <w:tcMar>
              <w:top w:type="dxa" w:w="70"/>
              <w:left w:type="dxa" w:w="90"/>
              <w:bottom w:type="dxa" w:w="70"/>
              <w:right w:type="dxa" w:w="90"/>
            </w:tcMar>
          </w:tcPr>
          <w:p>
            <w:pPr>
              <w:spacing w:after="20" w:line="250"/>
            </w:pPr>
            <w:r>
              <w:rPr>
                <w:sz w:val="17"/>
                <w:szCs w:val="17"/>
              </w:rPr>
              <w:t>F-04</w:t>
            </w:r>
          </w:p>
        </w:tc>
        <w:tc>
          <w:tcPr>
            <w:tcW w:type="dxa" w:w="1895"/>
            <w:tcMar>
              <w:top w:type="dxa" w:w="70"/>
              <w:left w:type="dxa" w:w="90"/>
              <w:bottom w:type="dxa" w:w="70"/>
              <w:right w:type="dxa" w:w="90"/>
            </w:tcMar>
          </w:tcPr>
          <w:p>
            <w:pPr>
              <w:spacing w:after="20" w:line="250"/>
            </w:pPr>
            <w:r>
              <w:rPr>
                <w:sz w:val="17"/>
                <w:szCs w:val="17"/>
              </w:rPr>
              <w:t>Revised; no fixed ±5 % requirement.</w:t>
            </w:r>
          </w:p>
        </w:tc>
      </w:tr>
      <w:tr>
        <w:tc>
          <w:tcPr>
            <w:tcW w:type="dxa" w:w="1354"/>
            <w:tcMar>
              <w:top w:type="dxa" w:w="70"/>
              <w:left w:type="dxa" w:w="90"/>
              <w:bottom w:type="dxa" w:w="70"/>
              <w:right w:type="dxa" w:w="90"/>
            </w:tcMar>
          </w:tcPr>
          <w:p>
            <w:pPr>
              <w:spacing w:after="20" w:line="250"/>
            </w:pPr>
            <w:r>
              <w:rPr>
                <w:sz w:val="17"/>
                <w:szCs w:val="17"/>
              </w:rPr>
              <w:t>SR-THM-09</w:t>
            </w:r>
          </w:p>
        </w:tc>
        <w:tc>
          <w:tcPr>
            <w:tcW w:type="dxa" w:w="4694"/>
            <w:tcMar>
              <w:top w:type="dxa" w:w="70"/>
              <w:left w:type="dxa" w:w="90"/>
              <w:bottom w:type="dxa" w:w="70"/>
              <w:right w:type="dxa" w:w="90"/>
            </w:tcMar>
          </w:tcPr>
          <w:p>
            <w:pPr>
              <w:spacing w:after="20" w:line="250"/>
            </w:pPr>
            <w:r>
              <w:rPr>
                <w:sz w:val="17"/>
                <w:szCs w:val="17"/>
              </w:rPr>
              <w:t>The system shall provide sufficient independent observability to distinguish the defined thermal-fault classes from workload-driven thermal excursions to a stated validation criterion. Energy balance, node–radiator gradient and temporal features are candidate observables, not mandated implementation.</w:t>
            </w:r>
          </w:p>
        </w:tc>
        <w:tc>
          <w:tcPr>
            <w:tcW w:type="dxa" w:w="1083"/>
            <w:tcMar>
              <w:top w:type="dxa" w:w="70"/>
              <w:left w:type="dxa" w:w="90"/>
              <w:bottom w:type="dxa" w:w="70"/>
              <w:right w:type="dxa" w:w="90"/>
            </w:tcMar>
          </w:tcPr>
          <w:p>
            <w:pPr>
              <w:spacing w:after="20" w:line="250"/>
            </w:pPr>
            <w:r>
              <w:rPr>
                <w:sz w:val="17"/>
                <w:szCs w:val="17"/>
              </w:rPr>
              <w:t>F-02–F-05</w:t>
            </w:r>
          </w:p>
        </w:tc>
        <w:tc>
          <w:tcPr>
            <w:tcW w:type="dxa" w:w="1895"/>
            <w:tcMar>
              <w:top w:type="dxa" w:w="70"/>
              <w:left w:type="dxa" w:w="90"/>
              <w:bottom w:type="dxa" w:w="70"/>
              <w:right w:type="dxa" w:w="90"/>
            </w:tcMar>
          </w:tcPr>
          <w:p>
            <w:pPr>
              <w:spacing w:after="20" w:line="250"/>
            </w:pPr>
            <w:r>
              <w:rPr>
                <w:sz w:val="17"/>
                <w:szCs w:val="17"/>
              </w:rPr>
              <w:t>Revised, outcome-based.</w:t>
            </w:r>
          </w:p>
        </w:tc>
      </w:tr>
    </w:tbl>
    <w:p>
      <w:pPr>
        <w:pStyle w:val="Heading1"/>
      </w:pPr>
      <w:r>
        <w:t xml:space="preserve">8  Open Actions</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542"/>
        <w:gridCol w:w="3971"/>
        <w:gridCol w:w="4513"/>
      </w:tblGrid>
      <w:tr>
        <w:trPr>
          <w:tblHeader/>
          <w:tblHeader w:val="true"/>
        </w:trPr>
        <w:tc>
          <w:tcPr>
            <w:tcW w:type="dxa" w:w="542"/>
            <w:shd w:fill="EFEFEF" w:val="clear"/>
            <w:tcMar>
              <w:top w:type="dxa" w:w="70"/>
              <w:left w:type="dxa" w:w="90"/>
              <w:bottom w:type="dxa" w:w="70"/>
              <w:right w:type="dxa" w:w="90"/>
            </w:tcMar>
          </w:tcPr>
          <w:p>
            <w:pPr>
              <w:spacing w:after="20" w:line="250"/>
            </w:pPr>
            <w:r>
              <w:rPr>
                <w:b/>
                <w:bCs/>
                <w:sz w:val="17"/>
                <w:szCs w:val="17"/>
              </w:rPr>
              <w:t xml:space="preserve">#</w:t>
            </w:r>
          </w:p>
        </w:tc>
        <w:tc>
          <w:tcPr>
            <w:tcW w:type="dxa" w:w="3971"/>
            <w:shd w:fill="EFEFEF" w:val="clear"/>
            <w:tcMar>
              <w:top w:type="dxa" w:w="70"/>
              <w:left w:type="dxa" w:w="90"/>
              <w:bottom w:type="dxa" w:w="70"/>
              <w:right w:type="dxa" w:w="90"/>
            </w:tcMar>
          </w:tcPr>
          <w:p>
            <w:pPr>
              <w:spacing w:after="20" w:line="250"/>
            </w:pPr>
            <w:r>
              <w:rPr>
                <w:b/>
                <w:bCs/>
                <w:sz w:val="17"/>
                <w:szCs w:val="17"/>
              </w:rPr>
              <w:t xml:space="preserve">Action</w:t>
            </w:r>
          </w:p>
        </w:tc>
        <w:tc>
          <w:tcPr>
            <w:tcW w:type="dxa" w:w="4513"/>
            <w:shd w:fill="EFEFEF" w:val="clear"/>
            <w:tcMar>
              <w:top w:type="dxa" w:w="70"/>
              <w:left w:type="dxa" w:w="90"/>
              <w:bottom w:type="dxa" w:w="70"/>
              <w:right w:type="dxa" w:w="90"/>
            </w:tcMar>
          </w:tcPr>
          <w:p>
            <w:pPr>
              <w:spacing w:after="20" w:line="250"/>
            </w:pPr>
            <w:r>
              <w:rPr>
                <w:b/>
                <w:bCs/>
                <w:sz w:val="17"/>
                <w:szCs w:val="17"/>
              </w:rPr>
              <w:t xml:space="preserve">Rationale</w:t>
            </w:r>
          </w:p>
        </w:tc>
      </w:tr>
      <w:tr>
        <w:tc>
          <w:tcPr>
            <w:tcW w:type="dxa" w:w="542"/>
            <w:tcMar>
              <w:top w:type="dxa" w:w="70"/>
              <w:left w:type="dxa" w:w="90"/>
              <w:bottom w:type="dxa" w:w="70"/>
              <w:right w:type="dxa" w:w="90"/>
            </w:tcMar>
            <w:vAlign w:val="center"/>
          </w:tcPr>
          <w:p>
            <w:r/>
            <w:r>
              <w:rPr>
                <w:rFonts w:ascii="Aptos" w:hAnsi="Aptos"/>
                <w:b w:val="0"/>
                <w:sz w:val="13"/>
              </w:rPr>
              <w:t>1</w:t>
            </w:r>
          </w:p>
        </w:tc>
        <w:tc>
          <w:tcPr>
            <w:tcW w:type="dxa" w:w="3971"/>
            <w:tcMar>
              <w:top w:type="dxa" w:w="70"/>
              <w:left w:type="dxa" w:w="90"/>
              <w:bottom w:type="dxa" w:w="70"/>
              <w:right w:type="dxa" w:w="90"/>
            </w:tcMar>
            <w:vAlign w:val="center"/>
          </w:tcPr>
          <w:p>
            <w:r/>
            <w:r>
              <w:rPr>
                <w:rFonts w:ascii="Aptos" w:hAnsi="Aptos"/>
                <w:b w:val="0"/>
                <w:sz w:val="13"/>
              </w:rPr>
              <w:t>Obtain an independent spacecraft-thermal review of TSM-01, its two-node formulation, sensitivity interpretation and Appendix A assumptions. Use the offered Falco follow-up as an entry point if appropriate, without representing it as a committed formal review.</w:t>
            </w:r>
          </w:p>
        </w:tc>
        <w:tc>
          <w:tcPr>
            <w:tcW w:type="dxa" w:w="4513"/>
            <w:tcMar>
              <w:top w:type="dxa" w:w="70"/>
              <w:left w:type="dxa" w:w="90"/>
              <w:bottom w:type="dxa" w:w="70"/>
              <w:right w:type="dxa" w:w="90"/>
            </w:tcMar>
            <w:vAlign w:val="center"/>
          </w:tcPr>
          <w:p>
            <w:r/>
            <w:r>
              <w:rPr>
                <w:rFonts w:ascii="Aptos" w:hAnsi="Aptos"/>
                <w:b w:val="0"/>
                <w:sz w:val="13"/>
              </w:rPr>
              <w:t>Highest remaining epistemic risk: code/inference have been repeatedly audited, but model-form and parameter validity have not.</w:t>
            </w:r>
          </w:p>
        </w:tc>
      </w:tr>
      <w:tr>
        <w:tc>
          <w:tcPr>
            <w:tcW w:type="dxa" w:w="542"/>
            <w:tcMar>
              <w:top w:type="dxa" w:w="70"/>
              <w:left w:type="dxa" w:w="90"/>
              <w:bottom w:type="dxa" w:w="70"/>
              <w:right w:type="dxa" w:w="90"/>
            </w:tcMar>
            <w:vAlign w:val="center"/>
          </w:tcPr>
          <w:p>
            <w:r/>
            <w:r>
              <w:rPr>
                <w:rFonts w:ascii="Aptos" w:hAnsi="Aptos"/>
                <w:b w:val="0"/>
                <w:sz w:val="13"/>
              </w:rPr>
              <w:t>2</w:t>
            </w:r>
          </w:p>
        </w:tc>
        <w:tc>
          <w:tcPr>
            <w:tcW w:type="dxa" w:w="3971"/>
            <w:tcMar>
              <w:top w:type="dxa" w:w="70"/>
              <w:left w:type="dxa" w:w="90"/>
              <w:bottom w:type="dxa" w:w="70"/>
              <w:right w:type="dxa" w:w="90"/>
            </w:tcMar>
            <w:vAlign w:val="center"/>
          </w:tcPr>
          <w:p>
            <w:r/>
            <w:r>
              <w:rPr>
                <w:rFonts w:ascii="Aptos" w:hAnsi="Aptos"/>
                <w:b w:val="0"/>
                <w:sz w:val="13"/>
              </w:rPr>
              <w:t>Replace or validate assumed hardware/environment parameters, including 75/90 °C thresholds, q_hot/q_cold, capacitances, loop conductance and compute-power envelope.</w:t>
            </w:r>
          </w:p>
        </w:tc>
        <w:tc>
          <w:tcPr>
            <w:tcW w:type="dxa" w:w="4513"/>
            <w:tcMar>
              <w:top w:type="dxa" w:w="70"/>
              <w:left w:type="dxa" w:w="90"/>
              <w:bottom w:type="dxa" w:w="70"/>
              <w:right w:type="dxa" w:w="90"/>
            </w:tcMar>
            <w:vAlign w:val="center"/>
          </w:tcPr>
          <w:p>
            <w:r/>
            <w:r>
              <w:rPr>
                <w:rFonts w:ascii="Aptos" w:hAnsi="Aptos"/>
                <w:b w:val="0"/>
                <w:sz w:val="13"/>
              </w:rPr>
              <w:t>Absolute temperatures, F-06 timing and the observed F-01 magnitude depend on them; the overall sensitivity range is power-assumption-dominated.</w:t>
            </w:r>
          </w:p>
        </w:tc>
      </w:tr>
      <w:tr>
        <w:tc>
          <w:tcPr>
            <w:tcW w:type="dxa" w:w="542"/>
            <w:tcMar>
              <w:top w:type="dxa" w:w="70"/>
              <w:left w:type="dxa" w:w="90"/>
              <w:bottom w:type="dxa" w:w="70"/>
              <w:right w:type="dxa" w:w="90"/>
            </w:tcMar>
            <w:vAlign w:val="center"/>
          </w:tcPr>
          <w:p>
            <w:r/>
            <w:r>
              <w:rPr>
                <w:rFonts w:ascii="Aptos" w:hAnsi="Aptos"/>
                <w:b w:val="0"/>
                <w:sz w:val="13"/>
              </w:rPr>
              <w:t>3</w:t>
            </w:r>
          </w:p>
        </w:tc>
        <w:tc>
          <w:tcPr>
            <w:tcW w:type="dxa" w:w="3971"/>
            <w:tcMar>
              <w:top w:type="dxa" w:w="70"/>
              <w:left w:type="dxa" w:w="90"/>
              <w:bottom w:type="dxa" w:w="70"/>
              <w:right w:type="dxa" w:w="90"/>
            </w:tcMar>
            <w:vAlign w:val="center"/>
          </w:tcPr>
          <w:p>
            <w:r/>
            <w:r>
              <w:rPr>
                <w:rFonts w:ascii="Aptos" w:hAnsi="Aptos"/>
                <w:b w:val="0"/>
                <w:sz w:val="13"/>
              </w:rPr>
              <w:t>Evaluate F-01/F-05 against representative workload traces and realistic benign power/thermal-aware scheduling policies.</w:t>
            </w:r>
          </w:p>
        </w:tc>
        <w:tc>
          <w:tcPr>
            <w:tcW w:type="dxa" w:w="4513"/>
            <w:tcMar>
              <w:top w:type="dxa" w:w="70"/>
              <w:left w:type="dxa" w:w="90"/>
              <w:bottom w:type="dxa" w:w="70"/>
              <w:right w:type="dxa" w:w="90"/>
            </w:tcMar>
            <w:vAlign w:val="center"/>
          </w:tcPr>
          <w:p>
            <w:r/>
            <w:r>
              <w:rPr>
                <w:rFonts w:ascii="Aptos" w:hAnsi="Aptos"/>
                <w:b w:val="0"/>
                <w:sz w:val="13"/>
              </w:rPr>
              <w:t>The synthetic non-malicious comparator produces 84.0 % of the full phase-shaped excursion; operational prevalence and false-positive behaviour are unknown.</w:t>
            </w:r>
          </w:p>
        </w:tc>
      </w:tr>
      <w:tr>
        <w:tc>
          <w:tcPr>
            <w:tcW w:type="dxa" w:w="542"/>
            <w:tcMar>
              <w:top w:type="dxa" w:w="70"/>
              <w:left w:type="dxa" w:w="90"/>
              <w:bottom w:type="dxa" w:w="70"/>
              <w:right w:type="dxa" w:w="90"/>
            </w:tcMar>
            <w:vAlign w:val="center"/>
          </w:tcPr>
          <w:p>
            <w:r/>
            <w:r>
              <w:rPr>
                <w:rFonts w:ascii="Aptos" w:hAnsi="Aptos"/>
                <w:b w:val="0"/>
                <w:sz w:val="13"/>
              </w:rPr>
              <w:t>4</w:t>
            </w:r>
          </w:p>
        </w:tc>
        <w:tc>
          <w:tcPr>
            <w:tcW w:type="dxa" w:w="3971"/>
            <w:tcMar>
              <w:top w:type="dxa" w:w="70"/>
              <w:left w:type="dxa" w:w="90"/>
              <w:bottom w:type="dxa" w:w="70"/>
              <w:right w:type="dxa" w:w="90"/>
            </w:tcMar>
            <w:vAlign w:val="center"/>
          </w:tcPr>
          <w:p>
            <w:r/>
            <w:r>
              <w:rPr>
                <w:rFonts w:ascii="Aptos" w:hAnsi="Aptos"/>
                <w:b w:val="0"/>
                <w:sz w:val="13"/>
              </w:rPr>
              <w:t>Extend TSM-01 to multi-node/shared-loop and resource-placement cases.</w:t>
            </w:r>
          </w:p>
        </w:tc>
        <w:tc>
          <w:tcPr>
            <w:tcW w:type="dxa" w:w="4513"/>
            <w:tcMar>
              <w:top w:type="dxa" w:w="70"/>
              <w:left w:type="dxa" w:w="90"/>
              <w:bottom w:type="dxa" w:w="70"/>
              <w:right w:type="dxa" w:w="90"/>
            </w:tcMar>
            <w:vAlign w:val="center"/>
          </w:tcPr>
          <w:p>
            <w:r/>
            <w:r>
              <w:rPr>
                <w:rFonts w:ascii="Aptos" w:hAnsi="Aptos"/>
                <w:b w:val="0"/>
                <w:sz w:val="13"/>
              </w:rPr>
              <w:t>Largest architecture-level threat to the single-node result and necessary to determine whether timing effects aggregate, migrate or average out.</w:t>
            </w:r>
          </w:p>
        </w:tc>
      </w:tr>
      <w:tr>
        <w:tc>
          <w:tcPr>
            <w:tcW w:type="dxa" w:w="542"/>
            <w:tcMar>
              <w:top w:type="dxa" w:w="70"/>
              <w:left w:type="dxa" w:w="90"/>
              <w:bottom w:type="dxa" w:w="70"/>
              <w:right w:type="dxa" w:w="90"/>
            </w:tcMar>
            <w:vAlign w:val="center"/>
          </w:tcPr>
          <w:p>
            <w:r/>
            <w:r>
              <w:rPr>
                <w:rFonts w:ascii="Aptos" w:hAnsi="Aptos"/>
                <w:b w:val="0"/>
                <w:sz w:val="13"/>
              </w:rPr>
              <w:t>5</w:t>
            </w:r>
          </w:p>
        </w:tc>
        <w:tc>
          <w:tcPr>
            <w:tcW w:type="dxa" w:w="3971"/>
            <w:tcMar>
              <w:top w:type="dxa" w:w="70"/>
              <w:left w:type="dxa" w:w="90"/>
              <w:bottom w:type="dxa" w:w="70"/>
              <w:right w:type="dxa" w:w="90"/>
            </w:tcMar>
            <w:vAlign w:val="center"/>
          </w:tcPr>
          <w:p>
            <w:r/>
            <w:r>
              <w:rPr>
                <w:rFonts w:ascii="Aptos" w:hAnsi="Aptos"/>
                <w:b w:val="0"/>
                <w:sz w:val="13"/>
              </w:rPr>
              <w:t>Schedule the offered S-07 communications consultation with Edd Salkield.</w:t>
            </w:r>
          </w:p>
        </w:tc>
        <w:tc>
          <w:tcPr>
            <w:tcW w:type="dxa" w:w="4513"/>
            <w:tcMar>
              <w:top w:type="dxa" w:w="70"/>
              <w:left w:type="dxa" w:w="90"/>
              <w:bottom w:type="dxa" w:w="70"/>
              <w:right w:type="dxa" w:w="90"/>
            </w:tcMar>
            <w:vAlign w:val="center"/>
          </w:tcPr>
          <w:p>
            <w:r/>
            <w:r>
              <w:rPr>
                <w:rFonts w:ascii="Aptos" w:hAnsi="Aptos"/>
                <w:b w:val="0"/>
                <w:sz w:val="13"/>
              </w:rPr>
              <w:t>Consultation has been offered; technical scope correction is pending, not completed.</w:t>
            </w:r>
          </w:p>
        </w:tc>
      </w:tr>
      <w:tr>
        <w:tc>
          <w:tcPr>
            <w:tcW w:type="dxa" w:w="542"/>
            <w:tcMar>
              <w:top w:type="dxa" w:w="70"/>
              <w:left w:type="dxa" w:w="90"/>
              <w:bottom w:type="dxa" w:w="70"/>
              <w:right w:type="dxa" w:w="90"/>
            </w:tcMar>
            <w:vAlign w:val="center"/>
          </w:tcPr>
          <w:p>
            <w:r/>
            <w:r>
              <w:rPr>
                <w:rFonts w:ascii="Aptos" w:hAnsi="Aptos"/>
                <w:b w:val="0"/>
                <w:sz w:val="13"/>
              </w:rPr>
              <w:t>6</w:t>
            </w:r>
          </w:p>
        </w:tc>
        <w:tc>
          <w:tcPr>
            <w:tcW w:type="dxa" w:w="3971"/>
            <w:tcMar>
              <w:top w:type="dxa" w:w="70"/>
              <w:left w:type="dxa" w:w="90"/>
              <w:bottom w:type="dxa" w:w="70"/>
              <w:right w:type="dxa" w:w="90"/>
            </w:tcMar>
            <w:vAlign w:val="center"/>
          </w:tcPr>
          <w:p>
            <w:r/>
            <w:r>
              <w:rPr>
                <w:rFonts w:ascii="Aptos" w:hAnsi="Aptos"/>
                <w:b w:val="0"/>
                <w:sz w:val="13"/>
              </w:rPr>
              <w:t>Build and evaluate attribution/trajectory features across synthetic fault classes under expanded uncertainty and model-form perturbation.</w:t>
            </w:r>
          </w:p>
        </w:tc>
        <w:tc>
          <w:tcPr>
            <w:tcW w:type="dxa" w:w="4513"/>
            <w:tcMar>
              <w:top w:type="dxa" w:w="70"/>
              <w:left w:type="dxa" w:w="90"/>
              <w:bottom w:type="dxa" w:w="70"/>
              <w:right w:type="dxa" w:w="90"/>
            </w:tcMar>
            <w:vAlign w:val="center"/>
          </w:tcPr>
          <w:p>
            <w:r/>
            <w:r>
              <w:rPr>
                <w:rFonts w:ascii="Aptos" w:hAnsi="Aptos"/>
                <w:b w:val="0"/>
                <w:sz w:val="13"/>
              </w:rPr>
              <w:t>F-02/F-03 identify candidate observability but do not establish attribution.</w:t>
            </w:r>
          </w:p>
        </w:tc>
      </w:tr>
      <w:tr>
        <w:tc>
          <w:tcPr>
            <w:tcW w:type="dxa" w:w="542"/>
            <w:tcMar>
              <w:top w:type="dxa" w:w="70"/>
              <w:left w:type="dxa" w:w="90"/>
              <w:bottom w:type="dxa" w:w="70"/>
              <w:right w:type="dxa" w:w="90"/>
            </w:tcMar>
            <w:vAlign w:val="center"/>
          </w:tcPr>
          <w:p>
            <w:r/>
            <w:r>
              <w:rPr>
                <w:rFonts w:ascii="Aptos" w:hAnsi="Aptos"/>
                <w:b w:val="0"/>
                <w:sz w:val="13"/>
              </w:rPr>
              <w:t>7</w:t>
            </w:r>
          </w:p>
        </w:tc>
        <w:tc>
          <w:tcPr>
            <w:tcW w:type="dxa" w:w="3971"/>
            <w:tcMar>
              <w:top w:type="dxa" w:w="70"/>
              <w:left w:type="dxa" w:w="90"/>
              <w:bottom w:type="dxa" w:w="70"/>
              <w:right w:type="dxa" w:w="90"/>
            </w:tcMar>
            <w:vAlign w:val="center"/>
          </w:tcPr>
          <w:p>
            <w:r/>
            <w:r>
              <w:rPr>
                <w:rFonts w:ascii="Aptos" w:hAnsi="Aptos"/>
                <w:b w:val="0"/>
                <w:sz w:val="13"/>
              </w:rPr>
              <w:t>Prepare the Bailey/SPARTA tailoring write-up only after the risk workbook and evidence boundaries are stable.</w:t>
            </w:r>
          </w:p>
        </w:tc>
        <w:tc>
          <w:tcPr>
            <w:tcW w:type="dxa" w:w="4513"/>
            <w:tcMar>
              <w:top w:type="dxa" w:w="70"/>
              <w:left w:type="dxa" w:w="90"/>
              <w:bottom w:type="dxa" w:w="70"/>
              <w:right w:type="dxa" w:w="90"/>
            </w:tcMar>
            <w:vAlign w:val="center"/>
          </w:tcPr>
          <w:p>
            <w:r/>
            <w:r>
              <w:rPr>
                <w:rFonts w:ascii="Aptos" w:hAnsi="Aptos"/>
                <w:b w:val="0"/>
                <w:sz w:val="13"/>
              </w:rPr>
              <w:t>Preserves the methodological contribution without overstating the thermal result.</w:t>
            </w:r>
          </w:p>
        </w:tc>
      </w:tr>
    </w:tbl>
    <w:p>
      <w:pPr>
        <w:pStyle w:val="Heading1"/>
      </w:pPr>
      <w:r>
        <w:t xml:space="preserve">9  Assumption Register</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722"/>
        <w:gridCol w:w="2527"/>
        <w:gridCol w:w="2888"/>
        <w:gridCol w:w="2888"/>
      </w:tblGrid>
      <w:tr>
        <w:trPr>
          <w:tblHeader/>
          <w:tblHeader w:val="true"/>
        </w:trPr>
        <w:tc>
          <w:tcPr>
            <w:tcW w:type="dxa" w:w="722"/>
            <w:shd w:fill="EFEFEF" w:val="clear"/>
            <w:tcMar>
              <w:top w:type="dxa" w:w="70"/>
              <w:left w:type="dxa" w:w="90"/>
              <w:bottom w:type="dxa" w:w="70"/>
              <w:right w:type="dxa" w:w="90"/>
            </w:tcMar>
          </w:tcPr>
          <w:p>
            <w:pPr>
              <w:spacing w:after="20" w:line="250"/>
            </w:pPr>
            <w:r>
              <w:rPr>
                <w:b/>
                <w:bCs/>
                <w:sz w:val="17"/>
                <w:szCs w:val="17"/>
              </w:rPr>
              <w:t xml:space="preserve">ID</w:t>
            </w:r>
          </w:p>
        </w:tc>
        <w:tc>
          <w:tcPr>
            <w:tcW w:type="dxa" w:w="2527"/>
            <w:shd w:fill="EFEFEF" w:val="clear"/>
            <w:tcMar>
              <w:top w:type="dxa" w:w="70"/>
              <w:left w:type="dxa" w:w="90"/>
              <w:bottom w:type="dxa" w:w="70"/>
              <w:right w:type="dxa" w:w="90"/>
            </w:tcMar>
          </w:tcPr>
          <w:p>
            <w:pPr>
              <w:spacing w:after="20" w:line="250"/>
            </w:pPr>
            <w:r>
              <w:rPr>
                <w:b/>
                <w:bCs/>
                <w:sz w:val="17"/>
                <w:szCs w:val="17"/>
              </w:rPr>
              <w:t xml:space="preserve">Assumption</w:t>
            </w:r>
          </w:p>
        </w:tc>
        <w:tc>
          <w:tcPr>
            <w:tcW w:type="dxa" w:w="2888"/>
            <w:shd w:fill="EFEFEF" w:val="clear"/>
            <w:tcMar>
              <w:top w:type="dxa" w:w="70"/>
              <w:left w:type="dxa" w:w="90"/>
              <w:bottom w:type="dxa" w:w="70"/>
              <w:right w:type="dxa" w:w="90"/>
            </w:tcMar>
          </w:tcPr>
          <w:p>
            <w:pPr>
              <w:spacing w:after="20" w:line="250"/>
            </w:pPr>
            <w:r>
              <w:rPr>
                <w:b/>
                <w:bCs/>
                <w:sz w:val="17"/>
                <w:szCs w:val="17"/>
              </w:rPr>
              <w:t xml:space="preserve">Impact if wrong</w:t>
            </w:r>
          </w:p>
        </w:tc>
        <w:tc>
          <w:tcPr>
            <w:tcW w:type="dxa" w:w="2888"/>
            <w:shd w:fill="EFEFEF" w:val="clear"/>
            <w:tcMar>
              <w:top w:type="dxa" w:w="70"/>
              <w:left w:type="dxa" w:w="90"/>
              <w:bottom w:type="dxa" w:w="70"/>
              <w:right w:type="dxa" w:w="90"/>
            </w:tcMar>
          </w:tcPr>
          <w:p>
            <w:pPr>
              <w:spacing w:after="20" w:line="250"/>
            </w:pPr>
            <w:r>
              <w:rPr>
                <w:b/>
                <w:bCs/>
                <w:sz w:val="17"/>
                <w:szCs w:val="17"/>
              </w:rPr>
              <w:t xml:space="preserve">Status</w:t>
            </w:r>
          </w:p>
        </w:tc>
      </w:tr>
      <w:tr>
        <w:tc>
          <w:tcPr>
            <w:tcW w:type="dxa" w:w="722"/>
            <w:tcMar>
              <w:top w:type="dxa" w:w="70"/>
              <w:left w:type="dxa" w:w="90"/>
              <w:bottom w:type="dxa" w:w="70"/>
              <w:right w:type="dxa" w:w="90"/>
            </w:tcMar>
          </w:tcPr>
          <w:p>
            <w:pPr>
              <w:spacing w:after="20" w:line="250"/>
            </w:pPr>
            <w:r>
              <w:rPr>
                <w:sz w:val="17"/>
                <w:szCs w:val="17"/>
              </w:rPr>
              <w:t xml:space="preserve">AS-01</w:t>
            </w:r>
          </w:p>
        </w:tc>
        <w:tc>
          <w:tcPr>
            <w:tcW w:type="dxa" w:w="2527"/>
            <w:tcMar>
              <w:top w:type="dxa" w:w="70"/>
              <w:left w:type="dxa" w:w="90"/>
              <w:bottom w:type="dxa" w:w="70"/>
              <w:right w:type="dxa" w:w="90"/>
            </w:tcMar>
          </w:tcPr>
          <w:p>
            <w:pPr>
              <w:spacing w:after="20" w:line="250"/>
            </w:pPr>
            <w:r>
              <w:rPr>
                <w:sz w:val="17"/>
                <w:szCs w:val="17"/>
              </w:rPr>
              <w:t xml:space="preserve">Rack-scale thermal capacitance ≈3.6 × 10⁵ J/K.</w:t>
            </w:r>
          </w:p>
        </w:tc>
        <w:tc>
          <w:tcPr>
            <w:tcW w:type="dxa" w:w="2888"/>
            <w:tcMar>
              <w:top w:type="dxa" w:w="70"/>
              <w:left w:type="dxa" w:w="90"/>
              <w:bottom w:type="dxa" w:w="70"/>
              <w:right w:type="dxa" w:w="90"/>
            </w:tcMar>
          </w:tcPr>
          <w:p>
            <w:pPr>
              <w:spacing w:after="20" w:line="250"/>
            </w:pPr>
            <w:r>
              <w:rPr>
                <w:sz w:val="17"/>
                <w:szCs w:val="17"/>
              </w:rPr>
              <w:t xml:space="preserve">Alters excursion timescale and the F-06 latency budget.</w:t>
            </w:r>
          </w:p>
        </w:tc>
        <w:tc>
          <w:tcPr>
            <w:tcW w:type="dxa" w:w="2888"/>
            <w:tcMar>
              <w:top w:type="dxa" w:w="70"/>
              <w:left w:type="dxa" w:w="90"/>
              <w:bottom w:type="dxa" w:w="70"/>
              <w:right w:type="dxa" w:w="90"/>
            </w:tcMar>
          </w:tcPr>
          <w:p>
            <w:pPr>
              <w:spacing w:after="20" w:line="250"/>
            </w:pPr>
            <w:r>
              <w:rPr>
                <w:sz w:val="17"/>
                <w:szCs w:val="17"/>
              </w:rPr>
              <w:t xml:space="preserve">Open — physics review</w:t>
            </w:r>
          </w:p>
        </w:tc>
      </w:tr>
      <w:tr>
        <w:tc>
          <w:tcPr>
            <w:tcW w:type="dxa" w:w="722"/>
            <w:tcMar>
              <w:top w:type="dxa" w:w="70"/>
              <w:left w:type="dxa" w:w="90"/>
              <w:bottom w:type="dxa" w:w="70"/>
              <w:right w:type="dxa" w:w="90"/>
            </w:tcMar>
          </w:tcPr>
          <w:p>
            <w:pPr>
              <w:spacing w:after="20" w:line="250"/>
            </w:pPr>
            <w:r>
              <w:rPr>
                <w:sz w:val="17"/>
                <w:szCs w:val="17"/>
              </w:rPr>
              <w:t>AS-02</w:t>
            </w:r>
          </w:p>
        </w:tc>
        <w:tc>
          <w:tcPr>
            <w:tcW w:type="dxa" w:w="2527"/>
            <w:tcMar>
              <w:top w:type="dxa" w:w="70"/>
              <w:left w:type="dxa" w:w="90"/>
              <w:bottom w:type="dxa" w:w="70"/>
              <w:right w:type="dxa" w:w="90"/>
            </w:tcMar>
            <w:vAlign w:val="center"/>
          </w:tcPr>
          <w:p>
            <w:r/>
            <w:r>
              <w:rPr>
                <w:rFonts w:ascii="Aptos" w:hAnsi="Aptos"/>
                <w:b w:val="0"/>
                <w:sz w:val="13"/>
              </w:rPr>
              <w:t>The selected radiator area/emissivity range is a useful order-of-magnitude reference slice. Turyshev’s independent 1 MW representative case uses 2,500 m² of radiator area (2.5 m²/kW), matching TSM-01’s baseline 100 m² / 40 kW ratio to rounding.</w:t>
            </w:r>
          </w:p>
        </w:tc>
        <w:tc>
          <w:tcPr>
            <w:tcW w:type="dxa" w:w="2888"/>
            <w:tcMar>
              <w:top w:type="dxa" w:w="70"/>
              <w:left w:type="dxa" w:w="90"/>
              <w:bottom w:type="dxa" w:w="70"/>
              <w:right w:type="dxa" w:w="90"/>
            </w:tcMar>
          </w:tcPr>
          <w:p>
            <w:pPr>
              <w:spacing w:after="20" w:line="250"/>
            </w:pPr>
            <w:r>
              <w:rPr>
                <w:sz w:val="17"/>
                <w:szCs w:val="17"/>
              </w:rPr>
              <w:t>Alters absolute temperatures and sensitivity; does not invalidate radiative heat-balance physics.</w:t>
            </w:r>
          </w:p>
        </w:tc>
        <w:tc>
          <w:tcPr>
            <w:tcW w:type="dxa" w:w="2888"/>
            <w:tcMar>
              <w:top w:type="dxa" w:w="70"/>
              <w:left w:type="dxa" w:w="90"/>
              <w:bottom w:type="dxa" w:w="70"/>
              <w:right w:type="dxa" w:w="90"/>
            </w:tcMar>
            <w:vAlign w:val="center"/>
          </w:tcPr>
          <w:p>
            <w:r/>
            <w:r>
              <w:rPr>
                <w:rFonts w:ascii="Aptos" w:hAnsi="Aptos"/>
                <w:b w:val="0"/>
                <w:sz w:val="13"/>
              </w:rPr>
              <w:t>Independently corroborated at order-of-magnitude area/power-ratio level [R9]; transient dynamics, exact optical properties, environment, capacitances and design validity remain open.</w:t>
            </w:r>
          </w:p>
        </w:tc>
      </w:tr>
      <w:tr>
        <w:tc>
          <w:tcPr>
            <w:tcW w:type="dxa" w:w="722"/>
            <w:tcMar>
              <w:top w:type="dxa" w:w="70"/>
              <w:left w:type="dxa" w:w="90"/>
              <w:bottom w:type="dxa" w:w="70"/>
              <w:right w:type="dxa" w:w="90"/>
            </w:tcMar>
          </w:tcPr>
          <w:p>
            <w:pPr>
              <w:spacing w:after="20" w:line="250"/>
            </w:pPr>
            <w:r>
              <w:rPr>
                <w:sz w:val="17"/>
                <w:szCs w:val="17"/>
              </w:rPr>
              <w:t>AS-03</w:t>
            </w:r>
          </w:p>
        </w:tc>
        <w:tc>
          <w:tcPr>
            <w:tcW w:type="dxa" w:w="2527"/>
            <w:tcMar>
              <w:top w:type="dxa" w:w="70"/>
              <w:left w:type="dxa" w:w="90"/>
              <w:bottom w:type="dxa" w:w="70"/>
              <w:right w:type="dxa" w:w="90"/>
            </w:tcMar>
            <w:vAlign w:val="center"/>
          </w:tcPr>
          <w:p>
            <w:r/>
            <w:r>
              <w:rPr>
                <w:rFonts w:ascii="Aptos" w:hAnsi="Aptos"/>
                <w:b w:val="0"/>
                <w:sz w:val="13"/>
              </w:rPr>
              <w:t>Representative benign workload scheduling may exhibit thermal- or power-aware temporal structure that correlates with orbital state.</w:t>
            </w:r>
          </w:p>
        </w:tc>
        <w:tc>
          <w:tcPr>
            <w:tcW w:type="dxa" w:w="2888"/>
            <w:tcMar>
              <w:top w:type="dxa" w:w="70"/>
              <w:left w:type="dxa" w:w="90"/>
              <w:bottom w:type="dxa" w:w="70"/>
              <w:right w:type="dxa" w:w="90"/>
            </w:tcMar>
          </w:tcPr>
          <w:p>
            <w:pPr>
              <w:spacing w:after="20" w:line="250"/>
            </w:pPr>
            <w:r>
              <w:rPr>
                <w:sz w:val="17"/>
                <w:szCs w:val="17"/>
              </w:rPr>
              <w:t>Changes false-positive behaviour of temporal features.</w:t>
            </w:r>
          </w:p>
        </w:tc>
        <w:tc>
          <w:tcPr>
            <w:tcW w:type="dxa" w:w="2888"/>
            <w:tcMar>
              <w:top w:type="dxa" w:w="70"/>
              <w:left w:type="dxa" w:w="90"/>
              <w:bottom w:type="dxa" w:w="70"/>
              <w:right w:type="dxa" w:w="90"/>
            </w:tcMar>
            <w:vAlign w:val="center"/>
          </w:tcPr>
          <w:p>
            <w:r/>
            <w:r>
              <w:rPr>
                <w:rFonts w:ascii="Aptos" w:hAnsi="Aptos"/>
                <w:b w:val="0"/>
                <w:sz w:val="13"/>
              </w:rPr>
              <w:t>Synthetic non-malicious counterexample demonstrated; terrestrial thermal-aware scheduling is independently established as a scheduling class [R19]; orbital operational prevalence unknown.</w:t>
            </w:r>
          </w:p>
        </w:tc>
      </w:tr>
      <w:tr>
        <w:tc>
          <w:tcPr>
            <w:tcW w:type="dxa" w:w="722"/>
            <w:tcMar>
              <w:top w:type="dxa" w:w="70"/>
              <w:left w:type="dxa" w:w="90"/>
              <w:bottom w:type="dxa" w:w="70"/>
              <w:right w:type="dxa" w:w="90"/>
            </w:tcMar>
          </w:tcPr>
          <w:p>
            <w:pPr>
              <w:spacing w:after="20" w:line="250"/>
            </w:pPr>
            <w:r>
              <w:rPr>
                <w:sz w:val="17"/>
                <w:szCs w:val="17"/>
              </w:rPr>
              <w:t xml:space="preserve">AS-04</w:t>
            </w:r>
          </w:p>
        </w:tc>
        <w:tc>
          <w:tcPr>
            <w:tcW w:type="dxa" w:w="2527"/>
            <w:tcMar>
              <w:top w:type="dxa" w:w="70"/>
              <w:left w:type="dxa" w:w="90"/>
              <w:bottom w:type="dxa" w:w="70"/>
              <w:right w:type="dxa" w:w="90"/>
            </w:tcMar>
          </w:tcPr>
          <w:p>
            <w:pPr>
              <w:spacing w:after="20" w:line="250"/>
            </w:pPr>
            <w:r>
              <w:rPr>
                <w:sz w:val="17"/>
                <w:szCs w:val="17"/>
              </w:rPr>
              <w:t xml:space="preserve">Realistic fault management includes no phase-aware check.</w:t>
            </w:r>
          </w:p>
        </w:tc>
        <w:tc>
          <w:tcPr>
            <w:tcW w:type="dxa" w:w="2888"/>
            <w:tcMar>
              <w:top w:type="dxa" w:w="70"/>
              <w:left w:type="dxa" w:w="90"/>
              <w:bottom w:type="dxa" w:w="70"/>
              <w:right w:type="dxa" w:w="90"/>
            </w:tcMar>
          </w:tcPr>
          <w:p>
            <w:pPr>
              <w:spacing w:after="20" w:line="250"/>
            </w:pPr>
            <w:r>
              <w:rPr>
                <w:sz w:val="17"/>
                <w:szCs w:val="17"/>
              </w:rPr>
              <w:t xml:space="preserve">Would reduce S-02 feasibility.</w:t>
            </w:r>
          </w:p>
        </w:tc>
        <w:tc>
          <w:tcPr>
            <w:tcW w:type="dxa" w:w="2888"/>
            <w:tcMar>
              <w:top w:type="dxa" w:w="70"/>
              <w:left w:type="dxa" w:w="90"/>
              <w:bottom w:type="dxa" w:w="70"/>
              <w:right w:type="dxa" w:w="90"/>
            </w:tcMar>
          </w:tcPr>
          <w:p>
            <w:pPr>
              <w:spacing w:after="20" w:line="250"/>
            </w:pPr>
            <w:r>
              <w:rPr>
                <w:sz w:val="17"/>
                <w:szCs w:val="17"/>
              </w:rPr>
              <w:t xml:space="preserve">Open</w:t>
            </w:r>
          </w:p>
        </w:tc>
      </w:tr>
      <w:tr>
        <w:tc>
          <w:tcPr>
            <w:tcW w:type="dxa" w:w="722"/>
            <w:tcMar>
              <w:top w:type="dxa" w:w="70"/>
              <w:left w:type="dxa" w:w="90"/>
              <w:bottom w:type="dxa" w:w="70"/>
              <w:right w:type="dxa" w:w="90"/>
            </w:tcMar>
          </w:tcPr>
          <w:p>
            <w:pPr>
              <w:spacing w:after="20" w:line="250"/>
            </w:pPr>
            <w:r>
              <w:rPr>
                <w:sz w:val="17"/>
                <w:szCs w:val="17"/>
              </w:rPr>
              <w:t xml:space="preserve">AS-05</w:t>
            </w:r>
          </w:p>
        </w:tc>
        <w:tc>
          <w:tcPr>
            <w:tcW w:type="dxa" w:w="2527"/>
            <w:tcMar>
              <w:top w:type="dxa" w:w="70"/>
              <w:left w:type="dxa" w:w="90"/>
              <w:bottom w:type="dxa" w:w="70"/>
              <w:right w:type="dxa" w:w="90"/>
            </w:tcMar>
          </w:tcPr>
          <w:p>
            <w:pPr>
              <w:spacing w:after="20" w:line="250"/>
            </w:pPr>
            <w:r>
              <w:rPr>
                <w:sz w:val="17"/>
                <w:szCs w:val="17"/>
              </w:rPr>
              <w:t xml:space="preserve">Orbital phase is derivable by a tenant and yields an exploitable thermal window.</w:t>
            </w:r>
          </w:p>
        </w:tc>
        <w:tc>
          <w:tcPr>
            <w:tcW w:type="dxa" w:w="2888"/>
            <w:tcMar>
              <w:top w:type="dxa" w:w="70"/>
              <w:left w:type="dxa" w:w="90"/>
              <w:bottom w:type="dxa" w:w="70"/>
              <w:right w:type="dxa" w:w="90"/>
            </w:tcMar>
          </w:tcPr>
          <w:p>
            <w:pPr>
              <w:spacing w:after="20" w:line="250"/>
            </w:pPr>
            <w:r>
              <w:rPr>
                <w:sz w:val="17"/>
                <w:szCs w:val="17"/>
              </w:rPr>
              <w:t xml:space="preserve">Removes the principal S-02 precondition.</w:t>
            </w:r>
          </w:p>
        </w:tc>
        <w:tc>
          <w:tcPr>
            <w:tcW w:type="dxa" w:w="2888"/>
            <w:tcMar>
              <w:top w:type="dxa" w:w="70"/>
              <w:left w:type="dxa" w:w="90"/>
              <w:bottom w:type="dxa" w:w="70"/>
              <w:right w:type="dxa" w:w="90"/>
            </w:tcMar>
          </w:tcPr>
          <w:p>
            <w:pPr>
              <w:spacing w:after="20" w:line="250"/>
            </w:pPr>
            <w:r>
              <w:rPr>
                <w:sz w:val="17"/>
                <w:szCs w:val="17"/>
              </w:rPr>
              <w:t xml:space="preserve">DOWNGRADED — first clause likely, second not established</w:t>
            </w:r>
          </w:p>
        </w:tc>
      </w:tr>
      <w:tr>
        <w:tc>
          <w:tcPr>
            <w:tcW w:type="dxa" w:w="722"/>
            <w:tcMar>
              <w:top w:type="dxa" w:w="70"/>
              <w:left w:type="dxa" w:w="90"/>
              <w:bottom w:type="dxa" w:w="70"/>
              <w:right w:type="dxa" w:w="90"/>
            </w:tcMar>
          </w:tcPr>
          <w:p>
            <w:pPr>
              <w:spacing w:after="20" w:line="250"/>
            </w:pPr>
            <w:r>
              <w:rPr>
                <w:sz w:val="17"/>
                <w:szCs w:val="17"/>
              </w:rPr>
              <w:t xml:space="preserve">AS-06</w:t>
            </w:r>
          </w:p>
        </w:tc>
        <w:tc>
          <w:tcPr>
            <w:tcW w:type="dxa" w:w="2527"/>
            <w:tcMar>
              <w:top w:type="dxa" w:w="70"/>
              <w:left w:type="dxa" w:w="90"/>
              <w:bottom w:type="dxa" w:w="70"/>
              <w:right w:type="dxa" w:w="90"/>
            </w:tcMar>
          </w:tcPr>
          <w:p>
            <w:pPr>
              <w:spacing w:after="20" w:line="250"/>
            </w:pPr>
            <w:r>
              <w:rPr>
                <w:sz w:val="17"/>
                <w:szCs w:val="17"/>
              </w:rPr>
              <w:t xml:space="preserve">Induced thermal cycling is not the dominant damage mode.</w:t>
            </w:r>
          </w:p>
        </w:tc>
        <w:tc>
          <w:tcPr>
            <w:tcW w:type="dxa" w:w="2888"/>
            <w:tcMar>
              <w:top w:type="dxa" w:w="70"/>
              <w:left w:type="dxa" w:w="90"/>
              <w:bottom w:type="dxa" w:w="70"/>
              <w:right w:type="dxa" w:w="90"/>
            </w:tcMar>
          </w:tcPr>
          <w:p>
            <w:pPr>
              <w:spacing w:after="20" w:line="250"/>
            </w:pPr>
            <w:r>
              <w:rPr>
                <w:sz w:val="17"/>
                <w:szCs w:val="17"/>
              </w:rPr>
              <w:t xml:space="preserve">Changes the impact mechanism from overtemperature to fatigue.</w:t>
            </w:r>
          </w:p>
        </w:tc>
        <w:tc>
          <w:tcPr>
            <w:tcW w:type="dxa" w:w="2888"/>
            <w:tcMar>
              <w:top w:type="dxa" w:w="70"/>
              <w:left w:type="dxa" w:w="90"/>
              <w:bottom w:type="dxa" w:w="70"/>
              <w:right w:type="dxa" w:w="90"/>
            </w:tcMar>
          </w:tcPr>
          <w:p>
            <w:pPr>
              <w:spacing w:after="20" w:line="250"/>
            </w:pPr>
            <w:r>
              <w:rPr>
                <w:sz w:val="17"/>
                <w:szCs w:val="17"/>
              </w:rPr>
              <w:t xml:space="preserve">Open</w:t>
            </w:r>
          </w:p>
        </w:tc>
      </w:tr>
      <w:tr>
        <w:tc>
          <w:tcPr>
            <w:tcW w:type="dxa" w:w="722"/>
            <w:tcMar>
              <w:top w:type="dxa" w:w="70"/>
              <w:left w:type="dxa" w:w="90"/>
              <w:bottom w:type="dxa" w:w="70"/>
              <w:right w:type="dxa" w:w="90"/>
            </w:tcMar>
          </w:tcPr>
          <w:p>
            <w:pPr>
              <w:spacing w:after="20" w:line="250"/>
            </w:pPr>
            <w:r>
              <w:rPr>
                <w:sz w:val="17"/>
                <w:szCs w:val="17"/>
              </w:rPr>
              <w:t>AS-07</w:t>
            </w:r>
          </w:p>
        </w:tc>
        <w:tc>
          <w:tcPr>
            <w:tcW w:type="dxa" w:w="2527"/>
            <w:tcMar>
              <w:top w:type="dxa" w:w="70"/>
              <w:left w:type="dxa" w:w="90"/>
              <w:bottom w:type="dxa" w:w="70"/>
              <w:right w:type="dxa" w:w="90"/>
            </w:tcMar>
          </w:tcPr>
          <w:p>
            <w:pPr>
              <w:spacing w:after="20" w:line="250"/>
            </w:pPr>
            <w:r>
              <w:rPr>
                <w:sz w:val="17"/>
                <w:szCs w:val="17"/>
              </w:rPr>
              <w:t>75 °C and 90 °C are convenient model thresholds for the reference protection experiment.</w:t>
            </w:r>
          </w:p>
        </w:tc>
        <w:tc>
          <w:tcPr>
            <w:tcW w:type="dxa" w:w="2888"/>
            <w:tcMar>
              <w:top w:type="dxa" w:w="70"/>
              <w:left w:type="dxa" w:w="90"/>
              <w:bottom w:type="dxa" w:w="70"/>
              <w:right w:type="dxa" w:w="90"/>
            </w:tcMar>
          </w:tcPr>
          <w:p>
            <w:pPr>
              <w:spacing w:after="20" w:line="250"/>
            </w:pPr>
            <w:r>
              <w:rPr>
                <w:sz w:val="17"/>
                <w:szCs w:val="17"/>
              </w:rPr>
              <w:t>Changes F-06 timing and any consequence statement tied to the thresholds.</w:t>
            </w:r>
          </w:p>
        </w:tc>
        <w:tc>
          <w:tcPr>
            <w:tcW w:type="dxa" w:w="2888"/>
            <w:tcMar>
              <w:top w:type="dxa" w:w="70"/>
              <w:left w:type="dxa" w:w="90"/>
              <w:bottom w:type="dxa" w:w="70"/>
              <w:right w:type="dxa" w:w="90"/>
            </w:tcMar>
          </w:tcPr>
          <w:p>
            <w:pPr>
              <w:spacing w:after="20" w:line="250"/>
            </w:pPr>
            <w:r>
              <w:rPr>
                <w:sz w:val="17"/>
                <w:szCs w:val="17"/>
              </w:rPr>
              <w:t>Explicit project assumption; not a generic hardware limit.</w:t>
            </w:r>
          </w:p>
        </w:tc>
      </w:tr>
      <w:tr>
        <w:tc>
          <w:tcPr>
            <w:tcW w:type="dxa" w:w="722"/>
          </w:tcPr>
          <w:p>
            <w:pPr>
              <w:spacing w:after="20" w:line="250"/>
            </w:pPr>
            <w:r>
              <w:rPr>
                <w:sz w:val="17"/>
                <w:szCs w:val="17"/>
              </w:rPr>
              <w:t>AS-08</w:t>
            </w:r>
          </w:p>
        </w:tc>
        <w:tc>
          <w:tcPr>
            <w:tcW w:type="dxa" w:w="2527"/>
          </w:tcPr>
          <w:p>
            <w:pPr>
              <w:spacing w:after="20" w:line="250"/>
            </w:pPr>
            <w:r>
              <w:rPr>
                <w:sz w:val="17"/>
                <w:szCs w:val="17"/>
              </w:rPr>
              <w:t>The two-level q_hot/q_cold environmental-flux abstraction captures enough of orbital thermal forcing for the mechanism experiment.</w:t>
            </w:r>
          </w:p>
        </w:tc>
        <w:tc>
          <w:tcPr>
            <w:tcW w:type="dxa" w:w="2888"/>
          </w:tcPr>
          <w:p>
            <w:pPr>
              <w:spacing w:after="20" w:line="250"/>
            </w:pPr>
            <w:r>
              <w:rPr>
                <w:sz w:val="17"/>
                <w:szCs w:val="17"/>
              </w:rPr>
              <w:t>A full view-factor/attitude/orbit model may change timing and magnitude.</w:t>
            </w:r>
          </w:p>
        </w:tc>
        <w:tc>
          <w:tcPr>
            <w:tcW w:type="dxa" w:w="2888"/>
          </w:tcPr>
          <w:p>
            <w:pPr>
              <w:spacing w:after="20" w:line="250"/>
            </w:pPr>
            <w:r>
              <w:rPr>
                <w:sz w:val="17"/>
                <w:szCs w:val="17"/>
              </w:rPr>
              <w:t>Open — exact 150/40 W/m² values are assumed.</w:t>
            </w:r>
          </w:p>
        </w:tc>
      </w:tr>
    </w:tbl>
    <w:p>
      <w:r>
        <w:br w:type="page"/>
      </w:r>
    </w:p>
    <w:p>
      <w:pPr>
        <w:pStyle w:val="Heading1"/>
      </w:pPr>
      <w:r>
        <w:t xml:space="preserve">Appendix A — TSM-01 Parameters, Provenance and Uncertainty</w:t>
      </w:r>
    </w:p>
    <w:p>
      <w:pPr>
        <w:spacing w:after="120" w:line="276"/>
      </w:pPr>
      <w:r>
        <w:rPr>
          <w:sz w:val="20"/>
          <w:szCs w:val="20"/>
        </w:rPr>
        <w:t>Exact TSM-01 baseline values are project assumptions unless this appendix names an independent source. NASA thermal guidance supports the heat-balance terms and radiative-rejection physics; independent 2026 orbital-compute literature provides order-of-magnitude context for high-power/radiator constraints. None validates this model as a flight design.</w:t>
      </w:r>
    </w:p>
    <w:tbl>
      <w:tblPr>
        <w:tblW w:type="dxa" w:w="9026"/>
        <w:jc w:val="center"/>
        <w:tblBorders>
          <w:top w:val="single" w:color="AAAAAA" w:sz="4"/>
          <w:left w:val="single" w:color="AAAAAA" w:sz="4"/>
          <w:bottom w:val="single" w:color="AAAAAA" w:sz="4"/>
          <w:right w:val="single" w:color="AAAAAA" w:sz="4"/>
          <w:insideH w:val="single" w:color="CCCCCC" w:sz="2"/>
          <w:insideV w:val="single" w:color="CCCCCC" w:sz="2"/>
        </w:tblBorders>
        <w:tblLayout w:type="fixed"/>
      </w:tblPr>
      <w:tblGrid>
        <w:gridCol w:w="1805"/>
        <w:gridCol w:w="1805"/>
        <w:gridCol w:w="3069"/>
        <w:gridCol w:w="2347"/>
      </w:tblGrid>
      <w:tr>
        <w:trPr>
          <w:tblHeader/>
          <w:tblHeader w:val="true"/>
        </w:trPr>
        <w:tc>
          <w:tcPr>
            <w:tcW w:type="dxa" w:w="1805"/>
            <w:shd w:fill="17365D" w:val="clear"/>
            <w:tcMar>
              <w:top w:type="dxa" w:w="50"/>
              <w:left w:type="dxa" w:w="90"/>
              <w:bottom w:type="dxa" w:w="50"/>
              <w:right w:type="dxa" w:w="90"/>
              <w:start w:w="75" w:type="dxa"/>
              <w:end w:w="75" w:type="dxa"/>
            </w:tcMar>
          </w:tcPr>
          <w:p>
            <w:pPr>
              <w:spacing w:after="20" w:line="250"/>
            </w:pPr>
            <w:r>
              <w:rPr>
                <w:b/>
                <w:bCs/>
                <w:color w:val="FFFFFF"/>
                <w:sz w:val="17"/>
                <w:szCs w:val="17"/>
              </w:rPr>
              <w:t xml:space="preserve">Parameter</w:t>
            </w:r>
          </w:p>
        </w:tc>
        <w:tc>
          <w:tcPr>
            <w:tcW w:type="dxa" w:w="1805"/>
            <w:shd w:fill="17365D" w:val="clear"/>
            <w:tcMar>
              <w:top w:type="dxa" w:w="50"/>
              <w:left w:type="dxa" w:w="90"/>
              <w:bottom w:type="dxa" w:w="50"/>
              <w:right w:type="dxa" w:w="90"/>
              <w:start w:w="75" w:type="dxa"/>
              <w:end w:w="75" w:type="dxa"/>
            </w:tcMar>
          </w:tcPr>
          <w:p>
            <w:pPr>
              <w:spacing w:after="20" w:line="250"/>
            </w:pPr>
            <w:r>
              <w:rPr>
                <w:b/>
                <w:bCs/>
                <w:color w:val="FFFFFF"/>
                <w:sz w:val="17"/>
                <w:szCs w:val="17"/>
              </w:rPr>
              <w:t xml:space="preserve">Value</w:t>
            </w:r>
          </w:p>
        </w:tc>
        <w:tc>
          <w:tcPr>
            <w:tcW w:type="dxa" w:w="3069"/>
            <w:shd w:fill="17365D" w:val="clear"/>
            <w:tcMar>
              <w:top w:type="dxa" w:w="50"/>
              <w:left w:type="dxa" w:w="90"/>
              <w:bottom w:type="dxa" w:w="50"/>
              <w:right w:type="dxa" w:w="90"/>
              <w:start w:w="75" w:type="dxa"/>
              <w:end w:w="75" w:type="dxa"/>
            </w:tcMar>
          </w:tcPr>
          <w:p>
            <w:pPr>
              <w:spacing w:after="20" w:line="250"/>
            </w:pPr>
            <w:r>
              <w:rPr>
                <w:b/>
                <w:bCs/>
                <w:color w:val="FFFFFF"/>
                <w:sz w:val="17"/>
                <w:szCs w:val="17"/>
              </w:rPr>
              <w:t xml:space="preserve">Basis</w:t>
            </w:r>
          </w:p>
        </w:tc>
        <w:tc>
          <w:tcPr>
            <w:tcW w:type="dxa" w:w="2347"/>
            <w:shd w:fill="17365D" w:val="clear"/>
            <w:tcMar>
              <w:top w:type="dxa" w:w="50"/>
              <w:left w:type="dxa" w:w="90"/>
              <w:bottom w:type="dxa" w:w="50"/>
              <w:right w:type="dxa" w:w="90"/>
              <w:start w:w="75" w:type="dxa"/>
              <w:end w:w="75" w:type="dxa"/>
            </w:tcMar>
          </w:tcPr>
          <w:p>
            <w:pPr>
              <w:spacing w:after="20" w:line="250"/>
            </w:pPr>
            <w:r>
              <w:rPr>
                <w:b/>
                <w:bCs/>
                <w:color w:val="FFFFFF"/>
                <w:sz w:val="17"/>
                <w:szCs w:val="17"/>
              </w:rPr>
              <w:t xml:space="preserve">Uncertainty / sensitivity</w:t>
            </w:r>
          </w:p>
        </w:tc>
      </w:tr>
      <w:tr>
        <w:tc>
          <w:tcPr>
            <w:tcW w:type="dxa" w:w="1805"/>
            <w:tcMar>
              <w:top w:type="dxa" w:w="50"/>
              <w:left w:type="dxa" w:w="90"/>
              <w:bottom w:type="dxa" w:w="50"/>
              <w:right w:type="dxa" w:w="90"/>
              <w:start w:w="75" w:type="dxa"/>
              <w:end w:w="75" w:type="dxa"/>
            </w:tcMar>
          </w:tcPr>
          <w:p>
            <w:pPr>
              <w:spacing w:after="20" w:line="250"/>
            </w:pPr>
            <w:r>
              <w:rPr>
                <w:sz w:val="17"/>
                <w:szCs w:val="17"/>
              </w:rPr>
              <w:t>Radiator effective area</w:t>
            </w:r>
          </w:p>
        </w:tc>
        <w:tc>
          <w:tcPr>
            <w:tcW w:type="dxa" w:w="1805"/>
            <w:tcMar>
              <w:top w:type="dxa" w:w="50"/>
              <w:left w:type="dxa" w:w="90"/>
              <w:bottom w:type="dxa" w:w="50"/>
              <w:right w:type="dxa" w:w="90"/>
              <w:start w:w="75" w:type="dxa"/>
              <w:end w:w="75" w:type="dxa"/>
            </w:tcMar>
          </w:tcPr>
          <w:p>
            <w:pPr>
              <w:spacing w:after="20" w:line="250"/>
            </w:pPr>
            <w:r>
              <w:rPr>
                <w:sz w:val="17"/>
                <w:szCs w:val="17"/>
              </w:rPr>
              <w:t>100 m² baseline; 80–130 m² swept</w:t>
            </w:r>
          </w:p>
        </w:tc>
        <w:tc>
          <w:tcPr>
            <w:tcW w:type="dxa" w:w="3069"/>
            <w:tcMar>
              <w:top w:type="dxa" w:w="50"/>
              <w:left w:type="dxa" w:w="90"/>
              <w:bottom w:type="dxa" w:w="50"/>
              <w:right w:type="dxa" w:w="90"/>
              <w:start w:w="75" w:type="dxa"/>
              <w:end w:w="75" w:type="dxa"/>
            </w:tcMar>
            <w:vAlign w:val="center"/>
          </w:tcPr>
          <w:p>
            <w:r/>
            <w:r>
              <w:rPr>
                <w:rFonts w:ascii="Aptos" w:hAnsi="Aptos"/>
                <w:b w:val="0"/>
                <w:sz w:val="12"/>
              </w:rPr>
              <w:t>ASSUMED baseline. Turyshev (2026) gives an independent representative 1 MW case with 2,500 m² radiator area = 2.5 m²/kW, numerically matching TSM-01’s 100 m² / 40 kW area-to-IT-power ratio. This is order-of-magnitude corroboration only, not calibration of transient dynamics or exact radiator properties. Turyshev is a JPL research scientist [R9][R20].</w:t>
            </w:r>
          </w:p>
        </w:tc>
        <w:tc>
          <w:tcPr>
            <w:tcW w:type="dxa" w:w="2347"/>
            <w:tcMar>
              <w:top w:type="dxa" w:w="50"/>
              <w:left w:type="dxa" w:w="90"/>
              <w:bottom w:type="dxa" w:w="50"/>
              <w:right w:type="dxa" w:w="90"/>
              <w:start w:w="75" w:type="dxa"/>
              <w:end w:w="75" w:type="dxa"/>
            </w:tcMar>
            <w:vAlign w:val="center"/>
          </w:tcPr>
          <w:p>
            <w:r/>
            <w:r>
              <w:rPr>
                <w:rFonts w:ascii="Aptos" w:hAnsi="Aptos"/>
                <w:b w:val="0"/>
                <w:sz w:val="12"/>
              </w:rPr>
              <w:t>Sensitivity entries: A=130 m² is a single-factor area case; A=80 m² / ε=0.75 is a joint case; together with the baseline they form a 14.16–16.79 K radiator slice (2.63 K span).</w:t>
            </w:r>
          </w:p>
        </w:tc>
      </w:tr>
      <w:tr>
        <w:tc>
          <w:tcPr>
            <w:tcW w:type="dxa" w:w="1805"/>
            <w:tcMar>
              <w:top w:type="dxa" w:w="50"/>
              <w:left w:type="dxa" w:w="90"/>
              <w:bottom w:type="dxa" w:w="50"/>
              <w:right w:type="dxa" w:w="90"/>
              <w:start w:w="75" w:type="dxa"/>
              <w:end w:w="75" w:type="dxa"/>
            </w:tcMar>
            <w:shd w:fill="EAF0F5"/>
          </w:tcPr>
          <w:p>
            <w:pPr>
              <w:spacing w:after="20" w:line="250"/>
            </w:pPr>
            <w:r>
              <w:rPr>
                <w:sz w:val="17"/>
                <w:szCs w:val="17"/>
              </w:rPr>
              <w:t>Radiator emissivity</w:t>
            </w:r>
          </w:p>
        </w:tc>
        <w:tc>
          <w:tcPr>
            <w:tcW w:type="dxa" w:w="1805"/>
            <w:tcMar>
              <w:top w:type="dxa" w:w="50"/>
              <w:left w:type="dxa" w:w="90"/>
              <w:bottom w:type="dxa" w:w="50"/>
              <w:right w:type="dxa" w:w="90"/>
              <w:start w:w="75" w:type="dxa"/>
              <w:end w:w="75" w:type="dxa"/>
            </w:tcMar>
            <w:shd w:fill="EAF0F5"/>
          </w:tcPr>
          <w:p>
            <w:pPr>
              <w:spacing w:after="20" w:line="250"/>
            </w:pPr>
            <w:r>
              <w:rPr>
                <w:sz w:val="17"/>
                <w:szCs w:val="17"/>
              </w:rPr>
              <w:t>0.85 baseline; 0.75–0.85 swept</w:t>
            </w:r>
          </w:p>
        </w:tc>
        <w:tc>
          <w:tcPr>
            <w:tcW w:type="dxa" w:w="3069"/>
            <w:tcMar>
              <w:top w:type="dxa" w:w="50"/>
              <w:left w:type="dxa" w:w="90"/>
              <w:bottom w:type="dxa" w:w="50"/>
              <w:right w:type="dxa" w:w="90"/>
              <w:start w:w="75" w:type="dxa"/>
              <w:end w:w="75" w:type="dxa"/>
            </w:tcMar>
            <w:shd w:fill="EAF0F5"/>
          </w:tcPr>
          <w:p>
            <w:pPr>
              <w:spacing w:after="20" w:line="250"/>
            </w:pPr>
            <w:r>
              <w:rPr>
                <w:sz w:val="17"/>
                <w:szCs w:val="17"/>
              </w:rPr>
              <w:t>ASSUMED exact values. NASA thermal guidance supports high-IR-emissivity radiator surfaces and radiative heat rejection, not ε = 0.85 for this design. [R12]</w:t>
            </w:r>
          </w:p>
        </w:tc>
        <w:tc>
          <w:tcPr>
            <w:tcW w:type="dxa" w:w="2347"/>
            <w:tcMar>
              <w:top w:type="dxa" w:w="50"/>
              <w:left w:type="dxa" w:w="90"/>
              <w:bottom w:type="dxa" w:w="50"/>
              <w:right w:type="dxa" w:w="90"/>
              <w:start w:w="75" w:type="dxa"/>
              <w:end w:w="75" w:type="dxa"/>
            </w:tcMar>
            <w:shd w:fill="EAF0F5"/>
          </w:tcPr>
          <w:p>
            <w:pPr>
              <w:spacing w:after="20" w:line="250"/>
            </w:pPr>
            <w:r>
              <w:rPr>
                <w:sz w:val="17"/>
                <w:szCs w:val="17"/>
              </w:rPr>
              <w:t>Swept; effective radiative coefficient σ = 7 % in illustrative Monte Carlo.</w:t>
            </w:r>
          </w:p>
        </w:tc>
      </w:tr>
      <w:tr>
        <w:tc>
          <w:tcPr>
            <w:tcW w:type="dxa" w:w="1805"/>
            <w:tcMar>
              <w:top w:type="dxa" w:w="50"/>
              <w:left w:type="dxa" w:w="90"/>
              <w:bottom w:type="dxa" w:w="50"/>
              <w:right w:type="dxa" w:w="90"/>
              <w:start w:w="75" w:type="dxa"/>
              <w:end w:w="75" w:type="dxa"/>
            </w:tcMar>
          </w:tcPr>
          <w:p>
            <w:pPr>
              <w:spacing w:after="20" w:line="250"/>
            </w:pPr>
            <w:r>
              <w:rPr>
                <w:sz w:val="17"/>
                <w:szCs w:val="17"/>
              </w:rPr>
              <w:t>Node thermal capacitance</w:t>
            </w:r>
          </w:p>
        </w:tc>
        <w:tc>
          <w:tcPr>
            <w:tcW w:type="dxa" w:w="1805"/>
            <w:tcMar>
              <w:top w:type="dxa" w:w="50"/>
              <w:left w:type="dxa" w:w="90"/>
              <w:bottom w:type="dxa" w:w="50"/>
              <w:right w:type="dxa" w:w="90"/>
              <w:start w:w="75" w:type="dxa"/>
              <w:end w:w="75" w:type="dxa"/>
            </w:tcMar>
          </w:tcPr>
          <w:p>
            <w:pPr>
              <w:spacing w:after="20" w:line="250"/>
            </w:pPr>
            <w:r>
              <w:rPr>
                <w:sz w:val="17"/>
                <w:szCs w:val="17"/>
              </w:rPr>
              <w:t>3.6 × 10⁵ J/K</w:t>
            </w:r>
          </w:p>
        </w:tc>
        <w:tc>
          <w:tcPr>
            <w:tcW w:type="dxa" w:w="3069"/>
            <w:tcMar>
              <w:top w:type="dxa" w:w="50"/>
              <w:left w:type="dxa" w:w="90"/>
              <w:bottom w:type="dxa" w:w="50"/>
              <w:right w:type="dxa" w:w="90"/>
              <w:start w:w="75" w:type="dxa"/>
              <w:end w:w="75" w:type="dxa"/>
            </w:tcMar>
          </w:tcPr>
          <w:p>
            <w:pPr>
              <w:spacing w:after="20" w:line="250"/>
            </w:pPr>
            <w:r>
              <w:rPr>
                <w:sz w:val="17"/>
                <w:szCs w:val="17"/>
              </w:rPr>
              <w:t>ASSUMED — node/coldplate/coolant lump (AS-01).</w:t>
            </w:r>
          </w:p>
        </w:tc>
        <w:tc>
          <w:tcPr>
            <w:tcW w:type="dxa" w:w="2347"/>
            <w:tcMar>
              <w:top w:type="dxa" w:w="50"/>
              <w:left w:type="dxa" w:w="90"/>
              <w:bottom w:type="dxa" w:w="50"/>
              <w:right w:type="dxa" w:w="90"/>
              <w:start w:w="75" w:type="dxa"/>
              <w:end w:w="75" w:type="dxa"/>
            </w:tcMar>
            <w:vAlign w:val="center"/>
          </w:tcPr>
          <w:p>
            <w:r/>
            <w:r>
              <w:rPr>
                <w:rFonts w:ascii="Aptos" w:hAnsi="Aptos"/>
                <w:b w:val="0"/>
                <w:sz w:val="12"/>
              </w:rPr>
              <w:t>Single-factor local slice around baseline: 12.75–15.76 K (3.01 K span).</w:t>
            </w:r>
          </w:p>
        </w:tc>
      </w:tr>
      <w:tr>
        <w:tc>
          <w:tcPr>
            <w:tcW w:type="dxa" w:w="1805"/>
            <w:tcMar>
              <w:top w:type="dxa" w:w="50"/>
              <w:left w:type="dxa" w:w="90"/>
              <w:bottom w:type="dxa" w:w="50"/>
              <w:right w:type="dxa" w:w="90"/>
              <w:start w:w="75" w:type="dxa"/>
              <w:end w:w="75" w:type="dxa"/>
            </w:tcMar>
            <w:shd w:fill="EAF0F5"/>
          </w:tcPr>
          <w:p>
            <w:pPr>
              <w:spacing w:after="20" w:line="250"/>
            </w:pPr>
            <w:r>
              <w:rPr>
                <w:sz w:val="17"/>
                <w:szCs w:val="17"/>
              </w:rPr>
              <w:t>Radiator capacitance</w:t>
            </w:r>
          </w:p>
        </w:tc>
        <w:tc>
          <w:tcPr>
            <w:tcW w:type="dxa" w:w="1805"/>
            <w:tcMar>
              <w:top w:type="dxa" w:w="50"/>
              <w:left w:type="dxa" w:w="90"/>
              <w:bottom w:type="dxa" w:w="50"/>
              <w:right w:type="dxa" w:w="90"/>
              <w:start w:w="75" w:type="dxa"/>
              <w:end w:w="75" w:type="dxa"/>
            </w:tcMar>
            <w:shd w:fill="EAF0F5"/>
          </w:tcPr>
          <w:p>
            <w:pPr>
              <w:spacing w:after="20" w:line="250"/>
            </w:pPr>
            <w:r>
              <w:rPr>
                <w:sz w:val="17"/>
                <w:szCs w:val="17"/>
              </w:rPr>
              <w:t>2.25 × 10⁵ J/K</w:t>
            </w:r>
          </w:p>
        </w:tc>
        <w:tc>
          <w:tcPr>
            <w:tcW w:type="dxa" w:w="3069"/>
            <w:tcMar>
              <w:top w:type="dxa" w:w="50"/>
              <w:left w:type="dxa" w:w="90"/>
              <w:bottom w:type="dxa" w:w="50"/>
              <w:right w:type="dxa" w:w="90"/>
              <w:start w:w="75" w:type="dxa"/>
              <w:end w:w="75" w:type="dxa"/>
            </w:tcMar>
            <w:shd w:fill="EAF0F5"/>
          </w:tcPr>
          <w:p>
            <w:pPr>
              <w:spacing w:after="20" w:line="250"/>
            </w:pPr>
            <w:r>
              <w:rPr>
                <w:sz w:val="17"/>
                <w:szCs w:val="17"/>
              </w:rPr>
              <w:t>ASSUMED — lumped radiator structure.</w:t>
            </w:r>
          </w:p>
        </w:tc>
        <w:tc>
          <w:tcPr>
            <w:tcW w:type="dxa" w:w="2347"/>
            <w:tcMar>
              <w:top w:type="dxa" w:w="50"/>
              <w:left w:type="dxa" w:w="90"/>
              <w:bottom w:type="dxa" w:w="50"/>
              <w:right w:type="dxa" w:w="90"/>
              <w:start w:w="75" w:type="dxa"/>
              <w:end w:w="75" w:type="dxa"/>
            </w:tcMar>
            <w:shd w:fill="EAF0F5"/>
          </w:tcPr>
          <w:p>
            <w:pPr>
              <w:spacing w:after="20" w:line="250"/>
            </w:pPr>
            <w:r>
              <w:rPr>
                <w:sz w:val="17"/>
                <w:szCs w:val="17"/>
              </w:rPr>
              <w:t>Not swept in v0.4.3.</w:t>
            </w:r>
          </w:p>
        </w:tc>
      </w:tr>
      <w:tr>
        <w:tc>
          <w:tcPr>
            <w:tcW w:type="dxa" w:w="1805"/>
            <w:tcMar>
              <w:top w:type="dxa" w:w="50"/>
              <w:left w:type="dxa" w:w="90"/>
              <w:bottom w:type="dxa" w:w="50"/>
              <w:right w:type="dxa" w:w="90"/>
              <w:start w:w="75" w:type="dxa"/>
              <w:end w:w="75" w:type="dxa"/>
            </w:tcMar>
          </w:tcPr>
          <w:p>
            <w:pPr>
              <w:spacing w:after="20" w:line="250"/>
            </w:pPr>
            <w:r>
              <w:rPr>
                <w:sz w:val="17"/>
                <w:szCs w:val="17"/>
              </w:rPr>
              <w:t>Loop conductance</w:t>
            </w:r>
          </w:p>
        </w:tc>
        <w:tc>
          <w:tcPr>
            <w:tcW w:type="dxa" w:w="1805"/>
            <w:tcMar>
              <w:top w:type="dxa" w:w="50"/>
              <w:left w:type="dxa" w:w="90"/>
              <w:bottom w:type="dxa" w:w="50"/>
              <w:right w:type="dxa" w:w="90"/>
              <w:start w:w="75" w:type="dxa"/>
              <w:end w:w="75" w:type="dxa"/>
            </w:tcMar>
          </w:tcPr>
          <w:p>
            <w:pPr>
              <w:spacing w:after="20" w:line="250"/>
            </w:pPr>
            <w:r>
              <w:rPr>
                <w:sz w:val="17"/>
                <w:szCs w:val="17"/>
              </w:rPr>
              <w:t>3 000 W/K</w:t>
            </w:r>
          </w:p>
        </w:tc>
        <w:tc>
          <w:tcPr>
            <w:tcW w:type="dxa" w:w="3069"/>
            <w:tcMar>
              <w:top w:type="dxa" w:w="50"/>
              <w:left w:type="dxa" w:w="90"/>
              <w:bottom w:type="dxa" w:w="50"/>
              <w:right w:type="dxa" w:w="90"/>
              <w:start w:w="75" w:type="dxa"/>
              <w:end w:w="75" w:type="dxa"/>
            </w:tcMar>
          </w:tcPr>
          <w:p>
            <w:pPr>
              <w:spacing w:after="20" w:line="250"/>
            </w:pPr>
            <w:r>
              <w:rPr>
                <w:sz w:val="17"/>
                <w:szCs w:val="17"/>
              </w:rPr>
              <w:t>ASSUMED — lumped conductance.</w:t>
            </w:r>
          </w:p>
        </w:tc>
        <w:tc>
          <w:tcPr>
            <w:tcW w:type="dxa" w:w="2347"/>
            <w:tcMar>
              <w:top w:type="dxa" w:w="50"/>
              <w:left w:type="dxa" w:w="90"/>
              <w:bottom w:type="dxa" w:w="50"/>
              <w:right w:type="dxa" w:w="90"/>
              <w:start w:w="75" w:type="dxa"/>
              <w:end w:w="75" w:type="dxa"/>
            </w:tcMar>
            <w:vAlign w:val="center"/>
          </w:tcPr>
          <w:p>
            <w:r/>
            <w:r>
              <w:rPr>
                <w:rFonts w:ascii="Aptos" w:hAnsi="Aptos"/>
                <w:b w:val="0"/>
                <w:sz w:val="12"/>
              </w:rPr>
              <w:t>Single-factor local slice around baseline: 14.23–17.82 K (3.59 K span).</w:t>
            </w:r>
          </w:p>
        </w:tc>
      </w:tr>
      <w:tr>
        <w:tc>
          <w:tcPr>
            <w:tcW w:type="dxa" w:w="1805"/>
            <w:tcMar>
              <w:top w:type="dxa" w:w="50"/>
              <w:left w:type="dxa" w:w="90"/>
              <w:bottom w:type="dxa" w:w="50"/>
              <w:right w:type="dxa" w:w="90"/>
              <w:start w:w="75" w:type="dxa"/>
              <w:end w:w="75" w:type="dxa"/>
            </w:tcMar>
            <w:shd w:fill="EAF0F5"/>
          </w:tcPr>
          <w:p>
            <w:pPr>
              <w:spacing w:after="20" w:line="250"/>
            </w:pPr>
            <w:r>
              <w:rPr>
                <w:sz w:val="17"/>
                <w:szCs w:val="17"/>
              </w:rPr>
              <w:t>Compute design point</w:t>
            </w:r>
          </w:p>
        </w:tc>
        <w:tc>
          <w:tcPr>
            <w:tcW w:type="dxa" w:w="1805"/>
            <w:tcMar>
              <w:top w:type="dxa" w:w="50"/>
              <w:left w:type="dxa" w:w="90"/>
              <w:bottom w:type="dxa" w:w="50"/>
              <w:right w:type="dxa" w:w="90"/>
              <w:start w:w="75" w:type="dxa"/>
              <w:end w:w="75" w:type="dxa"/>
            </w:tcMar>
            <w:shd w:fill="EAF0F5"/>
          </w:tcPr>
          <w:p>
            <w:pPr>
              <w:spacing w:after="20" w:line="250"/>
            </w:pPr>
            <w:r>
              <w:rPr>
                <w:sz w:val="17"/>
                <w:szCs w:val="17"/>
              </w:rPr>
              <w:t>40 kW</w:t>
            </w:r>
          </w:p>
        </w:tc>
        <w:tc>
          <w:tcPr>
            <w:tcW w:type="dxa" w:w="3069"/>
            <w:tcMar>
              <w:top w:type="dxa" w:w="50"/>
              <w:left w:type="dxa" w:w="90"/>
              <w:bottom w:type="dxa" w:w="50"/>
              <w:right w:type="dxa" w:w="90"/>
              <w:start w:w="75" w:type="dxa"/>
              <w:end w:w="75" w:type="dxa"/>
            </w:tcMar>
            <w:shd w:fill="EAF0F5"/>
          </w:tcPr>
          <w:p>
            <w:pPr>
              <w:spacing w:after="20" w:line="250"/>
            </w:pPr>
            <w:r>
              <w:rPr>
                <w:sz w:val="17"/>
                <w:szCs w:val="17"/>
              </w:rPr>
              <w:t>ASSUMED exact value. Independent 2026 work confirms that high-power orbital compute is thermally constrained and radiator-coupled, but does not validate 40 kW. [R10][R11]</w:t>
            </w:r>
          </w:p>
        </w:tc>
        <w:tc>
          <w:tcPr>
            <w:tcW w:type="dxa" w:w="2347"/>
            <w:tcMar>
              <w:top w:type="dxa" w:w="50"/>
              <w:left w:type="dxa" w:w="90"/>
              <w:bottom w:type="dxa" w:w="50"/>
              <w:right w:type="dxa" w:w="90"/>
              <w:start w:w="75" w:type="dxa"/>
              <w:end w:w="75" w:type="dxa"/>
            </w:tcMar>
            <w:vAlign w:val="center"/>
            <w:shd w:fill="EAF0F5"/>
          </w:tcPr>
          <w:p>
            <w:r/>
            <w:r>
              <w:rPr>
                <w:rFonts w:ascii="Aptos" w:hAnsi="Aptos"/>
                <w:b w:val="0"/>
                <w:sz w:val="12"/>
              </w:rPr>
              <w:t>Power-related sensitivity is dominant in the tested set: 36–45 kW design-point cases contribute to an 8.03–23.68 K power-group range when combined with P_avg=34 kW and baseline.</w:t>
            </w:r>
          </w:p>
        </w:tc>
      </w:tr>
      <w:tr>
        <w:tc>
          <w:tcPr>
            <w:tcW w:type="dxa" w:w="1805"/>
            <w:tcMar>
              <w:top w:type="dxa" w:w="50"/>
              <w:left w:type="dxa" w:w="90"/>
              <w:bottom w:type="dxa" w:w="50"/>
              <w:right w:type="dxa" w:w="90"/>
              <w:start w:w="75" w:type="dxa"/>
              <w:end w:w="75" w:type="dxa"/>
            </w:tcMar>
          </w:tcPr>
          <w:p>
            <w:pPr>
              <w:spacing w:after="20" w:line="250"/>
            </w:pPr>
            <w:r>
              <w:rPr>
                <w:sz w:val="17"/>
                <w:szCs w:val="17"/>
              </w:rPr>
              <w:t>Diversified average</w:t>
            </w:r>
          </w:p>
        </w:tc>
        <w:tc>
          <w:tcPr>
            <w:tcW w:type="dxa" w:w="1805"/>
            <w:tcMar>
              <w:top w:type="dxa" w:w="50"/>
              <w:left w:type="dxa" w:w="90"/>
              <w:bottom w:type="dxa" w:w="50"/>
              <w:right w:type="dxa" w:w="90"/>
              <w:start w:w="75" w:type="dxa"/>
              <w:end w:w="75" w:type="dxa"/>
            </w:tcMar>
          </w:tcPr>
          <w:p>
            <w:pPr>
              <w:spacing w:after="20" w:line="250"/>
            </w:pPr>
            <w:r>
              <w:rPr>
                <w:sz w:val="17"/>
                <w:szCs w:val="17"/>
              </w:rPr>
              <w:t>30 kW</w:t>
            </w:r>
          </w:p>
        </w:tc>
        <w:tc>
          <w:tcPr>
            <w:tcW w:type="dxa" w:w="3069"/>
            <w:tcMar>
              <w:top w:type="dxa" w:w="50"/>
              <w:left w:type="dxa" w:w="90"/>
              <w:bottom w:type="dxa" w:w="50"/>
              <w:right w:type="dxa" w:w="90"/>
              <w:start w:w="75" w:type="dxa"/>
              <w:end w:w="75" w:type="dxa"/>
            </w:tcMar>
          </w:tcPr>
          <w:p>
            <w:pPr>
              <w:spacing w:after="20" w:line="250"/>
            </w:pPr>
            <w:r>
              <w:rPr>
                <w:sz w:val="17"/>
                <w:szCs w:val="17"/>
              </w:rPr>
              <w:t>ASSUMED — synthetic utilisation point.</w:t>
            </w:r>
          </w:p>
        </w:tc>
        <w:tc>
          <w:tcPr>
            <w:tcW w:type="dxa" w:w="2347"/>
            <w:tcMar>
              <w:top w:type="dxa" w:w="50"/>
              <w:left w:type="dxa" w:w="90"/>
              <w:bottom w:type="dxa" w:w="50"/>
              <w:right w:type="dxa" w:w="90"/>
              <w:start w:w="75" w:type="dxa"/>
              <w:end w:w="75" w:type="dxa"/>
            </w:tcMar>
            <w:vAlign w:val="center"/>
          </w:tcPr>
          <w:p>
            <w:r/>
            <w:r>
              <w:rPr>
                <w:rFonts w:ascii="Aptos" w:hAnsi="Aptos"/>
                <w:b w:val="0"/>
                <w:sz w:val="12"/>
              </w:rPr>
              <w:t>P_avg=34 kW gives 8.03 K; together with baseline and P_design cases, the power-related group spans 15.65 K and sets both extremes of the overall sensitivity range.</w:t>
            </w:r>
          </w:p>
        </w:tc>
      </w:tr>
      <w:tr>
        <w:tc>
          <w:tcPr>
            <w:tcW w:type="dxa" w:w="1805"/>
            <w:tcMar>
              <w:top w:type="dxa" w:w="50"/>
              <w:left w:type="dxa" w:w="90"/>
              <w:bottom w:type="dxa" w:w="50"/>
              <w:right w:type="dxa" w:w="90"/>
              <w:start w:w="75" w:type="dxa"/>
              <w:end w:w="75" w:type="dxa"/>
            </w:tcMar>
            <w:shd w:fill="EAF0F5"/>
          </w:tcPr>
          <w:p>
            <w:pPr>
              <w:spacing w:after="20" w:line="250"/>
            </w:pPr>
            <w:r>
              <w:rPr>
                <w:sz w:val="17"/>
                <w:szCs w:val="17"/>
              </w:rPr>
              <w:t>Housekeeping load</w:t>
            </w:r>
          </w:p>
        </w:tc>
        <w:tc>
          <w:tcPr>
            <w:tcW w:type="dxa" w:w="1805"/>
            <w:tcMar>
              <w:top w:type="dxa" w:w="50"/>
              <w:left w:type="dxa" w:w="90"/>
              <w:bottom w:type="dxa" w:w="50"/>
              <w:right w:type="dxa" w:w="90"/>
              <w:start w:w="75" w:type="dxa"/>
              <w:end w:w="75" w:type="dxa"/>
            </w:tcMar>
            <w:shd w:fill="EAF0F5"/>
          </w:tcPr>
          <w:p>
            <w:pPr>
              <w:spacing w:after="20" w:line="250"/>
            </w:pPr>
            <w:r>
              <w:rPr>
                <w:sz w:val="17"/>
                <w:szCs w:val="17"/>
              </w:rPr>
              <w:t>2 kW</w:t>
            </w:r>
          </w:p>
        </w:tc>
        <w:tc>
          <w:tcPr>
            <w:tcW w:type="dxa" w:w="3069"/>
            <w:tcMar>
              <w:top w:type="dxa" w:w="50"/>
              <w:left w:type="dxa" w:w="90"/>
              <w:bottom w:type="dxa" w:w="50"/>
              <w:right w:type="dxa" w:w="90"/>
              <w:start w:w="75" w:type="dxa"/>
              <w:end w:w="75" w:type="dxa"/>
            </w:tcMar>
            <w:shd w:fill="EAF0F5"/>
          </w:tcPr>
          <w:p>
            <w:pPr>
              <w:spacing w:after="20" w:line="250"/>
            </w:pPr>
            <w:r>
              <w:rPr>
                <w:sz w:val="17"/>
                <w:szCs w:val="17"/>
              </w:rPr>
              <w:t>ASSUMED.</w:t>
            </w:r>
          </w:p>
        </w:tc>
        <w:tc>
          <w:tcPr>
            <w:tcW w:type="dxa" w:w="2347"/>
            <w:tcMar>
              <w:top w:type="dxa" w:w="50"/>
              <w:left w:type="dxa" w:w="90"/>
              <w:bottom w:type="dxa" w:w="50"/>
              <w:right w:type="dxa" w:w="90"/>
              <w:start w:w="75" w:type="dxa"/>
              <w:end w:w="75" w:type="dxa"/>
            </w:tcMar>
            <w:shd w:fill="EAF0F5"/>
          </w:tcPr>
          <w:p>
            <w:pPr>
              <w:spacing w:after="20" w:line="250"/>
            </w:pPr>
            <w:r>
              <w:rPr>
                <w:sz w:val="17"/>
                <w:szCs w:val="17"/>
              </w:rPr>
              <w:t>Not swept.</w:t>
            </w:r>
          </w:p>
        </w:tc>
      </w:tr>
      <w:tr>
        <w:tc>
          <w:tcPr>
            <w:tcW w:type="dxa" w:w="1805"/>
            <w:tcMar>
              <w:top w:type="dxa" w:w="50"/>
              <w:left w:type="dxa" w:w="90"/>
              <w:bottom w:type="dxa" w:w="50"/>
              <w:right w:type="dxa" w:w="90"/>
              <w:start w:w="75" w:type="dxa"/>
              <w:end w:w="75" w:type="dxa"/>
            </w:tcMar>
          </w:tcPr>
          <w:p>
            <w:pPr>
              <w:spacing w:after="20" w:line="250"/>
            </w:pPr>
            <w:r>
              <w:rPr>
                <w:sz w:val="17"/>
                <w:szCs w:val="17"/>
              </w:rPr>
              <w:t>Throttle threshold</w:t>
            </w:r>
          </w:p>
        </w:tc>
        <w:tc>
          <w:tcPr>
            <w:tcW w:type="dxa" w:w="1805"/>
            <w:tcMar>
              <w:top w:type="dxa" w:w="50"/>
              <w:left w:type="dxa" w:w="90"/>
              <w:bottom w:type="dxa" w:w="50"/>
              <w:right w:type="dxa" w:w="90"/>
              <w:start w:w="75" w:type="dxa"/>
              <w:end w:w="75" w:type="dxa"/>
            </w:tcMar>
          </w:tcPr>
          <w:p>
            <w:pPr>
              <w:spacing w:after="20" w:line="250"/>
            </w:pPr>
            <w:r>
              <w:rPr>
                <w:sz w:val="17"/>
                <w:szCs w:val="17"/>
              </w:rPr>
              <w:t>75 °C</w:t>
            </w:r>
          </w:p>
        </w:tc>
        <w:tc>
          <w:tcPr>
            <w:tcW w:type="dxa" w:w="3069"/>
            <w:tcMar>
              <w:top w:type="dxa" w:w="50"/>
              <w:left w:type="dxa" w:w="90"/>
              <w:bottom w:type="dxa" w:w="50"/>
              <w:right w:type="dxa" w:w="90"/>
              <w:start w:w="75" w:type="dxa"/>
              <w:end w:w="75" w:type="dxa"/>
            </w:tcMar>
          </w:tcPr>
          <w:p>
            <w:pPr>
              <w:spacing w:after="20" w:line="250"/>
            </w:pPr>
            <w:r>
              <w:rPr>
                <w:sz w:val="17"/>
                <w:szCs w:val="17"/>
              </w:rPr>
              <w:t>ASSUMED model threshold; not generic hardware throttling value.</w:t>
            </w:r>
          </w:p>
        </w:tc>
        <w:tc>
          <w:tcPr>
            <w:tcW w:type="dxa" w:w="2347"/>
            <w:tcMar>
              <w:top w:type="dxa" w:w="50"/>
              <w:left w:type="dxa" w:w="90"/>
              <w:bottom w:type="dxa" w:w="50"/>
              <w:right w:type="dxa" w:w="90"/>
              <w:start w:w="75" w:type="dxa"/>
              <w:end w:w="75" w:type="dxa"/>
            </w:tcMar>
          </w:tcPr>
          <w:p>
            <w:pPr>
              <w:spacing w:after="20" w:line="250"/>
            </w:pPr>
            <w:r>
              <w:rPr>
                <w:sz w:val="17"/>
                <w:szCs w:val="17"/>
              </w:rPr>
              <w:t>F-06 reference experiment only.</w:t>
            </w:r>
          </w:p>
        </w:tc>
      </w:tr>
      <w:tr>
        <w:tc>
          <w:tcPr>
            <w:tcW w:type="dxa" w:w="1805"/>
            <w:tcMar>
              <w:top w:type="dxa" w:w="50"/>
              <w:left w:type="dxa" w:w="90"/>
              <w:bottom w:type="dxa" w:w="50"/>
              <w:right w:type="dxa" w:w="90"/>
              <w:start w:w="75" w:type="dxa"/>
              <w:end w:w="75" w:type="dxa"/>
            </w:tcMar>
            <w:shd w:fill="EAF0F5"/>
          </w:tcPr>
          <w:p>
            <w:pPr>
              <w:spacing w:after="20" w:line="250"/>
            </w:pPr>
            <w:r>
              <w:rPr>
                <w:sz w:val="17"/>
                <w:szCs w:val="17"/>
              </w:rPr>
              <w:t>Shed level on protection</w:t>
            </w:r>
          </w:p>
        </w:tc>
        <w:tc>
          <w:tcPr>
            <w:tcW w:type="dxa" w:w="1805"/>
            <w:tcMar>
              <w:top w:type="dxa" w:w="50"/>
              <w:left w:type="dxa" w:w="90"/>
              <w:bottom w:type="dxa" w:w="50"/>
              <w:right w:type="dxa" w:w="90"/>
              <w:start w:w="75" w:type="dxa"/>
              <w:end w:w="75" w:type="dxa"/>
            </w:tcMar>
            <w:shd w:fill="EAF0F5"/>
          </w:tcPr>
          <w:p>
            <w:pPr>
              <w:spacing w:after="20" w:line="250"/>
            </w:pPr>
            <w:r>
              <w:rPr>
                <w:sz w:val="17"/>
                <w:szCs w:val="17"/>
              </w:rPr>
              <w:t>30 % of design point</w:t>
            </w:r>
          </w:p>
        </w:tc>
        <w:tc>
          <w:tcPr>
            <w:tcW w:type="dxa" w:w="3069"/>
            <w:tcMar>
              <w:top w:type="dxa" w:w="50"/>
              <w:left w:type="dxa" w:w="90"/>
              <w:bottom w:type="dxa" w:w="50"/>
              <w:right w:type="dxa" w:w="90"/>
              <w:start w:w="75" w:type="dxa"/>
              <w:end w:w="75" w:type="dxa"/>
            </w:tcMar>
            <w:shd w:fill="EAF0F5"/>
          </w:tcPr>
          <w:p>
            <w:pPr>
              <w:spacing w:after="20" w:line="250"/>
            </w:pPr>
            <w:r>
              <w:rPr>
                <w:sz w:val="17"/>
                <w:szCs w:val="17"/>
              </w:rPr>
              <w:t>ASSUMED; part of F-06 reference policy.</w:t>
            </w:r>
          </w:p>
        </w:tc>
        <w:tc>
          <w:tcPr>
            <w:tcW w:type="dxa" w:w="2347"/>
            <w:tcMar>
              <w:top w:type="dxa" w:w="50"/>
              <w:left w:type="dxa" w:w="90"/>
              <w:bottom w:type="dxa" w:w="50"/>
              <w:right w:type="dxa" w:w="90"/>
              <w:start w:w="75" w:type="dxa"/>
              <w:end w:w="75" w:type="dxa"/>
            </w:tcMar>
            <w:shd w:fill="EAF0F5"/>
          </w:tcPr>
          <w:p>
            <w:pPr>
              <w:spacing w:after="20" w:line="250"/>
            </w:pPr>
            <w:r>
              <w:rPr>
                <w:sz w:val="17"/>
                <w:szCs w:val="17"/>
              </w:rPr>
              <w:t>Not swept.</w:t>
            </w:r>
          </w:p>
        </w:tc>
      </w:tr>
      <w:tr>
        <w:tc>
          <w:tcPr>
            <w:tcW w:type="dxa" w:w="1805"/>
            <w:tcMar>
              <w:top w:type="dxa" w:w="50"/>
              <w:left w:type="dxa" w:w="90"/>
              <w:bottom w:type="dxa" w:w="50"/>
              <w:right w:type="dxa" w:w="90"/>
              <w:start w:w="75" w:type="dxa"/>
              <w:end w:w="75" w:type="dxa"/>
            </w:tcMar>
          </w:tcPr>
          <w:p>
            <w:pPr>
              <w:spacing w:after="20" w:line="250"/>
            </w:pPr>
            <w:r>
              <w:rPr>
                <w:sz w:val="17"/>
                <w:szCs w:val="17"/>
              </w:rPr>
              <w:t>Throttle hysteresis</w:t>
            </w:r>
          </w:p>
        </w:tc>
        <w:tc>
          <w:tcPr>
            <w:tcW w:type="dxa" w:w="1805"/>
            <w:tcMar>
              <w:top w:type="dxa" w:w="50"/>
              <w:left w:type="dxa" w:w="90"/>
              <w:bottom w:type="dxa" w:w="50"/>
              <w:right w:type="dxa" w:w="90"/>
              <w:start w:w="75" w:type="dxa"/>
              <w:end w:w="75" w:type="dxa"/>
            </w:tcMar>
          </w:tcPr>
          <w:p>
            <w:pPr>
              <w:spacing w:after="20" w:line="250"/>
            </w:pPr>
            <w:r>
              <w:rPr>
                <w:sz w:val="17"/>
                <w:szCs w:val="17"/>
              </w:rPr>
              <w:t>5 K</w:t>
            </w:r>
          </w:p>
        </w:tc>
        <w:tc>
          <w:tcPr>
            <w:tcW w:type="dxa" w:w="3069"/>
            <w:tcMar>
              <w:top w:type="dxa" w:w="50"/>
              <w:left w:type="dxa" w:w="90"/>
              <w:bottom w:type="dxa" w:w="50"/>
              <w:right w:type="dxa" w:w="90"/>
              <w:start w:w="75" w:type="dxa"/>
              <w:end w:w="75" w:type="dxa"/>
            </w:tcMar>
          </w:tcPr>
          <w:p>
            <w:pPr>
              <w:spacing w:after="20" w:line="250"/>
            </w:pPr>
            <w:r>
              <w:rPr>
                <w:sz w:val="17"/>
                <w:szCs w:val="17"/>
              </w:rPr>
              <w:t>ASSUMED; part of F-06 reference policy.</w:t>
            </w:r>
          </w:p>
        </w:tc>
        <w:tc>
          <w:tcPr>
            <w:tcW w:type="dxa" w:w="2347"/>
            <w:tcMar>
              <w:top w:type="dxa" w:w="50"/>
              <w:left w:type="dxa" w:w="90"/>
              <w:bottom w:type="dxa" w:w="50"/>
              <w:right w:type="dxa" w:w="90"/>
              <w:start w:w="75" w:type="dxa"/>
              <w:end w:w="75" w:type="dxa"/>
            </w:tcMar>
          </w:tcPr>
          <w:p>
            <w:pPr>
              <w:spacing w:after="20" w:line="250"/>
            </w:pPr>
            <w:r>
              <w:rPr>
                <w:sz w:val="17"/>
                <w:szCs w:val="17"/>
              </w:rPr>
              <w:t>Not swept.</w:t>
            </w:r>
          </w:p>
        </w:tc>
      </w:tr>
      <w:tr>
        <w:tc>
          <w:tcPr>
            <w:tcW w:type="dxa" w:w="1805"/>
            <w:tcMar>
              <w:top w:type="dxa" w:w="50"/>
              <w:left w:type="dxa" w:w="90"/>
              <w:bottom w:type="dxa" w:w="50"/>
              <w:right w:type="dxa" w:w="90"/>
              <w:start w:w="75" w:type="dxa"/>
              <w:end w:w="75" w:type="dxa"/>
            </w:tcMar>
            <w:shd w:fill="EAF0F5"/>
          </w:tcPr>
          <w:p>
            <w:pPr>
              <w:spacing w:after="20" w:line="250"/>
            </w:pPr>
            <w:r>
              <w:rPr>
                <w:sz w:val="17"/>
                <w:szCs w:val="17"/>
              </w:rPr>
              <w:t>Sensor delay / actuator response</w:t>
            </w:r>
          </w:p>
        </w:tc>
        <w:tc>
          <w:tcPr>
            <w:tcW w:type="dxa" w:w="1805"/>
            <w:tcMar>
              <w:top w:type="dxa" w:w="50"/>
              <w:left w:type="dxa" w:w="90"/>
              <w:bottom w:type="dxa" w:w="50"/>
              <w:right w:type="dxa" w:w="90"/>
              <w:start w:w="75" w:type="dxa"/>
              <w:end w:w="75" w:type="dxa"/>
            </w:tcMar>
            <w:shd w:fill="EAF0F5"/>
          </w:tcPr>
          <w:p>
            <w:pPr>
              <w:spacing w:after="20" w:line="250"/>
            </w:pPr>
            <w:r>
              <w:rPr>
                <w:sz w:val="17"/>
                <w:szCs w:val="17"/>
              </w:rPr>
              <w:t>0 s additional sensor delay / idealised immediate transition after stated control latency</w:t>
            </w:r>
          </w:p>
        </w:tc>
        <w:tc>
          <w:tcPr>
            <w:tcW w:type="dxa" w:w="3069"/>
            <w:tcMar>
              <w:top w:type="dxa" w:w="50"/>
              <w:left w:type="dxa" w:w="90"/>
              <w:bottom w:type="dxa" w:w="50"/>
              <w:right w:type="dxa" w:w="90"/>
              <w:start w:w="75" w:type="dxa"/>
              <w:end w:w="75" w:type="dxa"/>
            </w:tcMar>
            <w:shd w:fill="EAF0F5"/>
          </w:tcPr>
          <w:p>
            <w:pPr>
              <w:spacing w:after="20" w:line="250"/>
            </w:pPr>
            <w:r>
              <w:rPr>
                <w:sz w:val="17"/>
                <w:szCs w:val="17"/>
              </w:rPr>
              <w:t>ASSUMED optimistic policy behaviour.</w:t>
            </w:r>
          </w:p>
        </w:tc>
        <w:tc>
          <w:tcPr>
            <w:tcW w:type="dxa" w:w="2347"/>
            <w:tcMar>
              <w:top w:type="dxa" w:w="50"/>
              <w:left w:type="dxa" w:w="90"/>
              <w:bottom w:type="dxa" w:w="50"/>
              <w:right w:type="dxa" w:w="90"/>
              <w:start w:w="75" w:type="dxa"/>
              <w:end w:w="75" w:type="dxa"/>
            </w:tcMar>
            <w:shd w:fill="EAF0F5"/>
          </w:tcPr>
          <w:p>
            <w:pPr>
              <w:spacing w:after="20" w:line="250"/>
            </w:pPr>
            <w:r>
              <w:rPr>
                <w:sz w:val="17"/>
                <w:szCs w:val="17"/>
              </w:rPr>
              <w:t>F-06 scope limitation.</w:t>
            </w:r>
          </w:p>
        </w:tc>
      </w:tr>
      <w:tr>
        <w:tc>
          <w:tcPr>
            <w:tcW w:type="dxa" w:w="1805"/>
            <w:tcMar>
              <w:top w:type="dxa" w:w="50"/>
              <w:left w:type="dxa" w:w="90"/>
              <w:bottom w:type="dxa" w:w="50"/>
              <w:right w:type="dxa" w:w="90"/>
              <w:start w:w="75" w:type="dxa"/>
              <w:end w:w="75" w:type="dxa"/>
            </w:tcMar>
          </w:tcPr>
          <w:p>
            <w:pPr>
              <w:spacing w:after="20" w:line="250"/>
            </w:pPr>
            <w:r>
              <w:rPr>
                <w:sz w:val="17"/>
                <w:szCs w:val="17"/>
              </w:rPr>
              <w:t>Temperature sensor trust</w:t>
            </w:r>
          </w:p>
        </w:tc>
        <w:tc>
          <w:tcPr>
            <w:tcW w:type="dxa" w:w="1805"/>
            <w:tcMar>
              <w:top w:type="dxa" w:w="50"/>
              <w:left w:type="dxa" w:w="90"/>
              <w:bottom w:type="dxa" w:w="50"/>
              <w:right w:type="dxa" w:w="90"/>
              <w:start w:w="75" w:type="dxa"/>
              <w:end w:w="75" w:type="dxa"/>
            </w:tcMar>
          </w:tcPr>
          <w:p>
            <w:pPr>
              <w:spacing w:after="20" w:line="250"/>
            </w:pPr>
            <w:r>
              <w:rPr>
                <w:sz w:val="17"/>
                <w:szCs w:val="17"/>
              </w:rPr>
              <w:t>Trusted, unbiased in F-06</w:t>
            </w:r>
          </w:p>
        </w:tc>
        <w:tc>
          <w:tcPr>
            <w:tcW w:type="dxa" w:w="3069"/>
            <w:tcMar>
              <w:top w:type="dxa" w:w="50"/>
              <w:left w:type="dxa" w:w="90"/>
              <w:bottom w:type="dxa" w:w="50"/>
              <w:right w:type="dxa" w:w="90"/>
              <w:start w:w="75" w:type="dxa"/>
              <w:end w:w="75" w:type="dxa"/>
            </w:tcMar>
          </w:tcPr>
          <w:p>
            <w:pPr>
              <w:spacing w:after="20" w:line="250"/>
            </w:pPr>
            <w:r>
              <w:rPr>
                <w:sz w:val="17"/>
                <w:szCs w:val="17"/>
              </w:rPr>
              <w:t>ASSUMED; telemetry-deception variant is excluded from F-06.</w:t>
            </w:r>
          </w:p>
        </w:tc>
        <w:tc>
          <w:tcPr>
            <w:tcW w:type="dxa" w:w="2347"/>
            <w:tcMar>
              <w:top w:type="dxa" w:w="50"/>
              <w:left w:type="dxa" w:w="90"/>
              <w:bottom w:type="dxa" w:w="50"/>
              <w:right w:type="dxa" w:w="90"/>
              <w:start w:w="75" w:type="dxa"/>
              <w:end w:w="75" w:type="dxa"/>
            </w:tcMar>
          </w:tcPr>
          <w:p>
            <w:pPr>
              <w:spacing w:after="20" w:line="250"/>
            </w:pPr>
            <w:r>
              <w:rPr>
                <w:sz w:val="17"/>
                <w:szCs w:val="17"/>
              </w:rPr>
              <w:t>Not swept.</w:t>
            </w:r>
          </w:p>
        </w:tc>
      </w:tr>
      <w:tr>
        <w:tc>
          <w:tcPr>
            <w:tcW w:type="dxa" w:w="1805"/>
            <w:tcMar>
              <w:top w:type="dxa" w:w="50"/>
              <w:left w:type="dxa" w:w="90"/>
              <w:bottom w:type="dxa" w:w="50"/>
              <w:right w:type="dxa" w:w="90"/>
              <w:start w:w="75" w:type="dxa"/>
              <w:end w:w="75" w:type="dxa"/>
            </w:tcMar>
            <w:shd w:fill="EAF0F5"/>
          </w:tcPr>
          <w:p>
            <w:pPr>
              <w:spacing w:after="20" w:line="250"/>
            </w:pPr>
            <w:r>
              <w:rPr>
                <w:sz w:val="17"/>
                <w:szCs w:val="17"/>
              </w:rPr>
              <w:t>Model upper threshold</w:t>
            </w:r>
          </w:p>
        </w:tc>
        <w:tc>
          <w:tcPr>
            <w:tcW w:type="dxa" w:w="1805"/>
            <w:tcMar>
              <w:top w:type="dxa" w:w="50"/>
              <w:left w:type="dxa" w:w="90"/>
              <w:bottom w:type="dxa" w:w="50"/>
              <w:right w:type="dxa" w:w="90"/>
              <w:start w:w="75" w:type="dxa"/>
              <w:end w:w="75" w:type="dxa"/>
            </w:tcMar>
            <w:shd w:fill="EAF0F5"/>
          </w:tcPr>
          <w:p>
            <w:pPr>
              <w:spacing w:after="20" w:line="250"/>
            </w:pPr>
            <w:r>
              <w:rPr>
                <w:sz w:val="17"/>
                <w:szCs w:val="17"/>
              </w:rPr>
              <w:t>90 °C</w:t>
            </w:r>
          </w:p>
        </w:tc>
        <w:tc>
          <w:tcPr>
            <w:tcW w:type="dxa" w:w="3069"/>
            <w:tcMar>
              <w:top w:type="dxa" w:w="50"/>
              <w:left w:type="dxa" w:w="90"/>
              <w:bottom w:type="dxa" w:w="50"/>
              <w:right w:type="dxa" w:w="90"/>
              <w:start w:w="75" w:type="dxa"/>
              <w:end w:w="75" w:type="dxa"/>
            </w:tcMar>
            <w:shd w:fill="EAF0F5"/>
          </w:tcPr>
          <w:p>
            <w:pPr>
              <w:spacing w:after="20" w:line="250"/>
            </w:pPr>
            <w:r>
              <w:rPr>
                <w:sz w:val="17"/>
                <w:szCs w:val="17"/>
              </w:rPr>
              <w:t>ASSUMED model hazard limit; no irreversible-damage claim.</w:t>
            </w:r>
          </w:p>
        </w:tc>
        <w:tc>
          <w:tcPr>
            <w:tcW w:type="dxa" w:w="2347"/>
            <w:tcMar>
              <w:top w:type="dxa" w:w="50"/>
              <w:left w:type="dxa" w:w="90"/>
              <w:bottom w:type="dxa" w:w="50"/>
              <w:right w:type="dxa" w:w="90"/>
              <w:start w:w="75" w:type="dxa"/>
              <w:end w:w="75" w:type="dxa"/>
            </w:tcMar>
            <w:shd w:fill="EAF0F5"/>
          </w:tcPr>
          <w:p>
            <w:pPr>
              <w:spacing w:after="20" w:line="250"/>
            </w:pPr>
            <w:r>
              <w:rPr>
                <w:sz w:val="17"/>
                <w:szCs w:val="17"/>
              </w:rPr>
              <w:t>F-06 reference experiment only.</w:t>
            </w:r>
          </w:p>
        </w:tc>
      </w:tr>
      <w:tr>
        <w:tc>
          <w:tcPr>
            <w:tcW w:type="dxa" w:w="1805"/>
            <w:tcMar>
              <w:top w:type="dxa" w:w="50"/>
              <w:left w:type="dxa" w:w="90"/>
              <w:bottom w:type="dxa" w:w="50"/>
              <w:right w:type="dxa" w:w="90"/>
              <w:start w:w="75" w:type="dxa"/>
              <w:end w:w="75" w:type="dxa"/>
            </w:tcMar>
          </w:tcPr>
          <w:p>
            <w:pPr>
              <w:spacing w:after="20" w:line="250"/>
            </w:pPr>
            <w:r>
              <w:rPr>
                <w:sz w:val="17"/>
                <w:szCs w:val="17"/>
              </w:rPr>
              <w:t>Orbit period / hot fraction</w:t>
            </w:r>
          </w:p>
        </w:tc>
        <w:tc>
          <w:tcPr>
            <w:tcW w:type="dxa" w:w="1805"/>
            <w:tcMar>
              <w:top w:type="dxa" w:w="50"/>
              <w:left w:type="dxa" w:w="90"/>
              <w:bottom w:type="dxa" w:w="50"/>
              <w:right w:type="dxa" w:w="90"/>
              <w:start w:w="75" w:type="dxa"/>
              <w:end w:w="75" w:type="dxa"/>
            </w:tcMar>
          </w:tcPr>
          <w:p>
            <w:pPr>
              <w:spacing w:after="20" w:line="250"/>
            </w:pPr>
            <w:r>
              <w:rPr>
                <w:sz w:val="17"/>
                <w:szCs w:val="17"/>
              </w:rPr>
              <w:t>5 400 s / 0.62 baseline</w:t>
            </w:r>
          </w:p>
        </w:tc>
        <w:tc>
          <w:tcPr>
            <w:tcW w:type="dxa" w:w="3069"/>
            <w:tcMar>
              <w:top w:type="dxa" w:w="50"/>
              <w:left w:type="dxa" w:w="90"/>
              <w:bottom w:type="dxa" w:w="50"/>
              <w:right w:type="dxa" w:w="90"/>
              <w:start w:w="75" w:type="dxa"/>
              <w:end w:w="75" w:type="dxa"/>
            </w:tcMar>
          </w:tcPr>
          <w:p>
            <w:pPr>
              <w:spacing w:after="20" w:line="250"/>
            </w:pPr>
            <w:r>
              <w:rPr>
                <w:sz w:val="17"/>
                <w:szCs w:val="17"/>
              </w:rPr>
              <w:t>ASSUMED representative orbital abstraction.</w:t>
            </w:r>
          </w:p>
        </w:tc>
        <w:tc>
          <w:tcPr>
            <w:tcW w:type="dxa" w:w="2347"/>
            <w:tcMar>
              <w:top w:type="dxa" w:w="50"/>
              <w:left w:type="dxa" w:w="90"/>
              <w:bottom w:type="dxa" w:w="50"/>
              <w:right w:type="dxa" w:w="90"/>
              <w:start w:w="75" w:type="dxa"/>
              <w:end w:w="75" w:type="dxa"/>
            </w:tcMar>
            <w:vAlign w:val="center"/>
          </w:tcPr>
          <w:p>
            <w:r/>
            <w:r>
              <w:rPr>
                <w:rFonts w:ascii="Aptos" w:hAnsi="Aptos"/>
                <w:b w:val="0"/>
                <w:sz w:val="12"/>
              </w:rPr>
              <w:t>Full-orbit single-factor local slice including baseline: 60 min → 13.26 K; 90 min baseline → 15.46 K; 120 min → 16.48 K (3.22 K span).</w:t>
            </w:r>
          </w:p>
        </w:tc>
      </w:tr>
      <w:tr>
        <w:tc>
          <w:tcPr>
            <w:tcW w:type="dxa" w:w="1805"/>
            <w:tcMar>
              <w:top w:type="dxa" w:w="50"/>
              <w:left w:type="dxa" w:w="90"/>
              <w:bottom w:type="dxa" w:w="50"/>
              <w:right w:type="dxa" w:w="90"/>
              <w:start w:w="75" w:type="dxa"/>
              <w:end w:w="75" w:type="dxa"/>
            </w:tcMar>
            <w:shd w:fill="EAF0F5"/>
          </w:tcPr>
          <w:p>
            <w:pPr>
              <w:spacing w:after="20" w:line="250"/>
            </w:pPr>
            <w:r>
              <w:rPr>
                <w:sz w:val="17"/>
                <w:szCs w:val="17"/>
              </w:rPr>
              <w:t>Absorbed environmental flux</w:t>
            </w:r>
          </w:p>
        </w:tc>
        <w:tc>
          <w:tcPr>
            <w:tcW w:type="dxa" w:w="1805"/>
            <w:tcMar>
              <w:top w:type="dxa" w:w="50"/>
              <w:left w:type="dxa" w:w="90"/>
              <w:bottom w:type="dxa" w:w="50"/>
              <w:right w:type="dxa" w:w="90"/>
              <w:start w:w="75" w:type="dxa"/>
              <w:end w:w="75" w:type="dxa"/>
            </w:tcMar>
            <w:shd w:fill="EAF0F5"/>
          </w:tcPr>
          <w:p>
            <w:pPr>
              <w:spacing w:after="20" w:line="250"/>
            </w:pPr>
            <w:r>
              <w:rPr>
                <w:sz w:val="17"/>
                <w:szCs w:val="17"/>
              </w:rPr>
              <w:t>150 W/m² hot; 40 W/m² cold</w:t>
            </w:r>
          </w:p>
        </w:tc>
        <w:tc>
          <w:tcPr>
            <w:tcW w:type="dxa" w:w="3069"/>
            <w:tcMar>
              <w:top w:type="dxa" w:w="50"/>
              <w:left w:type="dxa" w:w="90"/>
              <w:bottom w:type="dxa" w:w="50"/>
              <w:right w:type="dxa" w:w="90"/>
              <w:start w:w="75" w:type="dxa"/>
              <w:end w:w="75" w:type="dxa"/>
            </w:tcMar>
            <w:shd w:fill="EAF0F5"/>
          </w:tcPr>
          <w:p>
            <w:pPr>
              <w:spacing w:after="20" w:line="250"/>
            </w:pPr>
            <w:r>
              <w:rPr>
                <w:sz w:val="17"/>
                <w:szCs w:val="17"/>
              </w:rPr>
              <w:t>ASSUMED exact values. NASA supports solar/albedo/planetary-IR heat-balance terms, area/view-factor and optical-property dependence, not these numbers. [R12]</w:t>
            </w:r>
          </w:p>
        </w:tc>
        <w:tc>
          <w:tcPr>
            <w:tcW w:type="dxa" w:w="2347"/>
            <w:tcMar>
              <w:top w:type="dxa" w:w="50"/>
              <w:left w:type="dxa" w:w="90"/>
              <w:bottom w:type="dxa" w:w="50"/>
              <w:right w:type="dxa" w:w="90"/>
              <w:start w:w="75" w:type="dxa"/>
              <w:end w:w="75" w:type="dxa"/>
            </w:tcMar>
            <w:shd w:fill="EAF0F5"/>
          </w:tcPr>
          <w:p>
            <w:pPr>
              <w:spacing w:after="20" w:line="250"/>
            </w:pPr>
            <w:r>
              <w:rPr>
                <w:sz w:val="17"/>
                <w:szCs w:val="17"/>
              </w:rPr>
              <w:t>Environmental-model σ = 15 % in illustrative Monte Carlo.</w:t>
            </w:r>
          </w:p>
        </w:tc>
      </w:tr>
      <w:tr>
        <w:tc>
          <w:tcPr>
            <w:tcW w:type="dxa" w:w="1805"/>
            <w:tcMar>
              <w:top w:w="50" w:type="dxa"/>
              <w:start w:w="75" w:type="dxa"/>
              <w:bottom w:w="50" w:type="dxa"/>
              <w:end w:w="75" w:type="dxa"/>
            </w:tcMar>
          </w:tcPr>
          <w:p>
            <w:pPr>
              <w:spacing w:after="20" w:line="250"/>
            </w:pPr>
            <w:r>
              <w:rPr>
                <w:sz w:val="17"/>
                <w:szCs w:val="17"/>
              </w:rPr>
              <w:t>Deep-space sink temperature</w:t>
            </w:r>
          </w:p>
        </w:tc>
        <w:tc>
          <w:tcPr>
            <w:tcW w:type="dxa" w:w="1805"/>
            <w:tcMar>
              <w:top w:w="50" w:type="dxa"/>
              <w:start w:w="75" w:type="dxa"/>
              <w:bottom w:w="50" w:type="dxa"/>
              <w:end w:w="75" w:type="dxa"/>
            </w:tcMar>
          </w:tcPr>
          <w:p>
            <w:pPr>
              <w:spacing w:after="20" w:line="250"/>
            </w:pPr>
            <w:r>
              <w:rPr>
                <w:sz w:val="17"/>
                <w:szCs w:val="17"/>
              </w:rPr>
              <w:t>3 K</w:t>
            </w:r>
          </w:p>
        </w:tc>
        <w:tc>
          <w:tcPr>
            <w:tcW w:type="dxa" w:w="3069"/>
            <w:tcMar>
              <w:top w:w="50" w:type="dxa"/>
              <w:start w:w="75" w:type="dxa"/>
              <w:bottom w:w="50" w:type="dxa"/>
              <w:end w:w="75" w:type="dxa"/>
            </w:tcMar>
          </w:tcPr>
          <w:p>
            <w:pPr>
              <w:spacing w:after="20" w:line="250"/>
            </w:pPr>
            <w:r>
              <w:rPr>
                <w:sz w:val="17"/>
                <w:szCs w:val="17"/>
              </w:rPr>
              <w:t>Physical idealisation used in Stefan–Boltzmann rejection term; σ uses the exact CODATA value. [R13]</w:t>
            </w:r>
          </w:p>
        </w:tc>
        <w:tc>
          <w:tcPr>
            <w:tcW w:type="dxa" w:w="2347"/>
            <w:tcMar>
              <w:top w:w="50" w:type="dxa"/>
              <w:start w:w="75" w:type="dxa"/>
              <w:bottom w:w="50" w:type="dxa"/>
              <w:end w:w="75" w:type="dxa"/>
            </w:tcMar>
          </w:tcPr>
          <w:p>
            <w:pPr>
              <w:spacing w:after="20" w:line="250"/>
            </w:pPr>
            <w:r>
              <w:rPr>
                <w:sz w:val="17"/>
                <w:szCs w:val="17"/>
              </w:rPr>
              <w:t>Negligible sensitivity compared with radiator temperature in this abstraction.</w:t>
            </w:r>
          </w:p>
        </w:tc>
      </w:tr>
      <w:tr>
        <w:tc>
          <w:tcPr>
            <w:tcW w:type="dxa" w:w="1805"/>
            <w:tcMar>
              <w:top w:w="50" w:type="dxa"/>
              <w:start w:w="75" w:type="dxa"/>
              <w:bottom w:w="50" w:type="dxa"/>
              <w:end w:w="75" w:type="dxa"/>
            </w:tcMar>
            <w:shd w:fill="EAF0F5"/>
          </w:tcPr>
          <w:p>
            <w:pPr>
              <w:spacing w:after="20" w:line="250"/>
            </w:pPr>
            <w:r>
              <w:rPr>
                <w:sz w:val="17"/>
                <w:szCs w:val="17"/>
              </w:rPr>
              <w:t>Initial node / radiator temperatures</w:t>
            </w:r>
          </w:p>
        </w:tc>
        <w:tc>
          <w:tcPr>
            <w:tcW w:type="dxa" w:w="1805"/>
            <w:tcMar>
              <w:top w:w="50" w:type="dxa"/>
              <w:start w:w="75" w:type="dxa"/>
              <w:bottom w:w="50" w:type="dxa"/>
              <w:end w:w="75" w:type="dxa"/>
            </w:tcMar>
            <w:shd w:fill="EAF0F5"/>
          </w:tcPr>
          <w:p>
            <w:pPr>
              <w:spacing w:after="20" w:line="250"/>
            </w:pPr>
            <w:r>
              <w:rPr>
                <w:sz w:val="17"/>
                <w:szCs w:val="17"/>
              </w:rPr>
              <w:t>320 K / 305 K</w:t>
            </w:r>
          </w:p>
        </w:tc>
        <w:tc>
          <w:tcPr>
            <w:tcW w:type="dxa" w:w="3069"/>
            <w:tcMar>
              <w:top w:w="50" w:type="dxa"/>
              <w:start w:w="75" w:type="dxa"/>
              <w:bottom w:w="50" w:type="dxa"/>
              <w:end w:w="75" w:type="dxa"/>
            </w:tcMar>
            <w:shd w:fill="EAF0F5"/>
          </w:tcPr>
          <w:p>
            <w:pPr>
              <w:spacing w:after="20" w:line="250"/>
            </w:pPr>
            <w:r>
              <w:rPr>
                <w:sz w:val="17"/>
                <w:szCs w:val="17"/>
              </w:rPr>
              <w:t>ASSUMED initial states.</w:t>
            </w:r>
          </w:p>
        </w:tc>
        <w:tc>
          <w:tcPr>
            <w:tcW w:type="dxa" w:w="2347"/>
            <w:tcMar>
              <w:top w:w="50" w:type="dxa"/>
              <w:start w:w="75" w:type="dxa"/>
              <w:bottom w:w="50" w:type="dxa"/>
              <w:end w:w="75" w:type="dxa"/>
            </w:tcMar>
            <w:shd w:fill="EAF0F5"/>
          </w:tcPr>
          <w:p>
            <w:pPr>
              <w:spacing w:after="20" w:line="250"/>
            </w:pPr>
            <w:r>
              <w:rPr>
                <w:sz w:val="17"/>
                <w:szCs w:val="17"/>
              </w:rPr>
              <w:t>Two-orbit period-relative warmup is used before metrics; initial-state sensitivity not separately reported.</w:t>
            </w:r>
          </w:p>
        </w:tc>
      </w:tr>
      <w:tr>
        <w:tc>
          <w:tcPr>
            <w:tcW w:type="dxa" w:w="1805"/>
            <w:tcMar>
              <w:top w:w="50" w:type="dxa"/>
              <w:start w:w="75" w:type="dxa"/>
              <w:bottom w:w="50" w:type="dxa"/>
              <w:end w:w="75" w:type="dxa"/>
            </w:tcMar>
          </w:tcPr>
          <w:p>
            <w:pPr>
              <w:spacing w:after="20" w:line="250"/>
            </w:pPr>
            <w:r>
              <w:rPr>
                <w:sz w:val="17"/>
                <w:szCs w:val="17"/>
              </w:rPr>
              <w:t>Effective radiative-coefficient uncertainty</w:t>
            </w:r>
          </w:p>
        </w:tc>
        <w:tc>
          <w:tcPr>
            <w:tcW w:type="dxa" w:w="1805"/>
            <w:tcMar>
              <w:top w:w="50" w:type="dxa"/>
              <w:start w:w="75" w:type="dxa"/>
              <w:bottom w:w="50" w:type="dxa"/>
              <w:end w:w="75" w:type="dxa"/>
            </w:tcMar>
          </w:tcPr>
          <w:p>
            <w:pPr>
              <w:spacing w:after="20" w:line="250"/>
            </w:pPr>
            <w:r>
              <w:rPr>
                <w:sz w:val="17"/>
                <w:szCs w:val="17"/>
              </w:rPr>
              <w:t>σ = 7 % baseline illustrative case</w:t>
            </w:r>
          </w:p>
        </w:tc>
        <w:tc>
          <w:tcPr>
            <w:tcW w:type="dxa" w:w="3069"/>
            <w:tcMar>
              <w:top w:w="50" w:type="dxa"/>
              <w:start w:w="75" w:type="dxa"/>
              <w:bottom w:w="50" w:type="dxa"/>
              <w:end w:w="75" w:type="dxa"/>
            </w:tcMar>
          </w:tcPr>
          <w:p>
            <w:pPr>
              <w:spacing w:after="20" w:line="250"/>
            </w:pPr>
            <w:r>
              <w:rPr>
                <w:sz w:val="17"/>
                <w:szCs w:val="17"/>
              </w:rPr>
              <w:t>PROJECT ASSUMPTION; Gaussian standard deviation, not ±7 % bound.</w:t>
            </w:r>
          </w:p>
        </w:tc>
        <w:tc>
          <w:tcPr>
            <w:tcW w:type="dxa" w:w="2347"/>
            <w:tcMar>
              <w:top w:w="50" w:type="dxa"/>
              <w:start w:w="75" w:type="dxa"/>
              <w:bottom w:w="50" w:type="dxa"/>
              <w:end w:w="75" w:type="dxa"/>
            </w:tcMar>
          </w:tcPr>
          <w:p>
            <w:pPr>
              <w:spacing w:after="20" w:line="250"/>
            </w:pPr>
            <w:r>
              <w:rPr>
                <w:sz w:val="17"/>
                <w:szCs w:val="17"/>
              </w:rPr>
              <w:t>Sensitivity evaluated from σ = 7 % to 0.5 %; no fixed design requirement inferred.</w:t>
            </w:r>
          </w:p>
        </w:tc>
      </w:tr>
      <w:tr>
        <w:tc>
          <w:tcPr>
            <w:tcW w:type="dxa" w:w="1805"/>
            <w:tcMar>
              <w:top w:w="50" w:type="dxa"/>
              <w:start w:w="75" w:type="dxa"/>
              <w:bottom w:w="50" w:type="dxa"/>
              <w:end w:w="75" w:type="dxa"/>
            </w:tcMar>
            <w:shd w:fill="EAF0F5"/>
          </w:tcPr>
          <w:p>
            <w:pPr>
              <w:spacing w:after="20" w:line="250"/>
            </w:pPr>
            <w:r>
              <w:rPr>
                <w:sz w:val="17"/>
                <w:szCs w:val="17"/>
              </w:rPr>
              <w:t>Electrical-power calibration uncertainty</w:t>
            </w:r>
          </w:p>
        </w:tc>
        <w:tc>
          <w:tcPr>
            <w:tcW w:type="dxa" w:w="1805"/>
            <w:tcMar>
              <w:top w:w="50" w:type="dxa"/>
              <w:start w:w="75" w:type="dxa"/>
              <w:bottom w:w="50" w:type="dxa"/>
              <w:end w:w="75" w:type="dxa"/>
            </w:tcMar>
            <w:shd w:fill="EAF0F5"/>
          </w:tcPr>
          <w:p>
            <w:pPr>
              <w:spacing w:after="20" w:line="250"/>
            </w:pPr>
            <w:r>
              <w:rPr>
                <w:sz w:val="17"/>
                <w:szCs w:val="17"/>
              </w:rPr>
              <w:t>σ = 3 %</w:t>
            </w:r>
          </w:p>
        </w:tc>
        <w:tc>
          <w:tcPr>
            <w:tcW w:type="dxa" w:w="3069"/>
            <w:tcMar>
              <w:top w:w="50" w:type="dxa"/>
              <w:start w:w="75" w:type="dxa"/>
              <w:bottom w:w="50" w:type="dxa"/>
              <w:end w:w="75" w:type="dxa"/>
            </w:tcMar>
            <w:shd w:fill="EAF0F5"/>
          </w:tcPr>
          <w:p>
            <w:pPr>
              <w:spacing w:after="20" w:line="250"/>
            </w:pPr>
            <w:r>
              <w:rPr>
                <w:sz w:val="17"/>
                <w:szCs w:val="17"/>
              </w:rPr>
              <w:t>PROJECT ASSUMPTION; illustrative Gaussian standard deviation.</w:t>
            </w:r>
          </w:p>
        </w:tc>
        <w:tc>
          <w:tcPr>
            <w:tcW w:type="dxa" w:w="2347"/>
            <w:tcMar>
              <w:top w:w="50" w:type="dxa"/>
              <w:start w:w="75" w:type="dxa"/>
              <w:bottom w:w="50" w:type="dxa"/>
              <w:end w:w="75" w:type="dxa"/>
            </w:tcMar>
            <w:shd w:fill="EAF0F5"/>
          </w:tcPr>
          <w:p>
            <w:pPr>
              <w:spacing w:after="20" w:line="250"/>
            </w:pPr>
            <w:r>
              <w:rPr>
                <w:sz w:val="17"/>
                <w:szCs w:val="17"/>
              </w:rPr>
              <w:t>Held fixed during radiative-coefficient calibration sweep.</w:t>
            </w:r>
          </w:p>
        </w:tc>
      </w:tr>
      <w:tr>
        <w:tc>
          <w:tcPr>
            <w:tcW w:type="dxa" w:w="1805"/>
            <w:tcMar>
              <w:top w:w="50" w:type="dxa"/>
              <w:start w:w="75" w:type="dxa"/>
              <w:bottom w:w="50" w:type="dxa"/>
              <w:end w:w="75" w:type="dxa"/>
            </w:tcMar>
          </w:tcPr>
          <w:p>
            <w:pPr>
              <w:spacing w:after="20" w:line="250"/>
            </w:pPr>
            <w:r>
              <w:rPr>
                <w:sz w:val="17"/>
                <w:szCs w:val="17"/>
              </w:rPr>
              <w:t>Environmental-load model uncertainty</w:t>
            </w:r>
          </w:p>
        </w:tc>
        <w:tc>
          <w:tcPr>
            <w:tcW w:type="dxa" w:w="1805"/>
            <w:tcMar>
              <w:top w:w="50" w:type="dxa"/>
              <w:start w:w="75" w:type="dxa"/>
              <w:bottom w:w="50" w:type="dxa"/>
              <w:end w:w="75" w:type="dxa"/>
            </w:tcMar>
          </w:tcPr>
          <w:p>
            <w:pPr>
              <w:spacing w:after="20" w:line="250"/>
            </w:pPr>
            <w:r>
              <w:rPr>
                <w:sz w:val="17"/>
                <w:szCs w:val="17"/>
              </w:rPr>
              <w:t>σ = 15 %</w:t>
            </w:r>
          </w:p>
        </w:tc>
        <w:tc>
          <w:tcPr>
            <w:tcW w:type="dxa" w:w="3069"/>
            <w:tcMar>
              <w:top w:w="50" w:type="dxa"/>
              <w:start w:w="75" w:type="dxa"/>
              <w:bottom w:w="50" w:type="dxa"/>
              <w:end w:w="75" w:type="dxa"/>
            </w:tcMar>
          </w:tcPr>
          <w:p>
            <w:pPr>
              <w:spacing w:after="20" w:line="250"/>
            </w:pPr>
            <w:r>
              <w:rPr>
                <w:sz w:val="17"/>
                <w:szCs w:val="17"/>
              </w:rPr>
              <w:t>PROJECT ASSUMPTION; illustrative Gaussian standard deviation.</w:t>
            </w:r>
          </w:p>
        </w:tc>
        <w:tc>
          <w:tcPr>
            <w:tcW w:type="dxa" w:w="2347"/>
            <w:tcMar>
              <w:top w:w="50" w:type="dxa"/>
              <w:start w:w="75" w:type="dxa"/>
              <w:bottom w:w="50" w:type="dxa"/>
              <w:end w:w="75" w:type="dxa"/>
            </w:tcMar>
          </w:tcPr>
          <w:p>
            <w:pPr>
              <w:spacing w:after="20" w:line="250"/>
            </w:pPr>
            <w:r>
              <w:rPr>
                <w:sz w:val="17"/>
                <w:szCs w:val="17"/>
              </w:rPr>
              <w:t>Held fixed during radiative-coefficient calibration sweep.</w:t>
            </w:r>
          </w:p>
        </w:tc>
      </w:tr>
      <w:tr>
        <w:tc>
          <w:tcPr>
            <w:tcW w:type="dxa" w:w="1805"/>
            <w:tcMar>
              <w:top w:w="50" w:type="dxa"/>
              <w:start w:w="75" w:type="dxa"/>
              <w:bottom w:w="50" w:type="dxa"/>
              <w:end w:w="75" w:type="dxa"/>
            </w:tcMar>
            <w:shd w:fill="EAF0F5"/>
          </w:tcPr>
          <w:p>
            <w:pPr>
              <w:spacing w:after="20" w:line="250"/>
            </w:pPr>
            <w:r>
              <w:rPr>
                <w:sz w:val="17"/>
                <w:szCs w:val="17"/>
              </w:rPr>
              <w:t>Temperature measurement noise</w:t>
            </w:r>
          </w:p>
        </w:tc>
        <w:tc>
          <w:tcPr>
            <w:tcW w:type="dxa" w:w="1805"/>
            <w:tcMar>
              <w:top w:w="50" w:type="dxa"/>
              <w:start w:w="75" w:type="dxa"/>
              <w:bottom w:w="50" w:type="dxa"/>
              <w:end w:w="75" w:type="dxa"/>
            </w:tcMar>
            <w:shd w:fill="EAF0F5"/>
          </w:tcPr>
          <w:p>
            <w:pPr>
              <w:spacing w:after="20" w:line="250"/>
            </w:pPr>
            <w:r>
              <w:rPr>
                <w:sz w:val="17"/>
                <w:szCs w:val="17"/>
              </w:rPr>
              <w:t>σ = 0.3 K</w:t>
            </w:r>
          </w:p>
        </w:tc>
        <w:tc>
          <w:tcPr>
            <w:tcW w:type="dxa" w:w="3069"/>
            <w:tcMar>
              <w:top w:w="50" w:type="dxa"/>
              <w:start w:w="75" w:type="dxa"/>
              <w:bottom w:w="50" w:type="dxa"/>
              <w:end w:w="75" w:type="dxa"/>
            </w:tcMar>
            <w:shd w:fill="EAF0F5"/>
          </w:tcPr>
          <w:p>
            <w:pPr>
              <w:spacing w:after="20" w:line="250"/>
            </w:pPr>
            <w:r>
              <w:rPr>
                <w:sz w:val="17"/>
                <w:szCs w:val="17"/>
              </w:rPr>
              <w:t>PROJECT ASSUMPTION; illustrative independent Gaussian noise.</w:t>
            </w:r>
          </w:p>
        </w:tc>
        <w:tc>
          <w:tcPr>
            <w:tcW w:type="dxa" w:w="2347"/>
            <w:tcMar>
              <w:top w:w="50" w:type="dxa"/>
              <w:start w:w="75" w:type="dxa"/>
              <w:bottom w:w="50" w:type="dxa"/>
              <w:end w:w="75" w:type="dxa"/>
            </w:tcMar>
            <w:shd w:fill="EAF0F5"/>
          </w:tcPr>
          <w:p>
            <w:pPr>
              <w:spacing w:after="20" w:line="250"/>
            </w:pPr>
            <w:r>
              <w:rPr>
                <w:sz w:val="17"/>
                <w:szCs w:val="17"/>
              </w:rPr>
              <w:t>Correlated noise, drift, quantisation and bias remain unmodelled.</w:t>
            </w:r>
          </w:p>
        </w:tc>
      </w:tr>
      <w:tr>
        <w:tc>
          <w:tcPr>
            <w:tcW w:type="dxa" w:w="1805"/>
            <w:vAlign w:val="center"/>
            <w:tcMar>
              <w:top w:w="50" w:type="dxa"/>
              <w:start w:w="75" w:type="dxa"/>
              <w:bottom w:w="50" w:type="dxa"/>
              <w:end w:w="75" w:type="dxa"/>
            </w:tcMar>
          </w:tcPr>
          <w:p>
            <w:r/>
            <w:r>
              <w:rPr>
                <w:rFonts w:ascii="Aptos" w:hAnsi="Aptos"/>
                <w:b w:val="0"/>
                <w:sz w:val="12"/>
              </w:rPr>
              <w:t>Numerical integration check</w:t>
            </w:r>
          </w:p>
        </w:tc>
        <w:tc>
          <w:tcPr>
            <w:tcW w:type="dxa" w:w="1805"/>
            <w:vAlign w:val="center"/>
            <w:tcMar>
              <w:top w:w="50" w:type="dxa"/>
              <w:start w:w="75" w:type="dxa"/>
              <w:bottom w:w="50" w:type="dxa"/>
              <w:end w:w="75" w:type="dxa"/>
            </w:tcMar>
          </w:tcPr>
          <w:p>
            <w:r/>
            <w:r>
              <w:rPr>
                <w:rFonts w:ascii="Aptos" w:hAnsi="Aptos"/>
                <w:b w:val="0"/>
                <w:sz w:val="12"/>
              </w:rPr>
              <w:t>Forward Euler; release dt = 1 s</w:t>
            </w:r>
          </w:p>
        </w:tc>
        <w:tc>
          <w:tcPr>
            <w:tcW w:type="dxa" w:w="3069"/>
            <w:vAlign w:val="center"/>
            <w:tcMar>
              <w:top w:w="50" w:type="dxa"/>
              <w:start w:w="75" w:type="dxa"/>
              <w:bottom w:w="50" w:type="dxa"/>
              <w:end w:w="75" w:type="dxa"/>
            </w:tcMar>
          </w:tcPr>
          <w:p>
            <w:r/>
            <w:r>
              <w:rPr>
                <w:rFonts w:ascii="Aptos" w:hAnsi="Aptos"/>
                <w:b w:val="0"/>
                <w:sz w:val="12"/>
              </w:rPr>
              <w:t>Deterministic fixed-forcing convergence uses 0.0625 s reference. Stochastic headline dt changes are treated separately as release-step/realisation sensitivity.</w:t>
            </w:r>
          </w:p>
        </w:tc>
        <w:tc>
          <w:tcPr>
            <w:tcW w:type="dxa" w:w="2347"/>
            <w:vAlign w:val="center"/>
            <w:tcMar>
              <w:top w:w="50" w:type="dxa"/>
              <w:start w:w="75" w:type="dxa"/>
              <w:bottom w:w="50" w:type="dxa"/>
              <w:end w:w="75" w:type="dxa"/>
            </w:tcMar>
          </w:tcPr>
          <w:p>
            <w:r/>
            <w:r>
              <w:rPr>
                <w:rFonts w:ascii="Aptos" w:hAnsi="Aptos"/>
                <w:b w:val="0"/>
                <w:sz w:val="12"/>
              </w:rPr>
              <w:t>At dt=1 s, deterministic peak-ΔT error vs 0.0625 s reference ≈0.00176 K; 0.5–2 s region shows approximately first-order error scaling.</w:t>
            </w:r>
          </w:p>
        </w:tc>
      </w:tr>
    </w:tbl>
    <w:p>
      <w:pPr>
        <w:pBdr>
          <w:top w:val="single" w:color="FDF2F2" w:sz="2" w:space="8"/>
          <w:bottom w:val="single" w:color="FDF2F2" w:sz="2" w:space="8"/>
          <w:left w:val="single" w:color="9B2226" w:sz="18" w:space="10"/>
          <w:right w:val="single" w:color="FDF2F2" w:sz="2" w:space="8"/>
        </w:pBdr>
        <w:shd w:fill="FDF2F2" w:val="clear"/>
        <w:spacing w:after="160" w:before="140" w:line="276"/>
        <w:ind w:left="120" w:right="120"/>
      </w:pPr>
      <w:r>
        <w:rPr>
          <w:b/>
          <w:bCs/>
          <w:color w:val="7A1C20"/>
          <w:sz w:val="20"/>
          <w:szCs w:val="20"/>
        </w:rPr>
        <w:t>Threshold note. Both 75 °C and 90 °C are project-assumed model thresholds. They are not generic accelerator throttling, shutdown or irreversible-damage limits. Hardware-specific safety requirements require sourced device thresholds and independent thermal review before the model may be used for consequence severity.</w:t>
      </w:r>
    </w:p>
    <w:p>
      <w:pPr>
        <w:pStyle w:val="Heading2"/>
      </w:pPr>
      <w:r>
        <w:t xml:space="preserve">A.1  Reproduction</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2347"/>
        <w:gridCol w:w="6679"/>
      </w:tblGrid>
      <w:tr>
        <w:trPr>
          <w:tblHeader/>
          <w:tblHeader w:val="true"/>
        </w:trPr>
        <w:tc>
          <w:tcPr>
            <w:tcW w:type="dxa" w:w="2347"/>
            <w:shd w:fill="EFEFEF" w:val="clear"/>
            <w:tcMar>
              <w:top w:type="dxa" w:w="70"/>
              <w:left w:type="dxa" w:w="90"/>
              <w:bottom w:type="dxa" w:w="70"/>
              <w:right w:type="dxa" w:w="90"/>
            </w:tcMar>
          </w:tcPr>
          <w:p>
            <w:pPr>
              <w:spacing w:after="20" w:line="250"/>
            </w:pPr>
            <w:r>
              <w:rPr>
                <w:b/>
                <w:bCs/>
                <w:sz w:val="17"/>
                <w:szCs w:val="17"/>
              </w:rPr>
              <w:t>Artefact</w:t>
            </w:r>
          </w:p>
        </w:tc>
        <w:tc>
          <w:tcPr>
            <w:tcW w:type="dxa" w:w="6679"/>
            <w:shd w:fill="EFEFEF" w:val="clear"/>
            <w:tcMar>
              <w:top w:type="dxa" w:w="70"/>
              <w:left w:type="dxa" w:w="90"/>
              <w:bottom w:type="dxa" w:w="70"/>
              <w:right w:type="dxa" w:w="90"/>
            </w:tcMar>
          </w:tcPr>
          <w:p>
            <w:pPr>
              <w:spacing w:after="20" w:line="250"/>
            </w:pPr>
            <w:r>
              <w:rPr>
                <w:b/>
                <w:bCs/>
                <w:sz w:val="17"/>
                <w:szCs w:val="17"/>
              </w:rPr>
              <w:t>Purpose</w:t>
            </w:r>
          </w:p>
        </w:tc>
      </w:tr>
      <w:tr>
        <w:tc>
          <w:tcPr>
            <w:tcW w:type="dxa" w:w="2347"/>
            <w:tcMar>
              <w:top w:type="dxa" w:w="70"/>
              <w:left w:type="dxa" w:w="90"/>
              <w:bottom w:type="dxa" w:w="70"/>
              <w:right w:type="dxa" w:w="90"/>
            </w:tcMar>
          </w:tcPr>
          <w:p>
            <w:pPr>
              <w:spacing w:after="20" w:line="250"/>
            </w:pPr>
            <w:r>
              <w:rPr>
                <w:sz w:val="17"/>
                <w:szCs w:val="17"/>
              </w:rPr>
              <w:t>thermal_model.py</w:t>
            </w:r>
          </w:p>
        </w:tc>
        <w:tc>
          <w:tcPr>
            <w:tcW w:type="dxa" w:w="6679"/>
            <w:tcMar>
              <w:top w:type="dxa" w:w="70"/>
              <w:left w:type="dxa" w:w="90"/>
              <w:bottom w:type="dxa" w:w="70"/>
              <w:right w:type="dxa" w:w="90"/>
            </w:tcMar>
          </w:tcPr>
          <w:p>
            <w:pPr>
              <w:spacing w:after="20" w:line="250"/>
            </w:pPr>
            <w:r>
              <w:rPr>
                <w:sz w:val="17"/>
                <w:szCs w:val="17"/>
              </w:rPr>
              <w:t>Vendor-independent two-node parametric model, synthetic load profiles and candidate metrics.</w:t>
            </w:r>
          </w:p>
        </w:tc>
      </w:tr>
      <w:tr>
        <w:tc>
          <w:tcPr>
            <w:tcW w:type="dxa" w:w="2347"/>
            <w:tcMar>
              <w:top w:type="dxa" w:w="70"/>
              <w:left w:type="dxa" w:w="90"/>
              <w:bottom w:type="dxa" w:w="70"/>
              <w:right w:type="dxa" w:w="90"/>
            </w:tcMar>
            <w:vAlign w:val="center"/>
          </w:tcPr>
          <w:p>
            <w:r/>
            <w:r>
              <w:rPr>
                <w:rFonts w:ascii="Aptos" w:hAnsi="Aptos"/>
                <w:b w:val="0"/>
                <w:sz w:val="16"/>
              </w:rPr>
              <w:t>run_all_v044.py</w:t>
            </w:r>
          </w:p>
        </w:tc>
        <w:tc>
          <w:tcPr>
            <w:tcW w:type="dxa" w:w="6679"/>
            <w:tcMar>
              <w:top w:type="dxa" w:w="70"/>
              <w:left w:type="dxa" w:w="90"/>
              <w:bottom w:type="dxa" w:w="70"/>
              <w:right w:type="dxa" w:w="90"/>
            </w:tcMar>
            <w:vAlign w:val="center"/>
          </w:tcPr>
          <w:p>
            <w:r/>
            <w:r>
              <w:rPr>
                <w:rFonts w:ascii="Aptos" w:hAnsi="Aptos"/>
                <w:b w:val="0"/>
                <w:sz w:val="14"/>
              </w:rPr>
              <w:t>Single authoritative numerical campaign: baseline, classified sensitivity entries/group spans, matched constructions, metrics, uncertainty, calibration, temporal feature, protection case, mixed release-step/realisation sensitivity, and deterministic fixed-forcing convergence.</w:t>
            </w:r>
          </w:p>
        </w:tc>
      </w:tr>
      <w:tr>
        <w:tc>
          <w:tcPr>
            <w:tcW w:type="dxa" w:w="2347"/>
            <w:tcMar>
              <w:top w:type="dxa" w:w="70"/>
              <w:left w:type="dxa" w:w="90"/>
              <w:bottom w:type="dxa" w:w="70"/>
              <w:right w:type="dxa" w:w="90"/>
            </w:tcMar>
            <w:vAlign w:val="center"/>
          </w:tcPr>
          <w:p>
            <w:r/>
            <w:r>
              <w:rPr>
                <w:rFonts w:ascii="Aptos" w:hAnsi="Aptos"/>
                <w:b w:val="0"/>
                <w:sz w:val="16"/>
              </w:rPr>
              <w:t>results_v044.json</w:t>
            </w:r>
          </w:p>
        </w:tc>
        <w:tc>
          <w:tcPr>
            <w:tcW w:type="dxa" w:w="6679"/>
            <w:tcMar>
              <w:top w:type="dxa" w:w="70"/>
              <w:left w:type="dxa" w:w="90"/>
              <w:bottom w:type="dxa" w:w="70"/>
              <w:right w:type="dxa" w:w="90"/>
            </w:tcMar>
            <w:vAlign w:val="center"/>
          </w:tcPr>
          <w:p>
            <w:r/>
            <w:r>
              <w:rPr>
                <w:rFonts w:ascii="Aptos" w:hAnsi="Aptos"/>
                <w:b w:val="0"/>
                <w:sz w:val="14"/>
              </w:rPr>
              <w:t>Single authoritative machine-readable numerical result file.</w:t>
            </w:r>
          </w:p>
        </w:tc>
      </w:tr>
      <w:tr>
        <w:tc>
          <w:tcPr>
            <w:tcW w:type="dxa" w:w="2347"/>
            <w:tcMar>
              <w:top w:type="dxa" w:w="70"/>
              <w:left w:type="dxa" w:w="90"/>
              <w:bottom w:type="dxa" w:w="70"/>
              <w:right w:type="dxa" w:w="90"/>
            </w:tcMar>
          </w:tcPr>
          <w:p>
            <w:pPr>
              <w:spacing w:after="20" w:line="250"/>
            </w:pPr>
            <w:r>
              <w:rPr>
                <w:sz w:val="17"/>
                <w:szCs w:val="17"/>
              </w:rPr>
              <w:t>plot_results.py</w:t>
            </w:r>
          </w:p>
        </w:tc>
        <w:tc>
          <w:tcPr>
            <w:tcW w:type="dxa" w:w="6679"/>
            <w:tcMar>
              <w:top w:type="dxa" w:w="70"/>
              <w:left w:type="dxa" w:w="90"/>
              <w:bottom w:type="dxa" w:w="70"/>
              <w:right w:type="dxa" w:w="90"/>
            </w:tcMar>
            <w:vAlign w:val="center"/>
          </w:tcPr>
          <w:p>
            <w:r/>
            <w:r>
              <w:rPr>
                <w:rFonts w:ascii="Aptos" w:hAnsi="Aptos"/>
                <w:b w:val="0"/>
                <w:sz w:val="14"/>
              </w:rPr>
              <w:t>Generates the five figures from the v0.4.4 model/results.</w:t>
            </w:r>
          </w:p>
        </w:tc>
      </w:tr>
      <w:tr>
        <w:tc>
          <w:tcPr>
            <w:tcW w:type="dxa" w:w="2347"/>
            <w:tcMar>
              <w:top w:type="dxa" w:w="70"/>
              <w:left w:type="dxa" w:w="90"/>
              <w:bottom w:type="dxa" w:w="70"/>
              <w:right w:type="dxa" w:w="90"/>
            </w:tcMar>
          </w:tcPr>
          <w:p>
            <w:pPr>
              <w:spacing w:after="20" w:line="250"/>
            </w:pPr>
            <w:r>
              <w:rPr>
                <w:sz w:val="17"/>
                <w:szCs w:val="17"/>
              </w:rPr>
              <w:t>requirements.txt + MANIFEST.sha256</w:t>
            </w:r>
          </w:p>
        </w:tc>
        <w:tc>
          <w:tcPr>
            <w:tcW w:type="dxa" w:w="6679"/>
            <w:tcMar>
              <w:top w:type="dxa" w:w="70"/>
              <w:left w:type="dxa" w:w="90"/>
              <w:bottom w:type="dxa" w:w="70"/>
              <w:right w:type="dxa" w:w="90"/>
            </w:tcMar>
          </w:tcPr>
          <w:p>
            <w:pPr>
              <w:spacing w:after="20" w:line="250"/>
            </w:pPr>
            <w:r>
              <w:rPr>
                <w:sz w:val="17"/>
                <w:szCs w:val="17"/>
              </w:rPr>
              <w:t>Pinned numerical dependencies and release-file integrity.</w:t>
            </w:r>
          </w:p>
        </w:tc>
      </w:tr>
    </w:tbl>
    <w:p>
      <w:pPr>
        <w:spacing w:after="120" w:line="276"/>
      </w:pPr>
      <w:r>
        <w:t>Authoritative workflow: review the complete release ZIP, verify MANIFEST.sha256 first, install the pinned dependencies, run run_all_v044.py to generate the single authoritative results_v044.json, then run plot_results.py for the five figures. Legacy v0.4–v0.4.3 campaign scripts are intentionally excluded from the normative package. The release claims numerical reproducibility in the recorded environment; exact PNG bytes may differ across operating-system/font stacks.</w:t>
      </w:r>
    </w:p>
    <w:p>
      <w:pPr>
        <w:pStyle w:val="Heading1"/>
      </w:pPr>
      <w:r>
        <w:t xml:space="preserve">Appendix B — Documentation Practice</w:t>
      </w:r>
    </w:p>
    <w:tbl>
      <w:tblPr>
        <w:tblW w:type="dxa" w:w="9026"/>
        <w:tblBorders>
          <w:top w:val="single" w:color="AAAAAA" w:sz="4"/>
          <w:left w:val="single" w:color="AAAAAA" w:sz="4"/>
          <w:bottom w:val="single" w:color="AAAAAA" w:sz="4"/>
          <w:right w:val="single" w:color="AAAAAA" w:sz="4"/>
          <w:insideH w:val="single" w:color="CCCCCC" w:sz="2"/>
          <w:insideV w:val="single" w:color="CCCCCC" w:sz="2"/>
        </w:tblBorders>
      </w:tblPr>
      <w:tblGrid>
        <w:gridCol w:w="5777"/>
        <w:gridCol w:w="3249"/>
      </w:tblGrid>
      <w:tr>
        <w:trPr>
          <w:tblHeader/>
          <w:tblHeader w:val="true"/>
        </w:trPr>
        <w:tc>
          <w:tcPr>
            <w:tcW w:type="dxa" w:w="5777"/>
            <w:shd w:fill="EFEFEF" w:val="clear"/>
            <w:tcMar>
              <w:top w:type="dxa" w:w="70"/>
              <w:left w:type="dxa" w:w="90"/>
              <w:bottom w:type="dxa" w:w="70"/>
              <w:right w:type="dxa" w:w="90"/>
            </w:tcMar>
          </w:tcPr>
          <w:p>
            <w:pPr>
              <w:spacing w:after="20" w:line="250"/>
            </w:pPr>
            <w:r>
              <w:rPr>
                <w:b/>
                <w:bCs/>
                <w:sz w:val="17"/>
                <w:szCs w:val="17"/>
              </w:rPr>
              <w:t xml:space="preserve">Rule</w:t>
            </w:r>
          </w:p>
        </w:tc>
        <w:tc>
          <w:tcPr>
            <w:tcW w:type="dxa" w:w="3249"/>
            <w:shd w:fill="EFEFEF" w:val="clear"/>
            <w:tcMar>
              <w:top w:type="dxa" w:w="70"/>
              <w:left w:type="dxa" w:w="90"/>
              <w:bottom w:type="dxa" w:w="70"/>
              <w:right w:type="dxa" w:w="90"/>
            </w:tcMar>
          </w:tcPr>
          <w:p>
            <w:pPr>
              <w:spacing w:after="20" w:line="250"/>
            </w:pPr>
            <w:r>
              <w:rPr>
                <w:b/>
                <w:bCs/>
                <w:sz w:val="17"/>
                <w:szCs w:val="17"/>
              </w:rPr>
              <w:t xml:space="preserve">Origin</w:t>
            </w:r>
          </w:p>
        </w:tc>
      </w:tr>
      <w:tr>
        <w:tc>
          <w:tcPr>
            <w:tcW w:type="dxa" w:w="5777"/>
            <w:tcMar>
              <w:top w:type="dxa" w:w="70"/>
              <w:left w:type="dxa" w:w="90"/>
              <w:bottom w:type="dxa" w:w="70"/>
              <w:right w:type="dxa" w:w="90"/>
            </w:tcMar>
          </w:tcPr>
          <w:p>
            <w:pPr>
              <w:spacing w:after="20" w:line="250"/>
            </w:pPr>
            <w:r>
              <w:rPr>
                <w:sz w:val="17"/>
                <w:szCs w:val="17"/>
              </w:rPr>
              <w:t xml:space="preserve">Requirements trace to a threat scenario, a SPARTA technique or declared extension, a control and test evidence.</w:t>
            </w:r>
          </w:p>
        </w:tc>
        <w:tc>
          <w:tcPr>
            <w:tcW w:type="dxa" w:w="3249"/>
            <w:tcMar>
              <w:top w:type="dxa" w:w="70"/>
              <w:left w:type="dxa" w:w="90"/>
              <w:bottom w:type="dxa" w:w="70"/>
              <w:right w:type="dxa" w:w="90"/>
            </w:tcMar>
          </w:tcPr>
          <w:p>
            <w:pPr>
              <w:spacing w:after="20" w:line="250"/>
            </w:pPr>
            <w:r>
              <w:rPr>
                <w:sz w:val="17"/>
                <w:szCs w:val="17"/>
              </w:rPr>
              <w:t xml:space="preserve">NASA lifecycle traceability [R1]</w:t>
            </w:r>
          </w:p>
        </w:tc>
      </w:tr>
      <w:tr>
        <w:tc>
          <w:tcPr>
            <w:tcW w:type="dxa" w:w="5777"/>
            <w:tcMar>
              <w:top w:type="dxa" w:w="70"/>
              <w:left w:type="dxa" w:w="90"/>
              <w:bottom w:type="dxa" w:w="70"/>
              <w:right w:type="dxa" w:w="90"/>
            </w:tcMar>
          </w:tcPr>
          <w:p>
            <w:pPr>
              <w:spacing w:after="20" w:line="250"/>
            </w:pPr>
            <w:r>
              <w:rPr>
                <w:sz w:val="17"/>
                <w:szCs w:val="17"/>
              </w:rPr>
              <w:t xml:space="preserve">Decisions are recorded as ADRs with context, alternatives and reopening conditions.</w:t>
            </w:r>
          </w:p>
        </w:tc>
        <w:tc>
          <w:tcPr>
            <w:tcW w:type="dxa" w:w="3249"/>
            <w:tcMar>
              <w:top w:type="dxa" w:w="70"/>
              <w:left w:type="dxa" w:w="90"/>
              <w:bottom w:type="dxa" w:w="70"/>
              <w:right w:type="dxa" w:w="90"/>
            </w:tcMar>
          </w:tcPr>
          <w:p>
            <w:pPr>
              <w:spacing w:after="20" w:line="250"/>
            </w:pPr>
            <w:r>
              <w:rPr>
                <w:sz w:val="17"/>
                <w:szCs w:val="17"/>
              </w:rPr>
              <w:t xml:space="preserve">AWS architecture decision records</w:t>
            </w:r>
          </w:p>
        </w:tc>
      </w:tr>
      <w:tr>
        <w:tc>
          <w:tcPr>
            <w:tcW w:type="dxa" w:w="5777"/>
            <w:tcMar>
              <w:top w:type="dxa" w:w="70"/>
              <w:left w:type="dxa" w:w="90"/>
              <w:bottom w:type="dxa" w:w="70"/>
              <w:right w:type="dxa" w:w="90"/>
            </w:tcMar>
          </w:tcPr>
          <w:p>
            <w:pPr>
              <w:spacing w:after="20" w:line="250"/>
            </w:pPr>
            <w:r>
              <w:rPr>
                <w:sz w:val="17"/>
                <w:szCs w:val="17"/>
              </w:rPr>
              <w:t xml:space="preserve">Documentation is updated in the same change as the model or code.</w:t>
            </w:r>
          </w:p>
        </w:tc>
        <w:tc>
          <w:tcPr>
            <w:tcW w:type="dxa" w:w="3249"/>
            <w:tcMar>
              <w:top w:type="dxa" w:w="70"/>
              <w:left w:type="dxa" w:w="90"/>
              <w:bottom w:type="dxa" w:w="70"/>
              <w:right w:type="dxa" w:w="90"/>
            </w:tcMar>
          </w:tcPr>
          <w:p>
            <w:pPr>
              <w:spacing w:after="20" w:line="250"/>
            </w:pPr>
            <w:r>
              <w:rPr>
                <w:sz w:val="17"/>
                <w:szCs w:val="17"/>
              </w:rPr>
              <w:t xml:space="preserve">Google living documentation</w:t>
            </w:r>
          </w:p>
        </w:tc>
      </w:tr>
      <w:tr>
        <w:tc>
          <w:tcPr>
            <w:tcW w:type="dxa" w:w="5777"/>
            <w:tcMar>
              <w:top w:type="dxa" w:w="70"/>
              <w:left w:type="dxa" w:w="90"/>
              <w:bottom w:type="dxa" w:w="70"/>
              <w:right w:type="dxa" w:w="90"/>
            </w:tcMar>
          </w:tcPr>
          <w:p>
            <w:pPr>
              <w:spacing w:after="20" w:line="250"/>
            </w:pPr>
            <w:r>
              <w:rPr>
                <w:sz w:val="17"/>
                <w:szCs w:val="17"/>
              </w:rPr>
              <w:t xml:space="preserve">Threat modelling occurs during design; mitigations name a component, an enforcement point and a test oracle.</w:t>
            </w:r>
          </w:p>
        </w:tc>
        <w:tc>
          <w:tcPr>
            <w:tcW w:type="dxa" w:w="3249"/>
            <w:tcMar>
              <w:top w:type="dxa" w:w="70"/>
              <w:left w:type="dxa" w:w="90"/>
              <w:bottom w:type="dxa" w:w="70"/>
              <w:right w:type="dxa" w:w="90"/>
            </w:tcMar>
          </w:tcPr>
          <w:p>
            <w:pPr>
              <w:spacing w:after="20" w:line="250"/>
            </w:pPr>
            <w:r>
              <w:rPr>
                <w:sz w:val="17"/>
                <w:szCs w:val="17"/>
              </w:rPr>
              <w:t xml:space="preserve">Microsoft SDL</w:t>
            </w:r>
          </w:p>
        </w:tc>
      </w:tr>
      <w:tr>
        <w:tc>
          <w:tcPr>
            <w:tcW w:type="dxa" w:w="5777"/>
            <w:tcMar>
              <w:top w:type="dxa" w:w="70"/>
              <w:left w:type="dxa" w:w="90"/>
              <w:bottom w:type="dxa" w:w="70"/>
              <w:right w:type="dxa" w:w="90"/>
            </w:tcMar>
          </w:tcPr>
          <w:p>
            <w:pPr>
              <w:spacing w:after="20" w:line="250"/>
            </w:pPr>
            <w:r>
              <w:rPr>
                <w:sz w:val="17"/>
                <w:szCs w:val="17"/>
              </w:rPr>
              <w:t xml:space="preserve">Security is engineered across the lifecycle with control evidence rather than assertion.</w:t>
            </w:r>
          </w:p>
        </w:tc>
        <w:tc>
          <w:tcPr>
            <w:tcW w:type="dxa" w:w="3249"/>
            <w:tcMar>
              <w:top w:type="dxa" w:w="70"/>
              <w:left w:type="dxa" w:w="90"/>
              <w:bottom w:type="dxa" w:w="70"/>
              <w:right w:type="dxa" w:w="90"/>
            </w:tcMar>
          </w:tcPr>
          <w:p>
            <w:pPr>
              <w:spacing w:after="20" w:line="250"/>
            </w:pPr>
            <w:r>
              <w:rPr>
                <w:sz w:val="17"/>
                <w:szCs w:val="17"/>
              </w:rPr>
              <w:t xml:space="preserve">NIST SP 800-160 [R4]</w:t>
            </w:r>
          </w:p>
        </w:tc>
      </w:tr>
      <w:tr>
        <w:tc>
          <w:tcPr>
            <w:tcW w:type="dxa" w:w="5777"/>
            <w:tcMar>
              <w:top w:type="dxa" w:w="70"/>
              <w:left w:type="dxa" w:w="90"/>
              <w:bottom w:type="dxa" w:w="70"/>
              <w:right w:type="dxa" w:w="90"/>
            </w:tcMar>
          </w:tcPr>
          <w:p>
            <w:pPr>
              <w:spacing w:after="20" w:line="250"/>
            </w:pPr>
            <w:r>
              <w:rPr>
                <w:sz w:val="17"/>
                <w:szCs w:val="17"/>
              </w:rPr>
              <w:t xml:space="preserve">Published claims are retracted explicitly, in the document, when evidence does not support them.</w:t>
            </w:r>
          </w:p>
        </w:tc>
        <w:tc>
          <w:tcPr>
            <w:tcW w:type="dxa" w:w="3249"/>
            <w:tcMar>
              <w:top w:type="dxa" w:w="70"/>
              <w:left w:type="dxa" w:w="90"/>
              <w:bottom w:type="dxa" w:w="70"/>
              <w:right w:type="dxa" w:w="90"/>
            </w:tcMar>
          </w:tcPr>
          <w:p>
            <w:pPr>
              <w:spacing w:after="20" w:line="250"/>
            </w:pPr>
            <w:r>
              <w:rPr>
                <w:sz w:val="17"/>
                <w:szCs w:val="17"/>
              </w:rPr>
              <w:t xml:space="preserve">Adopted in this revision</w:t>
            </w:r>
          </w:p>
        </w:tc>
      </w:tr>
    </w:tbl>
    <w:p>
      <w:pPr>
        <w:pStyle w:val="Heading1"/>
      </w:pPr>
      <w:r>
        <w:t xml:space="preserve">Appendix C — Source Register</w:t>
      </w:r>
    </w:p>
    <w:p>
      <w:pPr>
        <w:spacing w:after="120" w:line="276"/>
      </w:pPr>
      <w:r>
        <w:t>The source register below records itemised public references with publication identity and URLs/DOIs where available. Company-authored material is not used to calibrate TSM-01. Independent sources are separated by role: NASA constrains spacecraft thermal physics, Turyshev provides order-of-magnitude orbital-data-centre sizing context, and terrestrial scheduling literature establishes only that non-malicious thermal-aware workload distribution is a legitimate scheduling class. Private expert correspondence is provenance, not organisational endorsement or independent validation.</w:t>
      </w:r>
    </w:p>
    <w:tbl>
      <w:tblPr>
        <w:tblW w:type="dxa" w:w="9026"/>
        <w:jc w:val="center"/>
        <w:tblBorders>
          <w:top w:val="single" w:color="AAAAAA" w:sz="4"/>
          <w:left w:val="single" w:color="AAAAAA" w:sz="4"/>
          <w:bottom w:val="single" w:color="AAAAAA" w:sz="4"/>
          <w:right w:val="single" w:color="AAAAAA" w:sz="4"/>
          <w:insideH w:val="single" w:color="CCCCCC" w:sz="2"/>
          <w:insideV w:val="single" w:color="CCCCCC" w:sz="2"/>
        </w:tblBorders>
        <w:tblLayout w:type="fixed"/>
      </w:tblPr>
      <w:tblGrid>
        <w:gridCol w:w="722"/>
        <w:gridCol w:w="5235"/>
        <w:gridCol w:w="3069"/>
      </w:tblGrid>
      <w:tr>
        <w:trPr>
          <w:tblHeader/>
          <w:tblHeader w:val="true"/>
        </w:trPr>
        <w:tc>
          <w:tcPr>
            <w:tcW w:type="dxa" w:w="722"/>
            <w:shd w:fill="17365D" w:val="clear"/>
            <w:tcMar>
              <w:top w:type="dxa" w:w="50"/>
              <w:left w:type="dxa" w:w="90"/>
              <w:bottom w:type="dxa" w:w="50"/>
              <w:right w:type="dxa" w:w="90"/>
              <w:start w:w="75" w:type="dxa"/>
              <w:end w:w="75" w:type="dxa"/>
            </w:tcMar>
          </w:tcPr>
          <w:p>
            <w:pPr>
              <w:spacing w:after="20" w:line="250"/>
            </w:pPr>
            <w:r>
              <w:rPr>
                <w:b/>
                <w:bCs/>
                <w:color w:val="FFFFFF"/>
                <w:sz w:val="17"/>
                <w:szCs w:val="17"/>
              </w:rPr>
              <w:t xml:space="preserve">Ref</w:t>
            </w:r>
          </w:p>
        </w:tc>
        <w:tc>
          <w:tcPr>
            <w:tcW w:type="dxa" w:w="5235"/>
            <w:shd w:fill="17365D" w:val="clear"/>
            <w:tcMar>
              <w:top w:type="dxa" w:w="50"/>
              <w:left w:type="dxa" w:w="90"/>
              <w:bottom w:type="dxa" w:w="50"/>
              <w:right w:type="dxa" w:w="90"/>
              <w:start w:w="75" w:type="dxa"/>
              <w:end w:w="75" w:type="dxa"/>
            </w:tcMar>
          </w:tcPr>
          <w:p>
            <w:pPr>
              <w:spacing w:after="20" w:line="250"/>
            </w:pPr>
            <w:r>
              <w:rPr>
                <w:b/>
                <w:bCs/>
                <w:color w:val="FFFFFF"/>
                <w:sz w:val="17"/>
                <w:szCs w:val="17"/>
              </w:rPr>
              <w:t xml:space="preserve">Source</w:t>
            </w:r>
          </w:p>
        </w:tc>
        <w:tc>
          <w:tcPr>
            <w:tcW w:type="dxa" w:w="3069"/>
            <w:shd w:fill="17365D" w:val="clear"/>
            <w:tcMar>
              <w:top w:type="dxa" w:w="50"/>
              <w:left w:type="dxa" w:w="90"/>
              <w:bottom w:type="dxa" w:w="50"/>
              <w:right w:type="dxa" w:w="90"/>
              <w:start w:w="75" w:type="dxa"/>
              <w:end w:w="75" w:type="dxa"/>
            </w:tcMar>
          </w:tcPr>
          <w:p>
            <w:pPr>
              <w:spacing w:after="20" w:line="250"/>
            </w:pPr>
            <w:r>
              <w:rPr>
                <w:b/>
                <w:bCs/>
                <w:color w:val="FFFFFF"/>
                <w:sz w:val="17"/>
                <w:szCs w:val="17"/>
              </w:rPr>
              <w:t xml:space="preserve">Role</w:t>
            </w:r>
          </w:p>
        </w:tc>
      </w:tr>
      <w:tr>
        <w:tc>
          <w:tcPr>
            <w:tcW w:type="dxa" w:w="722"/>
            <w:tcMar>
              <w:top w:type="dxa" w:w="50"/>
              <w:left w:type="dxa" w:w="90"/>
              <w:bottom w:type="dxa" w:w="50"/>
              <w:right w:type="dxa" w:w="90"/>
              <w:start w:w="75" w:type="dxa"/>
              <w:end w:w="75" w:type="dxa"/>
            </w:tcMar>
          </w:tcPr>
          <w:p>
            <w:pPr>
              <w:spacing w:after="20" w:line="250"/>
            </w:pPr>
            <w:r>
              <w:rPr>
                <w:sz w:val="17"/>
                <w:szCs w:val="17"/>
              </w:rPr>
              <w:t>R1</w:t>
            </w:r>
          </w:p>
        </w:tc>
        <w:tc>
          <w:tcPr>
            <w:tcW w:type="dxa" w:w="5235"/>
            <w:tcMar>
              <w:top w:type="dxa" w:w="50"/>
              <w:left w:type="dxa" w:w="90"/>
              <w:bottom w:type="dxa" w:w="50"/>
              <w:right w:type="dxa" w:w="90"/>
              <w:start w:w="75" w:type="dxa"/>
              <w:end w:w="75" w:type="dxa"/>
            </w:tcMar>
          </w:tcPr>
          <w:p>
            <w:pPr>
              <w:spacing w:after="20" w:line="250"/>
            </w:pPr>
            <w:r>
              <w:rPr>
                <w:sz w:val="17"/>
                <w:szCs w:val="17"/>
              </w:rPr>
              <w:t>Hirshorn, S.R.; Voss, L.D.; Bromley, L.K. NASA Systems Engineering Handbook, NASA/SP-2016-6105 Rev. 2 (2016; NTRS release 2017). https://ntrs.nasa.gov/archive/nasa/casi.ntrs.nasa.gov/20170001761.pdf</w:t>
            </w:r>
          </w:p>
        </w:tc>
        <w:tc>
          <w:tcPr>
            <w:tcW w:type="dxa" w:w="3069"/>
            <w:tcMar>
              <w:top w:type="dxa" w:w="50"/>
              <w:left w:type="dxa" w:w="90"/>
              <w:bottom w:type="dxa" w:w="50"/>
              <w:right w:type="dxa" w:w="90"/>
              <w:start w:w="75" w:type="dxa"/>
              <w:end w:w="75" w:type="dxa"/>
            </w:tcMar>
          </w:tcPr>
          <w:p>
            <w:pPr>
              <w:spacing w:after="20" w:line="250"/>
            </w:pPr>
            <w:r>
              <w:rPr>
                <w:sz w:val="17"/>
                <w:szCs w:val="17"/>
              </w:rPr>
              <w:t>Lifecycle, ConOps, requirements, interfaces, V&amp;V and technical-review practice.</w:t>
            </w:r>
          </w:p>
        </w:tc>
      </w:tr>
      <w:tr>
        <w:tc>
          <w:tcPr>
            <w:tcW w:type="dxa" w:w="722"/>
            <w:tcMar>
              <w:top w:type="dxa" w:w="50"/>
              <w:left w:type="dxa" w:w="90"/>
              <w:bottom w:type="dxa" w:w="50"/>
              <w:right w:type="dxa" w:w="90"/>
              <w:start w:w="75" w:type="dxa"/>
              <w:end w:w="75" w:type="dxa"/>
            </w:tcMar>
            <w:shd w:fill="EAF0F5"/>
          </w:tcPr>
          <w:p>
            <w:pPr>
              <w:spacing w:after="20" w:line="250"/>
            </w:pPr>
            <w:r>
              <w:rPr>
                <w:sz w:val="17"/>
                <w:szCs w:val="17"/>
              </w:rPr>
              <w:t>R2</w:t>
            </w:r>
          </w:p>
        </w:tc>
        <w:tc>
          <w:tcPr>
            <w:tcW w:type="dxa" w:w="5235"/>
            <w:tcMar>
              <w:top w:type="dxa" w:w="50"/>
              <w:left w:type="dxa" w:w="90"/>
              <w:bottom w:type="dxa" w:w="50"/>
              <w:right w:type="dxa" w:w="90"/>
              <w:start w:w="75" w:type="dxa"/>
              <w:end w:w="75" w:type="dxa"/>
            </w:tcMar>
            <w:shd w:fill="EAF0F5"/>
          </w:tcPr>
          <w:p>
            <w:pPr>
              <w:spacing w:after="20" w:line="250"/>
            </w:pPr>
            <w:r>
              <w:rPr>
                <w:sz w:val="17"/>
                <w:szCs w:val="17"/>
              </w:rPr>
              <w:t>NASA IV&amp;V Program. S3001: Guidelines for Risk Management, Version G, effective 16 Oct 2017. https://www.nasa.gov/sites/default/files/atoms/files/s3001_guidelines_for_risk_management_-_ver_g_-_10-25-2017.pdf</w:t>
            </w:r>
          </w:p>
        </w:tc>
        <w:tc>
          <w:tcPr>
            <w:tcW w:type="dxa" w:w="3069"/>
            <w:tcMar>
              <w:top w:type="dxa" w:w="50"/>
              <w:left w:type="dxa" w:w="90"/>
              <w:bottom w:type="dxa" w:w="50"/>
              <w:right w:type="dxa" w:w="90"/>
              <w:start w:w="75" w:type="dxa"/>
              <w:end w:w="75" w:type="dxa"/>
            </w:tcMar>
            <w:shd w:fill="EAF0F5"/>
          </w:tcPr>
          <w:p>
            <w:pPr>
              <w:spacing w:after="20" w:line="250"/>
            </w:pPr>
            <w:r>
              <w:rPr>
                <w:sz w:val="17"/>
                <w:szCs w:val="17"/>
              </w:rPr>
              <w:t>NASA IV&amp;V risk-management guidance; not a general V&amp;V standard. Source of the 5×5 matrix referenced by SPARTA.</w:t>
            </w:r>
          </w:p>
        </w:tc>
      </w:tr>
      <w:tr>
        <w:tc>
          <w:tcPr>
            <w:tcW w:type="dxa" w:w="722"/>
            <w:tcMar>
              <w:top w:type="dxa" w:w="50"/>
              <w:left w:type="dxa" w:w="90"/>
              <w:bottom w:type="dxa" w:w="50"/>
              <w:right w:type="dxa" w:w="90"/>
              <w:start w:w="75" w:type="dxa"/>
              <w:end w:w="75" w:type="dxa"/>
            </w:tcMar>
          </w:tcPr>
          <w:p>
            <w:pPr>
              <w:spacing w:after="20" w:line="250"/>
            </w:pPr>
            <w:r>
              <w:rPr>
                <w:sz w:val="17"/>
                <w:szCs w:val="17"/>
              </w:rPr>
              <w:t>R3</w:t>
            </w:r>
          </w:p>
        </w:tc>
        <w:tc>
          <w:tcPr>
            <w:tcW w:type="dxa" w:w="5235"/>
            <w:tcMar>
              <w:top w:type="dxa" w:w="50"/>
              <w:left w:type="dxa" w:w="90"/>
              <w:bottom w:type="dxa" w:w="50"/>
              <w:right w:type="dxa" w:w="90"/>
              <w:start w:w="75" w:type="dxa"/>
              <w:end w:w="75" w:type="dxa"/>
            </w:tcMar>
          </w:tcPr>
          <w:p>
            <w:pPr>
              <w:spacing w:after="20" w:line="250"/>
            </w:pPr>
            <w:r>
              <w:rPr>
                <w:sz w:val="17"/>
                <w:szCs w:val="17"/>
              </w:rPr>
              <w:t>The Aerospace Corporation. SPARTA User Guide and Notional Risk Scores. https://sparta.aerospace.org/resources/user-guide ; https://sparta.aerospace.org/notional-risk-scores (accessed 8 Aug 2026).</w:t>
            </w:r>
          </w:p>
        </w:tc>
        <w:tc>
          <w:tcPr>
            <w:tcW w:type="dxa" w:w="3069"/>
            <w:tcMar>
              <w:top w:type="dxa" w:w="50"/>
              <w:left w:type="dxa" w:w="90"/>
              <w:bottom w:type="dxa" w:w="50"/>
              <w:right w:type="dxa" w:w="90"/>
              <w:start w:w="75" w:type="dxa"/>
              <w:end w:w="75" w:type="dxa"/>
            </w:tcMar>
          </w:tcPr>
          <w:p>
            <w:pPr>
              <w:spacing w:after="20" w:line="250"/>
            </w:pPr>
            <w:r>
              <w:rPr>
                <w:sz w:val="17"/>
                <w:szCs w:val="17"/>
              </w:rPr>
              <w:t>Technique taxonomy, NRS starting point, 5×5 cell scoring and mission-specific tailoring.</w:t>
            </w:r>
          </w:p>
        </w:tc>
      </w:tr>
      <w:tr>
        <w:tc>
          <w:tcPr>
            <w:tcW w:type="dxa" w:w="722"/>
            <w:tcMar>
              <w:top w:type="dxa" w:w="50"/>
              <w:left w:type="dxa" w:w="90"/>
              <w:bottom w:type="dxa" w:w="50"/>
              <w:right w:type="dxa" w:w="90"/>
              <w:start w:w="75" w:type="dxa"/>
              <w:end w:w="75" w:type="dxa"/>
            </w:tcMar>
            <w:shd w:fill="EAF0F5"/>
          </w:tcPr>
          <w:p>
            <w:pPr>
              <w:spacing w:after="20" w:line="250"/>
            </w:pPr>
            <w:r>
              <w:rPr>
                <w:sz w:val="17"/>
                <w:szCs w:val="17"/>
              </w:rPr>
              <w:t>R4</w:t>
            </w:r>
          </w:p>
        </w:tc>
        <w:tc>
          <w:tcPr>
            <w:tcW w:type="dxa" w:w="5235"/>
            <w:tcMar>
              <w:top w:type="dxa" w:w="50"/>
              <w:left w:type="dxa" w:w="90"/>
              <w:bottom w:type="dxa" w:w="50"/>
              <w:right w:type="dxa" w:w="90"/>
              <w:start w:w="75" w:type="dxa"/>
              <w:end w:w="75" w:type="dxa"/>
            </w:tcMar>
            <w:shd w:fill="EAF0F5"/>
          </w:tcPr>
          <w:p>
            <w:pPr>
              <w:spacing w:after="20" w:line="250"/>
            </w:pPr>
            <w:r>
              <w:rPr>
                <w:sz w:val="17"/>
                <w:szCs w:val="17"/>
              </w:rPr>
              <w:t>Ross, R.; Winstead, M.; McEvilley, M. NIST SP 800-160 Vol. 1 Rev. 1, Engineering Trustworthy Secure Systems (Nov 2022). DOI 10.6028/NIST.SP.800-160v1r1.</w:t>
            </w:r>
          </w:p>
        </w:tc>
        <w:tc>
          <w:tcPr>
            <w:tcW w:type="dxa" w:w="3069"/>
            <w:tcMar>
              <w:top w:type="dxa" w:w="50"/>
              <w:left w:type="dxa" w:w="90"/>
              <w:bottom w:type="dxa" w:w="50"/>
              <w:right w:type="dxa" w:w="90"/>
              <w:start w:w="75" w:type="dxa"/>
              <w:end w:w="75" w:type="dxa"/>
            </w:tcMar>
            <w:shd w:fill="EAF0F5"/>
          </w:tcPr>
          <w:p>
            <w:pPr>
              <w:spacing w:after="20" w:line="250"/>
            </w:pPr>
            <w:r>
              <w:rPr>
                <w:sz w:val="17"/>
                <w:szCs w:val="17"/>
              </w:rPr>
              <w:t>Systems-security engineering across the lifecycle.</w:t>
            </w:r>
          </w:p>
        </w:tc>
      </w:tr>
      <w:tr>
        <w:tc>
          <w:tcPr>
            <w:tcW w:type="dxa" w:w="722"/>
            <w:tcMar>
              <w:top w:type="dxa" w:w="50"/>
              <w:left w:type="dxa" w:w="90"/>
              <w:bottom w:type="dxa" w:w="50"/>
              <w:right w:type="dxa" w:w="90"/>
              <w:start w:w="75" w:type="dxa"/>
              <w:end w:w="75" w:type="dxa"/>
            </w:tcMar>
          </w:tcPr>
          <w:p>
            <w:pPr>
              <w:spacing w:after="20" w:line="250"/>
            </w:pPr>
            <w:r>
              <w:rPr>
                <w:sz w:val="17"/>
                <w:szCs w:val="17"/>
              </w:rPr>
              <w:t>R5</w:t>
            </w:r>
          </w:p>
        </w:tc>
        <w:tc>
          <w:tcPr>
            <w:tcW w:type="dxa" w:w="5235"/>
            <w:tcMar>
              <w:top w:type="dxa" w:w="50"/>
              <w:left w:type="dxa" w:w="90"/>
              <w:bottom w:type="dxa" w:w="50"/>
              <w:right w:type="dxa" w:w="90"/>
              <w:start w:w="75" w:type="dxa"/>
              <w:end w:w="75" w:type="dxa"/>
            </w:tcMar>
          </w:tcPr>
          <w:p>
            <w:pPr>
              <w:spacing w:after="20" w:line="250"/>
            </w:pPr>
            <w:r>
              <w:rPr>
                <w:sz w:val="17"/>
                <w:szCs w:val="17"/>
              </w:rPr>
              <w:t>Lightman, S.; Suloway, T.; Brule, J. NIST IR 8401, Satellite Ground Segment: Applying the Cybersecurity Framework to Satellite Command and Control (Dec 2022). DOI 10.6028/NIST.IR.8401.</w:t>
            </w:r>
          </w:p>
        </w:tc>
        <w:tc>
          <w:tcPr>
            <w:tcW w:type="dxa" w:w="3069"/>
            <w:tcMar>
              <w:top w:type="dxa" w:w="50"/>
              <w:left w:type="dxa" w:w="90"/>
              <w:bottom w:type="dxa" w:w="50"/>
              <w:right w:type="dxa" w:w="90"/>
              <w:start w:w="75" w:type="dxa"/>
              <w:end w:w="75" w:type="dxa"/>
            </w:tcMar>
          </w:tcPr>
          <w:p>
            <w:pPr>
              <w:spacing w:after="20" w:line="250"/>
            </w:pPr>
            <w:r>
              <w:rPr>
                <w:sz w:val="17"/>
                <w:szCs w:val="17"/>
              </w:rPr>
              <w:t>Ground-segment and command/control cybersecurity framing.</w:t>
            </w:r>
          </w:p>
        </w:tc>
      </w:tr>
      <w:tr>
        <w:tc>
          <w:tcPr>
            <w:tcW w:type="dxa" w:w="722"/>
            <w:tcMar>
              <w:top w:type="dxa" w:w="50"/>
              <w:left w:type="dxa" w:w="90"/>
              <w:bottom w:type="dxa" w:w="50"/>
              <w:right w:type="dxa" w:w="90"/>
              <w:start w:w="75" w:type="dxa"/>
              <w:end w:w="75" w:type="dxa"/>
            </w:tcMar>
            <w:shd w:fill="EAF0F5"/>
          </w:tcPr>
          <w:p>
            <w:pPr>
              <w:spacing w:after="20" w:line="250"/>
            </w:pPr>
            <w:r>
              <w:rPr>
                <w:sz w:val="17"/>
                <w:szCs w:val="17"/>
              </w:rPr>
              <w:t>R6</w:t>
            </w:r>
          </w:p>
        </w:tc>
        <w:tc>
          <w:tcPr>
            <w:tcW w:type="dxa" w:w="5235"/>
            <w:tcMar>
              <w:top w:type="dxa" w:w="50"/>
              <w:left w:type="dxa" w:w="90"/>
              <w:bottom w:type="dxa" w:w="50"/>
              <w:right w:type="dxa" w:w="90"/>
              <w:start w:w="75" w:type="dxa"/>
              <w:end w:w="75" w:type="dxa"/>
            </w:tcMar>
            <w:shd w:fill="EAF0F5"/>
          </w:tcPr>
          <w:p>
            <w:pPr>
              <w:spacing w:after="20" w:line="250"/>
            </w:pPr>
            <w:r>
              <w:rPr>
                <w:sz w:val="17"/>
                <w:szCs w:val="17"/>
              </w:rPr>
              <w:t>Souppaya, M.; Scarfone, K.; Dodson, D. NIST SP 800-218, Secure Software Development Framework (SSDF) Version 1.1 (Feb 2022). DOI 10.6028/NIST.SP.800-218.</w:t>
            </w:r>
          </w:p>
        </w:tc>
        <w:tc>
          <w:tcPr>
            <w:tcW w:type="dxa" w:w="3069"/>
            <w:tcMar>
              <w:top w:type="dxa" w:w="50"/>
              <w:left w:type="dxa" w:w="90"/>
              <w:bottom w:type="dxa" w:w="50"/>
              <w:right w:type="dxa" w:w="90"/>
              <w:start w:w="75" w:type="dxa"/>
              <w:end w:w="75" w:type="dxa"/>
            </w:tcMar>
            <w:shd w:fill="EAF0F5"/>
          </w:tcPr>
          <w:p>
            <w:pPr>
              <w:spacing w:after="20" w:line="250"/>
            </w:pPr>
            <w:r>
              <w:rPr>
                <w:sz w:val="17"/>
                <w:szCs w:val="17"/>
              </w:rPr>
              <w:t>Secure development, provenance and software/update supply chain.</w:t>
            </w:r>
          </w:p>
        </w:tc>
      </w:tr>
      <w:tr>
        <w:tc>
          <w:tcPr>
            <w:tcW w:type="dxa" w:w="722"/>
            <w:tcMar>
              <w:top w:type="dxa" w:w="50"/>
              <w:left w:type="dxa" w:w="90"/>
              <w:bottom w:type="dxa" w:w="50"/>
              <w:right w:type="dxa" w:w="90"/>
              <w:start w:w="75" w:type="dxa"/>
              <w:end w:w="75" w:type="dxa"/>
            </w:tcMar>
          </w:tcPr>
          <w:p>
            <w:pPr>
              <w:spacing w:after="20" w:line="250"/>
            </w:pPr>
            <w:r>
              <w:rPr>
                <w:sz w:val="17"/>
                <w:szCs w:val="17"/>
              </w:rPr>
              <w:t>R7</w:t>
            </w:r>
          </w:p>
        </w:tc>
        <w:tc>
          <w:tcPr>
            <w:tcW w:type="dxa" w:w="5235"/>
            <w:tcMar>
              <w:top w:type="dxa" w:w="50"/>
              <w:left w:type="dxa" w:w="90"/>
              <w:bottom w:type="dxa" w:w="50"/>
              <w:right w:type="dxa" w:w="90"/>
              <w:start w:w="75" w:type="dxa"/>
              <w:end w:w="75" w:type="dxa"/>
            </w:tcMar>
          </w:tcPr>
          <w:p>
            <w:pPr>
              <w:spacing w:after="20" w:line="250"/>
            </w:pPr>
            <w:r>
              <w:rPr>
                <w:sz w:val="17"/>
                <w:szCs w:val="17"/>
              </w:rPr>
              <w:t>Smailes, J.; Salkield, E.; Köhler, S.; Birnbach, S.; Martinovic, I. Dishing Out DoS: How to Disable and Secure the Starlink User Terminal. arXiv:2303.00582 (2023).</w:t>
            </w:r>
          </w:p>
        </w:tc>
        <w:tc>
          <w:tcPr>
            <w:tcW w:type="dxa" w:w="3069"/>
            <w:tcMar>
              <w:top w:type="dxa" w:w="50"/>
              <w:left w:type="dxa" w:w="90"/>
              <w:bottom w:type="dxa" w:w="50"/>
              <w:right w:type="dxa" w:w="90"/>
              <w:start w:w="75" w:type="dxa"/>
              <w:end w:w="75" w:type="dxa"/>
            </w:tcMar>
          </w:tcPr>
          <w:p>
            <w:pPr>
              <w:spacing w:after="20" w:line="250"/>
            </w:pPr>
            <w:r>
              <w:rPr>
                <w:sz w:val="17"/>
                <w:szCs w:val="17"/>
              </w:rPr>
              <w:t>Independent terminal-management/DoS evidence relevant to S-07; not transferred to other link classes without evidence.</w:t>
            </w:r>
          </w:p>
        </w:tc>
      </w:tr>
      <w:tr>
        <w:tc>
          <w:tcPr>
            <w:tcW w:type="dxa" w:w="722"/>
            <w:tcMar>
              <w:top w:type="dxa" w:w="50"/>
              <w:left w:type="dxa" w:w="90"/>
              <w:bottom w:type="dxa" w:w="50"/>
              <w:right w:type="dxa" w:w="90"/>
              <w:start w:w="75" w:type="dxa"/>
              <w:end w:w="75" w:type="dxa"/>
            </w:tcMar>
            <w:shd w:fill="EAF0F5"/>
          </w:tcPr>
          <w:p>
            <w:pPr>
              <w:spacing w:after="20" w:line="250"/>
            </w:pPr>
            <w:r>
              <w:rPr>
                <w:sz w:val="17"/>
                <w:szCs w:val="17"/>
              </w:rPr>
              <w:t>R8</w:t>
            </w:r>
          </w:p>
        </w:tc>
        <w:tc>
          <w:tcPr>
            <w:tcW w:type="dxa" w:w="5235"/>
            <w:tcMar>
              <w:top w:type="dxa" w:w="50"/>
              <w:left w:type="dxa" w:w="90"/>
              <w:bottom w:type="dxa" w:w="50"/>
              <w:right w:type="dxa" w:w="90"/>
              <w:start w:w="75" w:type="dxa"/>
              <w:end w:w="75" w:type="dxa"/>
            </w:tcMar>
            <w:shd w:fill="EAF0F5"/>
          </w:tcPr>
          <w:p>
            <w:pPr>
              <w:spacing w:after="20" w:line="250"/>
            </w:pPr>
            <w:r>
              <w:rPr>
                <w:sz w:val="17"/>
                <w:szCs w:val="17"/>
              </w:rPr>
              <w:t>Salkield, E. et al. Satellite Spoofing from A to Z: On the Requirements of Satellite Downlink Overshadowing Attacks. WiSec 2023, pp. 341–352. DOI 10.1145/3558482.3590190.</w:t>
            </w:r>
          </w:p>
        </w:tc>
        <w:tc>
          <w:tcPr>
            <w:tcW w:type="dxa" w:w="3069"/>
            <w:tcMar>
              <w:top w:type="dxa" w:w="50"/>
              <w:left w:type="dxa" w:w="90"/>
              <w:bottom w:type="dxa" w:w="50"/>
              <w:right w:type="dxa" w:w="90"/>
              <w:start w:w="75" w:type="dxa"/>
              <w:end w:w="75" w:type="dxa"/>
            </w:tcMar>
            <w:shd w:fill="EAF0F5"/>
          </w:tcPr>
          <w:p>
            <w:pPr>
              <w:spacing w:after="20" w:line="250"/>
            </w:pPr>
            <w:r>
              <w:rPr>
                <w:sz w:val="17"/>
                <w:szCs w:val="17"/>
              </w:rPr>
              <w:t>RF/downlink overshadowing feasibility context; does not validate optical-link assumptions.</w:t>
            </w:r>
          </w:p>
        </w:tc>
      </w:tr>
      <w:tr>
        <w:tc>
          <w:tcPr>
            <w:tcW w:type="dxa" w:w="722"/>
            <w:tcMar>
              <w:top w:type="dxa" w:w="50"/>
              <w:left w:type="dxa" w:w="90"/>
              <w:bottom w:type="dxa" w:w="50"/>
              <w:right w:type="dxa" w:w="90"/>
              <w:start w:w="75" w:type="dxa"/>
              <w:end w:w="75" w:type="dxa"/>
            </w:tcMar>
          </w:tcPr>
          <w:p>
            <w:pPr>
              <w:spacing w:after="20" w:line="250"/>
            </w:pPr>
            <w:r>
              <w:rPr>
                <w:sz w:val="17"/>
                <w:szCs w:val="17"/>
              </w:rPr>
              <w:t>R9</w:t>
            </w:r>
          </w:p>
        </w:tc>
        <w:tc>
          <w:tcPr>
            <w:tcW w:type="dxa" w:w="5235"/>
            <w:tcMar>
              <w:top w:type="dxa" w:w="50"/>
              <w:left w:type="dxa" w:w="90"/>
              <w:bottom w:type="dxa" w:w="50"/>
              <w:right w:type="dxa" w:w="90"/>
              <w:start w:w="75" w:type="dxa"/>
              <w:end w:w="75" w:type="dxa"/>
            </w:tcMar>
          </w:tcPr>
          <w:p>
            <w:pPr>
              <w:spacing w:after="20" w:line="250"/>
            </w:pPr>
            <w:r>
              <w:rPr>
                <w:sz w:val="17"/>
                <w:szCs w:val="17"/>
              </w:rPr>
              <w:t>Turyshev, S.G. Orbital Data Centers: Spacecraft Constraints and Economic Viability. arXiv:2604.27197 (29 Apr 2026).</w:t>
            </w:r>
          </w:p>
        </w:tc>
        <w:tc>
          <w:tcPr>
            <w:tcW w:type="dxa" w:w="3069"/>
            <w:tcMar>
              <w:top w:type="dxa" w:w="50"/>
              <w:left w:type="dxa" w:w="90"/>
              <w:bottom w:type="dxa" w:w="50"/>
              <w:right w:type="dxa" w:w="90"/>
              <w:start w:w="75" w:type="dxa"/>
              <w:end w:w="75" w:type="dxa"/>
            </w:tcMar>
            <w:vAlign w:val="center"/>
          </w:tcPr>
          <w:p>
            <w:r/>
            <w:r>
              <w:rPr>
                <w:rFonts w:ascii="Aptos" w:hAnsi="Aptos"/>
                <w:b w:val="0"/>
                <w:sz w:val="12"/>
              </w:rPr>
              <w:t>Independent orbital-data-centre spacecraft-constraint analysis. Representative 1 MW case uses 2,500 m² radiator area = 2.5 m²/kW, an order-of-magnitude area/power corroboration for TSM-01 only; not transient-model calibration.</w:t>
            </w:r>
          </w:p>
        </w:tc>
      </w:tr>
      <w:tr>
        <w:tc>
          <w:tcPr>
            <w:tcW w:type="dxa" w:w="722"/>
            <w:tcMar>
              <w:top w:type="dxa" w:w="50"/>
              <w:left w:type="dxa" w:w="90"/>
              <w:bottom w:type="dxa" w:w="50"/>
              <w:right w:type="dxa" w:w="90"/>
              <w:start w:w="75" w:type="dxa"/>
              <w:end w:w="75" w:type="dxa"/>
            </w:tcMar>
            <w:shd w:fill="EAF0F5"/>
          </w:tcPr>
          <w:p>
            <w:pPr>
              <w:spacing w:after="20" w:line="250"/>
            </w:pPr>
            <w:r>
              <w:rPr>
                <w:sz w:val="17"/>
                <w:szCs w:val="17"/>
              </w:rPr>
              <w:t>R10</w:t>
            </w:r>
          </w:p>
        </w:tc>
        <w:tc>
          <w:tcPr>
            <w:tcW w:type="dxa" w:w="5235"/>
            <w:tcMar>
              <w:top w:type="dxa" w:w="50"/>
              <w:left w:type="dxa" w:w="90"/>
              <w:bottom w:type="dxa" w:w="50"/>
              <w:right w:type="dxa" w:w="90"/>
              <w:start w:w="75" w:type="dxa"/>
              <w:end w:w="75" w:type="dxa"/>
            </w:tcMar>
            <w:shd w:fill="EAF0F5"/>
          </w:tcPr>
          <w:p>
            <w:pPr>
              <w:spacing w:after="20" w:line="250"/>
            </w:pPr>
            <w:r>
              <w:rPr>
                <w:sz w:val="17"/>
                <w:szCs w:val="17"/>
              </w:rPr>
              <w:t>Mugdho, S.S.; Hasan, M.S.; Wang, C. Space-CIM: Enabling Compute-In-Memory Accelerators for Thermally-Constrained Space Platforms. arXiv:2606.05741 (4 Jun 2026).</w:t>
            </w:r>
          </w:p>
        </w:tc>
        <w:tc>
          <w:tcPr>
            <w:tcW w:type="dxa" w:w="3069"/>
            <w:tcMar>
              <w:top w:type="dxa" w:w="50"/>
              <w:left w:type="dxa" w:w="90"/>
              <w:bottom w:type="dxa" w:w="50"/>
              <w:right w:type="dxa" w:w="90"/>
              <w:start w:w="75" w:type="dxa"/>
              <w:end w:w="75" w:type="dxa"/>
            </w:tcMar>
            <w:shd w:fill="EAF0F5"/>
          </w:tcPr>
          <w:p>
            <w:pPr>
              <w:spacing w:after="20" w:line="250"/>
            </w:pPr>
            <w:r>
              <w:rPr>
                <w:sz w:val="17"/>
                <w:szCs w:val="17"/>
              </w:rPr>
              <w:t>Independent radiator-in-the-loop compute/thermal analysis; supports thermal coupling relevance, not TSM-01 calibration.</w:t>
            </w:r>
          </w:p>
        </w:tc>
      </w:tr>
      <w:tr>
        <w:tc>
          <w:tcPr>
            <w:tcW w:type="dxa" w:w="722"/>
            <w:tcMar>
              <w:top w:type="dxa" w:w="50"/>
              <w:left w:type="dxa" w:w="90"/>
              <w:bottom w:type="dxa" w:w="50"/>
              <w:right w:type="dxa" w:w="90"/>
              <w:start w:w="75" w:type="dxa"/>
              <w:end w:w="75" w:type="dxa"/>
            </w:tcMar>
          </w:tcPr>
          <w:p>
            <w:pPr>
              <w:spacing w:after="20" w:line="250"/>
            </w:pPr>
            <w:r>
              <w:rPr>
                <w:sz w:val="17"/>
                <w:szCs w:val="17"/>
              </w:rPr>
              <w:t>R11</w:t>
            </w:r>
          </w:p>
        </w:tc>
        <w:tc>
          <w:tcPr>
            <w:tcW w:type="dxa" w:w="5235"/>
            <w:tcMar>
              <w:top w:type="dxa" w:w="50"/>
              <w:left w:type="dxa" w:w="90"/>
              <w:bottom w:type="dxa" w:w="50"/>
              <w:right w:type="dxa" w:w="90"/>
              <w:start w:w="75" w:type="dxa"/>
              <w:end w:w="75" w:type="dxa"/>
            </w:tcMar>
          </w:tcPr>
          <w:p>
            <w:pPr>
              <w:spacing w:after="20" w:line="250"/>
            </w:pPr>
            <w:r>
              <w:rPr>
                <w:sz w:val="17"/>
                <w:szCs w:val="17"/>
              </w:rPr>
              <w:t>Shi, Jiahao; Zhang, Xudong; Yang, Min et al. Thermal Management Technologies for Space Data Centers: Current Status and Prospects. Journal of Refrigeration 47(1):1–19 (2026). DOI 10.12465/issn.0253-4339.20251030004.</w:t>
            </w:r>
          </w:p>
        </w:tc>
        <w:tc>
          <w:tcPr>
            <w:tcW w:type="dxa" w:w="3069"/>
            <w:tcMar>
              <w:top w:type="dxa" w:w="50"/>
              <w:left w:type="dxa" w:w="90"/>
              <w:bottom w:type="dxa" w:w="50"/>
              <w:right w:type="dxa" w:w="90"/>
              <w:start w:w="75" w:type="dxa"/>
              <w:end w:w="75" w:type="dxa"/>
            </w:tcMar>
          </w:tcPr>
          <w:p>
            <w:pPr>
              <w:spacing w:after="20" w:line="250"/>
            </w:pPr>
            <w:r>
              <w:rPr>
                <w:sz w:val="17"/>
                <w:szCs w:val="17"/>
              </w:rPr>
              <w:t>Independent review of space-data-centre thermal-management constraints and technology directions.</w:t>
            </w:r>
          </w:p>
        </w:tc>
      </w:tr>
      <w:tr>
        <w:tc>
          <w:tcPr>
            <w:tcW w:type="dxa" w:w="722"/>
            <w:tcMar>
              <w:top w:type="dxa" w:w="50"/>
              <w:left w:type="dxa" w:w="90"/>
              <w:bottom w:type="dxa" w:w="50"/>
              <w:right w:type="dxa" w:w="90"/>
              <w:start w:w="75" w:type="dxa"/>
              <w:end w:w="75" w:type="dxa"/>
            </w:tcMar>
            <w:shd w:fill="EAF0F5"/>
          </w:tcPr>
          <w:p>
            <w:pPr>
              <w:spacing w:after="20" w:line="250"/>
            </w:pPr>
            <w:r>
              <w:rPr>
                <w:sz w:val="17"/>
                <w:szCs w:val="17"/>
              </w:rPr>
              <w:t>R12</w:t>
            </w:r>
          </w:p>
        </w:tc>
        <w:tc>
          <w:tcPr>
            <w:tcW w:type="dxa" w:w="5235"/>
            <w:tcMar>
              <w:top w:type="dxa" w:w="50"/>
              <w:left w:type="dxa" w:w="90"/>
              <w:bottom w:type="dxa" w:w="50"/>
              <w:right w:type="dxa" w:w="90"/>
              <w:start w:w="75" w:type="dxa"/>
              <w:end w:w="75" w:type="dxa"/>
            </w:tcMar>
            <w:shd w:fill="EAF0F5"/>
          </w:tcPr>
          <w:p>
            <w:pPr>
              <w:spacing w:after="20" w:line="250"/>
            </w:pPr>
            <w:r>
              <w:rPr>
                <w:sz w:val="17"/>
                <w:szCs w:val="17"/>
              </w:rPr>
              <w:t>NASA Small Spacecraft Systems Virtual Institute. State-of-the-Art of Small Spacecraft Technology, 7.0 Thermal Control, updated 7 May 2026. https://www.nasa.gov/smallsat-institute/sst-soa/thermal-control/</w:t>
            </w:r>
          </w:p>
        </w:tc>
        <w:tc>
          <w:tcPr>
            <w:tcW w:type="dxa" w:w="3069"/>
            <w:tcMar>
              <w:top w:type="dxa" w:w="50"/>
              <w:left w:type="dxa" w:w="90"/>
              <w:bottom w:type="dxa" w:w="50"/>
              <w:right w:type="dxa" w:w="90"/>
              <w:start w:w="75" w:type="dxa"/>
              <w:end w:w="75" w:type="dxa"/>
            </w:tcMar>
            <w:shd w:fill="EAF0F5"/>
          </w:tcPr>
          <w:p>
            <w:pPr>
              <w:spacing w:after="20" w:line="250"/>
            </w:pPr>
            <w:r>
              <w:rPr>
                <w:sz w:val="17"/>
                <w:szCs w:val="17"/>
              </w:rPr>
              <w:t>Spacecraft heat balance, radiative rejection, radiator area/emissivity and environmental-load context.</w:t>
            </w:r>
          </w:p>
        </w:tc>
      </w:tr>
      <w:tr>
        <w:tc>
          <w:tcPr>
            <w:tcW w:type="dxa" w:w="722"/>
            <w:tcMar>
              <w:top w:type="dxa" w:w="50"/>
              <w:left w:type="dxa" w:w="90"/>
              <w:bottom w:type="dxa" w:w="50"/>
              <w:right w:type="dxa" w:w="90"/>
              <w:start w:w="75" w:type="dxa"/>
              <w:end w:w="75" w:type="dxa"/>
            </w:tcMar>
          </w:tcPr>
          <w:p>
            <w:pPr>
              <w:spacing w:after="20" w:line="250"/>
            </w:pPr>
            <w:r>
              <w:rPr>
                <w:sz w:val="17"/>
                <w:szCs w:val="17"/>
              </w:rPr>
              <w:t>R13</w:t>
            </w:r>
          </w:p>
        </w:tc>
        <w:tc>
          <w:tcPr>
            <w:tcW w:type="dxa" w:w="5235"/>
            <w:tcMar>
              <w:top w:type="dxa" w:w="50"/>
              <w:left w:type="dxa" w:w="90"/>
              <w:bottom w:type="dxa" w:w="50"/>
              <w:right w:type="dxa" w:w="90"/>
              <w:start w:w="75" w:type="dxa"/>
              <w:end w:w="75" w:type="dxa"/>
            </w:tcMar>
          </w:tcPr>
          <w:p>
            <w:pPr>
              <w:spacing w:after="20" w:line="250"/>
            </w:pPr>
            <w:r>
              <w:rPr>
                <w:sz w:val="17"/>
                <w:szCs w:val="17"/>
              </w:rPr>
              <w:t>NIST/CODATA. Stefan–Boltzmann constant, exact value 5.670374419×10⁻⁸ W m⁻² K⁻⁴. https://physics.nist.gov/cgi-bin/cuu/Value?sigma</w:t>
            </w:r>
          </w:p>
        </w:tc>
        <w:tc>
          <w:tcPr>
            <w:tcW w:type="dxa" w:w="3069"/>
            <w:tcMar>
              <w:top w:type="dxa" w:w="50"/>
              <w:left w:type="dxa" w:w="90"/>
              <w:bottom w:type="dxa" w:w="50"/>
              <w:right w:type="dxa" w:w="90"/>
              <w:start w:w="75" w:type="dxa"/>
              <w:end w:w="75" w:type="dxa"/>
            </w:tcMar>
          </w:tcPr>
          <w:p>
            <w:pPr>
              <w:spacing w:after="20" w:line="250"/>
            </w:pPr>
            <w:r>
              <w:rPr>
                <w:sz w:val="17"/>
                <w:szCs w:val="17"/>
              </w:rPr>
              <w:t>Physical constant used in the radiative term.</w:t>
            </w:r>
          </w:p>
        </w:tc>
      </w:tr>
      <w:tr>
        <w:tc>
          <w:tcPr>
            <w:tcW w:type="dxa" w:w="722"/>
            <w:tcMar>
              <w:top w:w="50" w:type="dxa"/>
              <w:start w:w="75" w:type="dxa"/>
              <w:bottom w:w="50" w:type="dxa"/>
              <w:end w:w="75" w:type="dxa"/>
            </w:tcMar>
            <w:shd w:fill="EAF0F5"/>
          </w:tcPr>
          <w:p>
            <w:pPr>
              <w:spacing w:after="20" w:line="250"/>
            </w:pPr>
            <w:r>
              <w:rPr>
                <w:sz w:val="17"/>
                <w:szCs w:val="17"/>
              </w:rPr>
              <w:t>R14</w:t>
            </w:r>
          </w:p>
        </w:tc>
        <w:tc>
          <w:tcPr>
            <w:tcW w:type="dxa" w:w="5235"/>
            <w:tcMar>
              <w:top w:w="50" w:type="dxa"/>
              <w:start w:w="75" w:type="dxa"/>
              <w:bottom w:w="50" w:type="dxa"/>
              <w:end w:w="75" w:type="dxa"/>
            </w:tcMar>
            <w:shd w:fill="EAF0F5"/>
          </w:tcPr>
          <w:p>
            <w:pPr>
              <w:spacing w:after="20" w:line="250"/>
            </w:pPr>
            <w:r>
              <w:rPr>
                <w:sz w:val="17"/>
                <w:szCs w:val="17"/>
              </w:rPr>
              <w:t>Kunce, D.; Goby, D. AWS Prescriptive Guidance, Using Architectural Decision Records to Streamline Decision-Making During Development. https://docs.aws.amazon.com/prescriptive-guidance/latest/architectural-decision-records/</w:t>
            </w:r>
          </w:p>
        </w:tc>
        <w:tc>
          <w:tcPr>
            <w:tcW w:type="dxa" w:w="3069"/>
            <w:tcMar>
              <w:top w:w="50" w:type="dxa"/>
              <w:start w:w="75" w:type="dxa"/>
              <w:bottom w:w="50" w:type="dxa"/>
              <w:end w:w="75" w:type="dxa"/>
            </w:tcMar>
            <w:shd w:fill="EAF0F5"/>
          </w:tcPr>
          <w:p>
            <w:pPr>
              <w:spacing w:after="20" w:line="250"/>
            </w:pPr>
            <w:r>
              <w:rPr>
                <w:sz w:val="17"/>
                <w:szCs w:val="17"/>
              </w:rPr>
              <w:t>ADR context/decision/consequence and history discipline.</w:t>
            </w:r>
          </w:p>
        </w:tc>
      </w:tr>
      <w:tr>
        <w:tc>
          <w:tcPr>
            <w:tcW w:type="dxa" w:w="722"/>
            <w:tcMar>
              <w:top w:w="50" w:type="dxa"/>
              <w:start w:w="75" w:type="dxa"/>
              <w:bottom w:w="50" w:type="dxa"/>
              <w:end w:w="75" w:type="dxa"/>
            </w:tcMar>
          </w:tcPr>
          <w:p>
            <w:pPr>
              <w:spacing w:after="20" w:line="250"/>
            </w:pPr>
            <w:r>
              <w:rPr>
                <w:sz w:val="17"/>
                <w:szCs w:val="17"/>
              </w:rPr>
              <w:t>R15</w:t>
            </w:r>
          </w:p>
        </w:tc>
        <w:tc>
          <w:tcPr>
            <w:tcW w:type="dxa" w:w="5235"/>
            <w:tcMar>
              <w:top w:w="50" w:type="dxa"/>
              <w:start w:w="75" w:type="dxa"/>
              <w:bottom w:w="50" w:type="dxa"/>
              <w:end w:w="75" w:type="dxa"/>
            </w:tcMar>
          </w:tcPr>
          <w:p>
            <w:pPr>
              <w:spacing w:after="20" w:line="250"/>
            </w:pPr>
            <w:r>
              <w:rPr>
                <w:sz w:val="17"/>
                <w:szCs w:val="17"/>
              </w:rPr>
              <w:t>Google Style Guides. Documentation Best Practices. https://google.github.io/styleguide/docguide/best_practices.html</w:t>
            </w:r>
          </w:p>
        </w:tc>
        <w:tc>
          <w:tcPr>
            <w:tcW w:type="dxa" w:w="3069"/>
            <w:tcMar>
              <w:top w:w="50" w:type="dxa"/>
              <w:start w:w="75" w:type="dxa"/>
              <w:bottom w:w="50" w:type="dxa"/>
              <w:end w:w="75" w:type="dxa"/>
            </w:tcMar>
          </w:tcPr>
          <w:p>
            <w:pPr>
              <w:spacing w:after="20" w:line="250"/>
            </w:pPr>
            <w:r>
              <w:rPr>
                <w:sz w:val="17"/>
                <w:szCs w:val="17"/>
              </w:rPr>
              <w:t>Minimum viable documentation; update docs with code; remove dead/duplicated documentation.</w:t>
            </w:r>
          </w:p>
        </w:tc>
      </w:tr>
      <w:tr>
        <w:tc>
          <w:tcPr>
            <w:tcW w:type="dxa" w:w="722"/>
            <w:tcMar>
              <w:top w:w="50" w:type="dxa"/>
              <w:start w:w="75" w:type="dxa"/>
              <w:bottom w:w="50" w:type="dxa"/>
              <w:end w:w="75" w:type="dxa"/>
            </w:tcMar>
            <w:shd w:fill="EAF0F5"/>
          </w:tcPr>
          <w:p>
            <w:pPr>
              <w:spacing w:after="20" w:line="250"/>
            </w:pPr>
            <w:r>
              <w:rPr>
                <w:sz w:val="17"/>
                <w:szCs w:val="17"/>
              </w:rPr>
              <w:t>R16</w:t>
            </w:r>
          </w:p>
        </w:tc>
        <w:tc>
          <w:tcPr>
            <w:tcW w:type="dxa" w:w="5235"/>
            <w:tcMar>
              <w:top w:w="50" w:type="dxa"/>
              <w:start w:w="75" w:type="dxa"/>
              <w:bottom w:w="50" w:type="dxa"/>
              <w:end w:w="75" w:type="dxa"/>
            </w:tcMar>
            <w:shd w:fill="EAF0F5"/>
          </w:tcPr>
          <w:p>
            <w:pPr>
              <w:spacing w:after="20" w:line="250"/>
            </w:pPr>
            <w:r>
              <w:rPr>
                <w:sz w:val="17"/>
                <w:szCs w:val="17"/>
              </w:rPr>
              <w:t>Microsoft Learn. Getting Started — Microsoft Threat Modeling Tool. https://learn.microsoft.com/en-us/azure/security/develop/threat-modeling-tool-getting-started</w:t>
            </w:r>
          </w:p>
        </w:tc>
        <w:tc>
          <w:tcPr>
            <w:tcW w:type="dxa" w:w="3069"/>
            <w:tcMar>
              <w:top w:w="50" w:type="dxa"/>
              <w:start w:w="75" w:type="dxa"/>
              <w:bottom w:w="50" w:type="dxa"/>
              <w:end w:w="75" w:type="dxa"/>
            </w:tcMar>
            <w:shd w:fill="EAF0F5"/>
          </w:tcPr>
          <w:p>
            <w:pPr>
              <w:spacing w:after="20" w:line="250"/>
            </w:pPr>
            <w:r>
              <w:rPr>
                <w:sz w:val="17"/>
                <w:szCs w:val="17"/>
              </w:rPr>
              <w:t>DFD and trust-boundary modelling practice.</w:t>
            </w:r>
          </w:p>
        </w:tc>
      </w:tr>
      <w:tr>
        <w:tc>
          <w:tcPr>
            <w:tcW w:type="dxa" w:w="722"/>
            <w:tcMar>
              <w:top w:w="50" w:type="dxa"/>
              <w:start w:w="75" w:type="dxa"/>
              <w:bottom w:w="50" w:type="dxa"/>
              <w:end w:w="75" w:type="dxa"/>
            </w:tcMar>
          </w:tcPr>
          <w:p>
            <w:pPr>
              <w:spacing w:after="20" w:line="250"/>
            </w:pPr>
            <w:r>
              <w:rPr>
                <w:sz w:val="17"/>
                <w:szCs w:val="17"/>
              </w:rPr>
              <w:t>R17</w:t>
            </w:r>
          </w:p>
        </w:tc>
        <w:tc>
          <w:tcPr>
            <w:tcW w:type="dxa" w:w="5235"/>
            <w:tcMar>
              <w:top w:w="50" w:type="dxa"/>
              <w:start w:w="75" w:type="dxa"/>
              <w:bottom w:w="50" w:type="dxa"/>
              <w:end w:w="75" w:type="dxa"/>
            </w:tcMar>
          </w:tcPr>
          <w:p>
            <w:pPr>
              <w:spacing w:after="20" w:line="250"/>
            </w:pPr>
            <w:r>
              <w:rPr>
                <w:sz w:val="17"/>
                <w:szCs w:val="17"/>
              </w:rPr>
              <w:t>Private correspondence: Brandon Bailey (23–24 Jun 2026); Gregory Falco (23 Jun 2026); Edd Salkield (6 Aug 2026).</w:t>
            </w:r>
          </w:p>
        </w:tc>
        <w:tc>
          <w:tcPr>
            <w:tcW w:type="dxa" w:w="3069"/>
            <w:tcMar>
              <w:top w:w="50" w:type="dxa"/>
              <w:start w:w="75" w:type="dxa"/>
              <w:bottom w:w="50" w:type="dxa"/>
              <w:end w:w="75" w:type="dxa"/>
            </w:tcMar>
          </w:tcPr>
          <w:p>
            <w:pPr>
              <w:spacing w:after="20" w:line="250"/>
            </w:pPr>
            <w:r>
              <w:rPr>
                <w:sz w:val="17"/>
                <w:szCs w:val="17"/>
              </w:rPr>
              <w:t>Expert-input provenance within stated scope. No organisational endorsement; Salkield consultation not yet held.</w:t>
            </w:r>
          </w:p>
        </w:tc>
      </w:tr>
      <w:tr>
        <w:tc>
          <w:tcPr>
            <w:tcW w:type="dxa" w:w="722"/>
            <w:tcMar>
              <w:top w:w="50" w:type="dxa"/>
              <w:start w:w="75" w:type="dxa"/>
              <w:bottom w:w="50" w:type="dxa"/>
              <w:end w:w="75" w:type="dxa"/>
            </w:tcMar>
            <w:shd w:fill="EAF0F5"/>
          </w:tcPr>
          <w:p>
            <w:pPr>
              <w:spacing w:after="20" w:line="250"/>
            </w:pPr>
            <w:r>
              <w:rPr>
                <w:sz w:val="17"/>
                <w:szCs w:val="17"/>
              </w:rPr>
              <w:t>R18</w:t>
            </w:r>
          </w:p>
        </w:tc>
        <w:tc>
          <w:tcPr>
            <w:tcW w:type="dxa" w:w="5235"/>
            <w:vAlign w:val="center"/>
            <w:tcMar>
              <w:top w:w="50" w:type="dxa"/>
              <w:start w:w="75" w:type="dxa"/>
              <w:bottom w:w="50" w:type="dxa"/>
              <w:end w:w="75" w:type="dxa"/>
            </w:tcMar>
            <w:shd w:fill="EAF0F5"/>
          </w:tcPr>
          <w:p>
            <w:r/>
            <w:r>
              <w:rPr>
                <w:rFonts w:ascii="Aptos" w:hAnsi="Aptos"/>
                <w:b w:val="0"/>
                <w:sz w:val="12"/>
              </w:rPr>
              <w:t>AI-assisted technical audits of v0.4–v0.4.3 plus project re-execution of numerical outputs.</w:t>
            </w:r>
          </w:p>
        </w:tc>
        <w:tc>
          <w:tcPr>
            <w:tcW w:type="dxa" w:w="3069"/>
            <w:tcMar>
              <w:top w:w="50" w:type="dxa"/>
              <w:start w:w="75" w:type="dxa"/>
              <w:bottom w:w="50" w:type="dxa"/>
              <w:end w:w="75" w:type="dxa"/>
            </w:tcMar>
            <w:shd w:fill="EAF0F5"/>
          </w:tcPr>
          <w:p>
            <w:pPr>
              <w:spacing w:after="20" w:line="250"/>
            </w:pPr>
            <w:r>
              <w:rPr>
                <w:sz w:val="17"/>
                <w:szCs w:val="17"/>
              </w:rPr>
              <w:t>Audit provenance only. Not independent human peer review or spacecraft-thermal validation.</w:t>
            </w:r>
          </w:p>
        </w:tc>
      </w:tr>
      <w:tr>
        <w:tc>
          <w:tcPr>
            <w:tcW w:type="dxa" w:w="722"/>
            <w:vAlign w:val="center"/>
            <w:tcMar>
              <w:top w:w="50" w:type="dxa"/>
              <w:start w:w="75" w:type="dxa"/>
              <w:bottom w:w="50" w:type="dxa"/>
              <w:end w:w="75" w:type="dxa"/>
            </w:tcMar>
          </w:tcPr>
          <w:p>
            <w:r/>
            <w:r>
              <w:rPr>
                <w:rFonts w:ascii="Aptos" w:hAnsi="Aptos"/>
                <w:b w:val="0"/>
                <w:sz w:val="12"/>
              </w:rPr>
              <w:t>R19</w:t>
            </w:r>
          </w:p>
        </w:tc>
        <w:tc>
          <w:tcPr>
            <w:tcW w:type="dxa" w:w="5235"/>
            <w:vAlign w:val="center"/>
            <w:tcMar>
              <w:top w:w="50" w:type="dxa"/>
              <w:start w:w="75" w:type="dxa"/>
              <w:bottom w:w="50" w:type="dxa"/>
              <w:end w:w="75" w:type="dxa"/>
            </w:tcMar>
          </w:tcPr>
          <w:p>
            <w:r/>
            <w:r>
              <w:rPr>
                <w:rFonts w:ascii="Aptos" w:hAnsi="Aptos"/>
                <w:b w:val="0"/>
                <w:sz w:val="12"/>
              </w:rPr>
              <w:t>Rostami, S.; Down, D.G.; Karakostas, G. Thermal-aware Workload Distribution for Data Centers with Demand Variations. IGSC 2023, pp. 63–66. DOI 10.1145/3634769.3634811; arXiv:2308.12559.</w:t>
            </w:r>
          </w:p>
        </w:tc>
        <w:tc>
          <w:tcPr>
            <w:tcW w:type="dxa" w:w="3069"/>
            <w:vAlign w:val="center"/>
            <w:tcMar>
              <w:top w:w="50" w:type="dxa"/>
              <w:start w:w="75" w:type="dxa"/>
              <w:bottom w:w="50" w:type="dxa"/>
              <w:end w:w="75" w:type="dxa"/>
            </w:tcMar>
          </w:tcPr>
          <w:p>
            <w:r/>
            <w:r>
              <w:rPr>
                <w:rFonts w:ascii="Aptos" w:hAnsi="Aptos"/>
                <w:b w:val="0"/>
                <w:sz w:val="12"/>
              </w:rPr>
              <w:t>Independent evidence that non-malicious thermal-aware workload distribution is an established data-centre scheduling class. Used only as terrestrial scheduling context; no claim of orbital prevalence is transferred.</w:t>
            </w:r>
          </w:p>
        </w:tc>
      </w:tr>
      <w:tr>
        <w:tc>
          <w:tcPr>
            <w:tcW w:type="dxa" w:w="722"/>
            <w:vAlign w:val="center"/>
            <w:tcMar>
              <w:top w:w="50" w:type="dxa"/>
              <w:start w:w="75" w:type="dxa"/>
              <w:bottom w:w="50" w:type="dxa"/>
              <w:end w:w="75" w:type="dxa"/>
            </w:tcMar>
            <w:shd w:fill="EAF0F5"/>
          </w:tcPr>
          <w:p>
            <w:r/>
            <w:r>
              <w:rPr>
                <w:rFonts w:ascii="Aptos" w:hAnsi="Aptos"/>
                <w:b w:val="0"/>
                <w:sz w:val="12"/>
              </w:rPr>
              <w:t>R20</w:t>
            </w:r>
          </w:p>
        </w:tc>
        <w:tc>
          <w:tcPr>
            <w:tcW w:type="dxa" w:w="5235"/>
            <w:vAlign w:val="center"/>
            <w:tcMar>
              <w:top w:w="50" w:type="dxa"/>
              <w:start w:w="75" w:type="dxa"/>
              <w:bottom w:w="50" w:type="dxa"/>
              <w:end w:w="75" w:type="dxa"/>
            </w:tcMar>
            <w:shd w:fill="EAF0F5"/>
          </w:tcPr>
          <w:p>
            <w:r/>
            <w:r>
              <w:rPr>
                <w:rFonts w:ascii="Aptos" w:hAnsi="Aptos"/>
                <w:b w:val="0"/>
                <w:sz w:val="12"/>
              </w:rPr>
              <w:t>NASA Jet Propulsion Laboratory Science. Slava G. Turyshev researcher profile. https://science.jpl.nasa.gov/people/turyshev/ (accessed 8 Aug 2026).</w:t>
            </w:r>
          </w:p>
        </w:tc>
        <w:tc>
          <w:tcPr>
            <w:tcW w:type="dxa" w:w="3069"/>
            <w:vAlign w:val="center"/>
            <w:tcMar>
              <w:top w:w="50" w:type="dxa"/>
              <w:start w:w="75" w:type="dxa"/>
              <w:bottom w:w="50" w:type="dxa"/>
              <w:end w:w="75" w:type="dxa"/>
            </w:tcMar>
            <w:shd w:fill="EAF0F5"/>
          </w:tcPr>
          <w:p>
            <w:r/>
            <w:r>
              <w:rPr>
                <w:rFonts w:ascii="Aptos" w:hAnsi="Aptos"/>
                <w:b w:val="0"/>
                <w:sz w:val="12"/>
              </w:rPr>
              <w:t>Author-affiliation provenance for R9 only; does not imply JPL/NASA endorsement of TSM-01 or of the orbital-data-centre paper.</w:t>
            </w:r>
          </w:p>
        </w:tc>
      </w:tr>
    </w:tbl>
    <w:p>
      <w:pPr>
        <w:spacing w:after="120" w:line="276"/>
      </w:pPr>
      <w:r>
        <w:rPr>
          <w:color w:val="595959"/>
          <w:sz w:val="19"/>
          <w:szCs w:val="19"/>
        </w:rPr>
        <w:t>The remaining source gap is hardware-specific: the project has deliberately not selected a generic accelerator temperature limit. Until a target architecture exists, 75 °C and 90 °C remain model assumptions rather than sourced requirements.</w:t>
      </w:r>
    </w:p>
    <w:p>
      <w:pPr>
        <w:spacing w:after="200"/>
      </w:pPr>
    </w:p>
    <w:p>
      <w:pPr>
        <w:spacing w:after="120" w:line="276"/>
      </w:pPr>
      <w:r>
        <w:rPr>
          <w:i/>
          <w:iCs/>
          <w:color w:val="595959"/>
          <w:sz w:val="18"/>
          <w:szCs w:val="18"/>
        </w:rPr>
        <w:t xml:space="preserve">Nothing in this document asserts a vulnerability in any named company, product or platform. The reference architecture is generic and vendor-independent. The findings describe behaviour of a parametric model under stated assumptions, not the behaviour of any deployed system.</w:t>
      </w:r>
    </w:p>
    <w:sectPr>
      <w:footerReference w:type="default" r:id="rId7"/>
      <w:headerReference w:type="default" r:id="rId14"/>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Orbital Compute Cyber-Physical Threat Model v0.4.4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3541E" w:sz="6" w:space="6"/>
      </w:pBdr>
      <w:spacing w:after="160" w:before="340"/>
    </w:pPr>
    <w:rPr>
      <w:rFonts w:ascii="Calibri" w:cs="Calibri" w:eastAsia="Calibri" w:hAnsi="Calibri"/>
      <w:b/>
      <w:bCs/>
      <w:color w:val="1A1A1A"/>
      <w:sz w:val="30"/>
      <w:szCs w:val="30"/>
    </w:rPr>
  </w:style>
  <w:style w:type="paragraph" w:styleId="Heading2">
    <w:name w:val="Heading 2"/>
    <w:basedOn w:val="Normal"/>
    <w:next w:val="Normal"/>
    <w:qFormat/>
    <w:pPr>
      <w:spacing w:after="120" w:before="260"/>
    </w:pPr>
    <w:rPr>
      <w:rFonts w:ascii="Calibri" w:cs="Calibri" w:eastAsia="Calibri" w:hAnsi="Calibri"/>
      <w:b/>
      <w:bCs/>
      <w:color w:val="2A2A2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72e3904922d8687f34d44e1fced4cbe0e01d558.png"/><Relationship Id="rId9" Type="http://schemas.openxmlformats.org/officeDocument/2006/relationships/image" Target="media/a3c2481fea0e36b5ebe7a472529da5ed66b297e0.png"/><Relationship Id="rId10" Type="http://schemas.openxmlformats.org/officeDocument/2006/relationships/image" Target="media/e9a5a9dd2bf1f5cb15d61d9a6cca78a46f43597f.png"/><Relationship Id="rId11" Type="http://schemas.openxmlformats.org/officeDocument/2006/relationships/image" Target="media/bf6ae96148cd464ec7406c1d132f81db58a430bc.png"/><Relationship Id="rId12" Type="http://schemas.openxmlformats.org/officeDocument/2006/relationships/image" Target="media/2a774d84d6f52d1e0107e71bec075a86bab43620.png"/><Relationship Id="rId13" Type="http://schemas.openxmlformats.org/officeDocument/2006/relationships/fontTable" Target="fontTable.xml"/><Relationship Id="rId14" Type="http://schemas.openxmlformats.org/officeDocument/2006/relationships/header" Target="header1.xml"/><Relationship Id="rId15" Type="http://schemas.openxmlformats.org/officeDocument/2006/relationships/image" Target="media/image1.png"/><Relationship Id="rId16"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Orbital Compute Cyber-Physical Threat Model v0.4.4</dc:title>
  <dc:creator>Kernel Guard / Eren Arı</dc:creator>
  <cp:lastModifiedBy>Un-named</cp:lastModifiedBy>
  <cp:revision>1</cp:revision>
  <dcterms:created xsi:type="dcterms:W3CDTF">2026-08-07T20:51:57.588Z</dcterms:created>
  <dcterms:modified xsi:type="dcterms:W3CDTF">2026-08-07T20:51:57.588Z</dcterms:modified>
  <dc:subject>Safety framing, risk engineering, reproducibility and assurance documentation</dc:subject>
  <dc:description>AI-assisted release QA provenance is stated explicitly in the document and accompanying QA report.</dc:description>
</cp:coreProperties>
</file>

<file path=docProps/custom.xml><?xml version="1.0" encoding="utf-8"?>
<Properties xmlns="http://schemas.openxmlformats.org/officeDocument/2006/custom-properties" xmlns:vt="http://schemas.openxmlformats.org/officeDocument/2006/docPropsVTypes"/>
</file>