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STEP Pipeline — Algorithm Description</w:t>
      </w:r>
    </w:p>
    <w:p>
      <w:r>
        <w:rPr>
          <w:i/>
          <w:color w:val="555555"/>
          <w:sz w:val="22"/>
        </w:rPr>
        <w:t>A layered system for mathematical content understanding</w:t>
      </w:r>
    </w:p>
    <w:p>
      <w:r>
        <w:rPr>
          <w:color w:val="6F6F6F"/>
          <w:sz w:val="20"/>
        </w:rPr>
        <w:t>Prepared for: MathE Project Supervisor    |    Prepared by: STEP Research Team</w:t>
      </w:r>
    </w:p>
    <w:p>
      <w:pPr>
        <w:spacing w:before="200" w:after="80"/>
      </w:pPr>
      <w:r>
        <w:rPr>
          <w:b/>
          <w:sz w:val="26"/>
        </w:rPr>
        <w:t>1. Overview</w:t>
      </w:r>
    </w:p>
    <w:p>
      <w:pPr>
        <w:spacing w:after="120"/>
      </w:pPr>
      <w:r>
        <w:rPr>
          <w:sz w:val="22"/>
        </w:rPr>
        <w:t>The STEP pipeline is a layered software system that takes a mathematical artefact — a PDF problem or a video — and produces a structured, MathE-compatible classification: a Topic, a Subtopic, five free-form descriptive keywords, and the five most relevant keywords drawn from a closed reference vocabulary. The same downstream layers serve PDFs and videos; what changes is how the input is captured. By treating each stage as an independent module, the system can be inspected, replaced, or upgraded without disturbing the rest of the pipeline.</w:t>
      </w:r>
    </w:p>
    <w:p>
      <w:pPr>
        <w:spacing w:after="120"/>
      </w:pPr>
      <w:r>
        <w:rPr>
          <w:sz w:val="22"/>
        </w:rPr>
        <w:t>The implementation is deterministic. Every language-model call runs at temperature zero, every disk artefact is content-addressed by SHA-256, and every result is cached on disk so that re-running the same input is essentially free. Provider fallback between Gemini and Together.ai absorbs transient API errors, and the rasterisation DPI is adapted to the downstream consumer so that compute is never spent on resolution that will be discarded.</w:t>
      </w:r>
    </w:p>
    <w:p>
      <w:pPr>
        <w:spacing w:before="200" w:after="80"/>
      </w:pPr>
      <w:r>
        <w:rPr>
          <w:b/>
          <w:sz w:val="26"/>
        </w:rPr>
        <w:t>2. Why a layered design</w:t>
      </w:r>
    </w:p>
    <w:p>
      <w:pPr>
        <w:spacing w:after="120"/>
      </w:pPr>
      <w:r>
        <w:rPr>
          <w:sz w:val="22"/>
        </w:rPr>
        <w:t>Mathematical PDFs vary in quality from clean LaTeX exports to scanned handwriting, and lecture videos vary in clarity from polished slides to chalkboard close-ups. No single technique handles the entire space. The pipeline therefore captures three independent views of every artefact — native text from the document, a pixel-based reading from a vision-language model, and a complementary OCR pass from Nougat — and combines them at a synthesis layer. The downstream solver and tagger then work on the most reliable composite representation. This is a classical late-fusion approach: each subsystem makes its own claim, and a downstream component reconciles them.</w:t>
      </w:r>
    </w:p>
    <w:p>
      <w:pPr>
        <w:spacing w:before="200" w:after="80"/>
      </w:pPr>
      <w:r>
        <w:rPr>
          <w:b/>
          <w:sz w:val="26"/>
        </w:rPr>
        <w:t>3. Step-by-step description of the algorithm</w:t>
      </w:r>
    </w:p>
    <w:p>
      <w:pPr>
        <w:spacing w:after="120"/>
      </w:pPr>
      <w:r>
        <w:rPr>
          <w:sz w:val="22"/>
        </w:rPr>
        <w:t>(1) Ingestion (Layer 0 / 0v). PDFs are opened with PyMuPDF (the fitz binding), which provides both the embedded text stream and a high-resolution raster of every page. The raster is written next to a metadata sidecar so that subsequent layers can verify and reuse it without re-rendering. For uploaded video files, the pipeline pushes the file to the Gemini Files API and waits for the upload to enter the ACTIVE state. For YouTube URLs, the URL is normalised to its canonical watch?v=&lt;id&gt; form (Gemini rejects URLs carrying additional query parameters) and passed directly to the model — the Gemini service fetches and processes the video itself. In Deep video mode, the system additionally downloads a 480 p copy of the video with yt-dlp and uses OpenCV to sample one frame every fifteen seconds; this sampled-frame route gives access to per-scene OCR.</w:t>
      </w:r>
    </w:p>
    <w:p>
      <w:pPr>
        <w:spacing w:after="120"/>
      </w:pPr>
      <w:r>
        <w:rPr>
          <w:sz w:val="22"/>
        </w:rPr>
        <w:t>(2) Profiling (Layer 1). A weighted regular-expression classifier inspects the text and assigns the artefact to a primary mathematical category (definite integral, surface integral, derivative, series, system of equations, and so on). The category determines which system prompt the solver layer will receive: for example, surface-integral problems are routed to a prompt that includes step-by-step parametrisation guidance, while general calculus problems use a more flexible prompt. The classifier is intentionally simple — fast regex weights rather than an LLM call — so that profiling never delays the heavier downstream steps.</w:t>
      </w:r>
    </w:p>
    <w:p>
      <w:pPr>
        <w:spacing w:after="120"/>
      </w:pPr>
      <w:r>
        <w:rPr>
          <w:sz w:val="22"/>
        </w:rPr>
        <w:t>(3) Visual extraction (Layer 3). Page rasters are sent to a Gemini 2.5 model running in vision mode. The system prompt is strictly read-only: the model is instructed not to solve, derive, or comment, only to transcribe the visible mathematics into LaTeX. To make handwritten and low-resolution scans behave like clean exports, every page is normalised in memory before transmission (greyscale, autocontrast, mild sharpening, fixed long-edge size). When Nougat OCR is enabled, it runs in parallel as a second hypothesis. Nougat is a Visual Transformer trained specifically on academic PDFs from arXiv and PMC and excels at typeset LaTeX but struggles on handwriting; the VLM is the opposite, so the two complement each other.</w:t>
      </w:r>
    </w:p>
    <w:p>
      <w:pPr>
        <w:spacing w:after="120"/>
      </w:pPr>
      <w:r>
        <w:rPr>
          <w:sz w:val="22"/>
        </w:rPr>
        <w:t>(4) Synthesis (Layer 4). A multi-source prompt is assembled. The strongest available extraction — judged by length and structural quality — becomes the primary problem statement; the others are appended as cross-references. This is the layer where late fusion happens: instead of trusting any single subsystem, the solver receives an explicit picture of where the inputs agree and where they disagree.</w:t>
      </w:r>
    </w:p>
    <w:p>
      <w:pPr>
        <w:spacing w:after="120"/>
      </w:pPr>
      <w:r>
        <w:rPr>
          <w:sz w:val="22"/>
        </w:rPr>
        <w:t>(5) Solving (Layer 5). The synthesised prompt is solved by a chain-of-thought call to Gemini 2.5 Pro, with Together.ai LLaMA-3.3-70B as a fallback when Gemini is rate-limited or unavailable. Two independent attempts are produced and aggregated by a self-consistency rule: each candidate answer is parsed to a numeric value where possible, and the answer that two attempts agree on is selected. This is the standard self-consistency decoding strategy of Wang et al. (2022). All calls run at temperature zero, so disagreement is meaningful rather than stylistic.</w:t>
      </w:r>
    </w:p>
    <w:p>
      <w:pPr>
        <w:spacing w:after="120"/>
      </w:pPr>
      <w:r>
        <w:rPr>
          <w:sz w:val="22"/>
        </w:rPr>
        <w:t>(6) Answer extraction and symbolic verification (Layer 6). Once the solver returns its prose, a regular-expression extractor pulls out a final answer in priority order: the \boxed{} macro, an explicit FINAL_ANSWER: line, or the last display-math expression. When the original problem is a parseable one-variable definite integral, the answer is then symbolically verified by SymPy: the integrand is reconstructed from the LaTeX, integrated by the SymPy computer-algebra system, and the resulting closed form is rewritten in conventional notation (logarithms preferred over inverse hyperbolics where possible). If the LLM and SymPy disagree, the SymPy result is shown. This step is conceptually similar to the SymCode neurosymbolic verification scheme (Bagheri Nezhad et al., 2026): the LLM proposes, the symbolic engine confirms.</w:t>
      </w:r>
    </w:p>
    <w:p>
      <w:pPr>
        <w:spacing w:after="120"/>
      </w:pPr>
      <w:r>
        <w:rPr>
          <w:sz w:val="22"/>
        </w:rPr>
        <w:t>(7) Keyword evaluation (Layer 7). Two prompts are sent in parallel to Gemini 2.5 Pro. Task 1 asks the model to read the problem and produce five free-form keywords describing it, with no constraint on vocabulary. Task 2 asks the same problem to be classified against the closed MathE pool — twenty-five keywords for the Definite Integrals topic, supplied in the prompt — with the model asked to choose the five most relevant in order of descending relevance. Outputs are deterministically parsed and any keyword that does not appear in the supplied pool is rejected. Treating Task 2 as a closed-pool selection mirrors the zero-shot text classification pattern that has become standard in the LLM era.</w:t>
      </w:r>
    </w:p>
    <w:p>
      <w:pPr>
        <w:spacing w:after="120"/>
      </w:pPr>
      <w:r>
        <w:rPr>
          <w:sz w:val="22"/>
        </w:rPr>
        <w:t>(8) Deep video mode (Layer 0v / 3v-deep). When Deep mode is selected, the per-frame samples produced in step 1 are sent to Gemini 2.5 Flash with the same read-only prompt as Layer 3. Each frame returns either a LaTeX expression or the literal token NONE. The frame outputs are then grouped by trigram Jaccard similarity: outputs whose normalised character trigrams overlap above a threshold are treated as different snapshots of the same on-screen problem. The earliest timestamp is preserved per group, allowing the user interface to display a chronological list of problems with timecodes. Finally, a single batched Gemini 2.5 Pro call assigns the closed-pool keywords to each grouped problem, so the entire video produces one structured table in a single user action.</w:t>
      </w:r>
    </w:p>
    <w:p>
      <w:pPr>
        <w:spacing w:after="120"/>
      </w:pPr>
      <w:r>
        <w:rPr>
          <w:sz w:val="22"/>
        </w:rPr>
        <w:t>(9) Render. The result dictionary is returned as JSON to a Flask web layer, which renders it as a sequence of cards: the answer (for PDFs), the classification, the most-relevant five keywords, the keyword evaluation panel, and an optional pipeline-details table. PDF and video share the same rendering layer; only the cards switch.</w:t>
      </w:r>
    </w:p>
    <w:p>
      <w:pPr>
        <w:spacing w:before="200" w:after="80"/>
      </w:pPr>
      <w:r>
        <w:rPr>
          <w:b/>
          <w:sz w:val="26"/>
        </w:rPr>
        <w:t>4. Engineering details that matter in practice</w:t>
      </w:r>
    </w:p>
    <w:p>
      <w:pPr>
        <w:spacing w:after="120"/>
      </w:pPr>
      <w:r>
        <w:rPr>
          <w:sz w:val="22"/>
        </w:rPr>
        <w:t>The pipeline's reliability comes as much from infrastructure as from algorithms. A disk cache keyed by the SHA-256 of the input PDF or by the YouTube video id makes repeat queries near-instant. Provider fallback between Gemini and Together.ai absorbs transient API errors. The rasterisation DPI is adapted to the downstream consumer (Nougat needs high DPI; the VLM only needs enough to read symbols), so the system does not waste compute. The entire process runs deterministically and can be re-executed on any machine to reproduce the same outputs, which is essential for a piece of software intended to be evaluated by external researchers.</w:t>
      </w:r>
    </w:p>
    <w:p>
      <w:pPr>
        <w:spacing w:before="200" w:after="80"/>
      </w:pPr>
      <w:r>
        <w:rPr>
          <w:b/>
          <w:sz w:val="26"/>
        </w:rPr>
        <w:t>5. References</w:t>
      </w:r>
    </w:p>
    <w:p>
      <w:pPr>
        <w:spacing w:after="120"/>
      </w:pPr>
      <w:r>
        <w:rPr>
          <w:sz w:val="22"/>
        </w:rPr>
        <w:t>Blecher, L., Cucurull, G., Scialom, T., &amp; Stojnic, R. (2023). Nougat: Neural Optical Understanding for Academic Documents. arXiv:2308.13418. https://arxiv.org/abs/2308.13418</w:t>
      </w:r>
    </w:p>
    <w:p>
      <w:pPr>
        <w:spacing w:after="120"/>
      </w:pPr>
      <w:r>
        <w:rPr>
          <w:sz w:val="22"/>
        </w:rPr>
        <w:t>Wei, J., Wang, X., Schuurmans, D., Bosma, M., Ichter, B., Xia, F., Chi, E., Le, Q., &amp; Zhou, D. (2022). Chain-of-Thought Prompting Elicits Reasoning in Large Language Models. NeurIPS 2022. arXiv:2201.11903. https://arxiv.org/abs/2201.11903</w:t>
      </w:r>
    </w:p>
    <w:p>
      <w:pPr>
        <w:spacing w:after="120"/>
      </w:pPr>
      <w:r>
        <w:rPr>
          <w:sz w:val="22"/>
        </w:rPr>
        <w:t>Wang, X., Wei, J., Schuurmans, D., Le, Q., Chi, E., &amp; Zhou, D. (2022). Self-Consistency Improves Chain-of-Thought Reasoning in Language Models. arXiv:2203.11171. https://arxiv.org/abs/2203.11171</w:t>
      </w:r>
    </w:p>
    <w:p>
      <w:pPr>
        <w:spacing w:after="120"/>
      </w:pPr>
      <w:r>
        <w:rPr>
          <w:sz w:val="22"/>
        </w:rPr>
        <w:t>Gemini Team, Google. (2023). Gemini: A Family of Highly Capable Multimodal Models. arXiv:2312.11805. https://arxiv.org/abs/2312.11805</w:t>
      </w:r>
    </w:p>
    <w:p>
      <w:pPr>
        <w:spacing w:after="120"/>
      </w:pPr>
      <w:r>
        <w:rPr>
          <w:sz w:val="22"/>
        </w:rPr>
        <w:t>Reid, M. et al. (2024). Gemini 1.5: Unlocking multimodal understanding across millions of tokens of context. arXiv:2403.05530. https://arxiv.org/abs/2403.05530</w:t>
      </w:r>
    </w:p>
    <w:p>
      <w:pPr>
        <w:spacing w:after="120"/>
      </w:pPr>
      <w:r>
        <w:rPr>
          <w:sz w:val="22"/>
        </w:rPr>
        <w:t>Google AI for Developers. (n.d.). Video understanding | Gemini API. https://ai.google.dev/gemini-api/docs/video-understanding</w:t>
      </w:r>
    </w:p>
    <w:p>
      <w:pPr>
        <w:spacing w:after="120"/>
      </w:pPr>
      <w:r>
        <w:rPr>
          <w:sz w:val="22"/>
        </w:rPr>
        <w:t>Meurer, A., Smith, C. P., Paprocki, M., Čertík, O., et al. (2017). SymPy: symbolic computing in Python. PeerJ Computer Science 3:e103. https://peerj.com/articles/cs-103/</w:t>
      </w:r>
    </w:p>
    <w:p>
      <w:pPr>
        <w:spacing w:after="120"/>
      </w:pPr>
      <w:r>
        <w:rPr>
          <w:sz w:val="22"/>
        </w:rPr>
        <w:t>Bagheri Nezhad, S., Li, Y., &amp; Agrawal, A. (2026). SymCode: A Neurosymbolic Approach to Mathematical Reasoning via Verifiable Code Generation. Findings of EACL 2026. arXiv:2510.25975. https://aclanthology.org/2026.findings-eacl.76/</w:t>
      </w:r>
    </w:p>
    <w:p>
      <w:pPr>
        <w:spacing w:after="120"/>
      </w:pPr>
      <w:r>
        <w:rPr>
          <w:sz w:val="22"/>
        </w:rPr>
        <w:t>Pereira, A. I., Fernandes, F. P., Pacheco, M. F. et al. (2020). Developing tools for the e-learning platform mathE. Future of Education. https://bibliotecadigital.ipb.pt/entities/publication/ecd05792-4c07-42ce-85e2-bde508f03280</w:t>
      </w:r>
    </w:p>
    <w:p>
      <w:pPr>
        <w:spacing w:after="120"/>
      </w:pPr>
      <w:r>
        <w:rPr>
          <w:sz w:val="22"/>
        </w:rPr>
        <w:t>Azevedo, J. et al. (2025). Multi-objective Clustering Algorithm Applied to the MathE Categorization Problem. Information Systems Frontiers. https://link.springer.com/article/10.1007/s10796-025-10674-3</w:t>
      </w:r>
    </w:p>
    <w:p>
      <w:pPr>
        <w:spacing w:after="120"/>
      </w:pPr>
      <w:r>
        <w:rPr>
          <w:sz w:val="22"/>
        </w:rPr>
        <w:t>PyMuPDF documentation. https://pymupdf.readthedocs.io/</w:t>
      </w:r>
    </w:p>
    <w:p>
      <w:r>
        <w:br w:type="page"/>
      </w:r>
    </w:p>
    <w:p>
      <w:pPr>
        <w:jc w:val="left"/>
      </w:pPr>
      <w:r>
        <w:rPr>
          <w:b/>
          <w:sz w:val="40"/>
        </w:rPr>
        <w:t>STEP Pipeline — Algoritma Açıklaması</w:t>
      </w:r>
    </w:p>
    <w:p>
      <w:r>
        <w:rPr>
          <w:i/>
          <w:color w:val="555555"/>
          <w:sz w:val="22"/>
        </w:rPr>
        <w:t>Matematiksel içerik anlama için katmanlı bir sistem</w:t>
      </w:r>
    </w:p>
    <w:p>
      <w:r>
        <w:rPr>
          <w:color w:val="6F6F6F"/>
          <w:sz w:val="20"/>
        </w:rPr>
        <w:t>Prepared for: MathE Proje Süpervizörü    |    Prepared by: STEP Araştırma Ekibi</w:t>
      </w:r>
    </w:p>
    <w:p>
      <w:pPr>
        <w:spacing w:before="200" w:after="80"/>
      </w:pPr>
      <w:r>
        <w:rPr>
          <w:b/>
          <w:sz w:val="26"/>
        </w:rPr>
        <w:t>1. Genel bakış</w:t>
      </w:r>
    </w:p>
    <w:p>
      <w:pPr>
        <w:spacing w:after="120"/>
      </w:pPr>
      <w:r>
        <w:rPr>
          <w:sz w:val="22"/>
        </w:rPr>
        <w:t>STEP pipeline; bir matematik içeriğini (PDF problemi ya da video) alıp MathE platformu ile uyumlu yapısal bir sınıflandırma üreten katmanlı bir sistemdir. Çıktı olarak bir Topic, bir Subtopic, içeriği özetleyen beş serbest anahtar kelime ve kapalı bir referans havuzundan seçilen en alakalı beş anahtar kelime verilir. Aynı son işleme katmanları hem PDF hem video için kullanılır; yalnızca girdinin nasıl alındığı değişir. Her aşama bağımsız bir modül olarak tasarlandığı için sistemin hiçbir parçası diğerlerini etkilemeden incelenebilir, değiştirilebilir veya yükseltilebilir.</w:t>
      </w:r>
    </w:p>
    <w:p>
      <w:pPr>
        <w:spacing w:after="120"/>
      </w:pPr>
      <w:r>
        <w:rPr>
          <w:sz w:val="22"/>
        </w:rPr>
        <w:t>Sistem deterministiktir. Her dil-modeli çağrısı sıfır sıcaklıkta çalışır, diskte tutulan tüm artefaktlar SHA-256 ile içerik adresli olarak saklanır ve her sonuç diskte önbelleğe alınır; bu nedenle aynı girdiyle yeniden çalıştırma neredeyse ücretsizdir. Gemini ile Together.ai arasındaki sağlayıcı yedeği geçici API hatalarını sönümler; rasterleştirme DPI değeri ise her zaman bir sonraki katmanın ihtiyacına göre ayarlanır, böylece atılacak çözünürlük için boşuna işlem gücü harcanmaz.</w:t>
      </w:r>
    </w:p>
    <w:p>
      <w:pPr>
        <w:spacing w:before="200" w:after="80"/>
      </w:pPr>
      <w:r>
        <w:rPr>
          <w:b/>
          <w:sz w:val="26"/>
        </w:rPr>
        <w:t>2. Neden katmanlı bir tasarım</w:t>
      </w:r>
    </w:p>
    <w:p>
      <w:pPr>
        <w:spacing w:after="120"/>
      </w:pPr>
      <w:r>
        <w:rPr>
          <w:sz w:val="22"/>
        </w:rPr>
        <w:t>Matematiksel PDF'ler temiz LaTeX dışa aktarımlarından taranmış el yazılarına kadar geniş bir kalite yelpazesinde gelir; ders videoları ise düzgün slaytlardan tahta yakın çekimlerine kadar farklılaşır. Tek bir teknik bu yelpazenin tamamını karşılayamaz. Bu nedenle pipeline her içerik için üç bağımsız bakış üretir: dokümanın yerel metni, bir görsel-dil modelinin piksel tabanlı okuması ve Nougat tarafından üretilen tamamlayıcı bir OCR çıktısı. Bu üç kaynak sentez katmanında birleştirilir; ardından çözücü ve etiketleyici, en güvenilir bileşik gösterim üzerinde çalışır. Bu klasik bir geç birleşim (late fusion) yaklaşımıdır: her alt sistem kendi iddiasını ortaya koyar; onları sonraki bir bileşen uzlaştırır.</w:t>
      </w:r>
    </w:p>
    <w:p>
      <w:pPr>
        <w:spacing w:before="200" w:after="80"/>
      </w:pPr>
      <w:r>
        <w:rPr>
          <w:b/>
          <w:sz w:val="26"/>
        </w:rPr>
        <w:t>3. Algoritmanın adım adım tarifi</w:t>
      </w:r>
    </w:p>
    <w:p>
      <w:pPr>
        <w:spacing w:after="120"/>
      </w:pPr>
      <w:r>
        <w:rPr>
          <w:sz w:val="22"/>
        </w:rPr>
        <w:t>(1) Veri girişi (Layer 0 / 0v). PDF'ler PyMuPDF (fitz bağı) ile açılır; bu kütüphane hem PDF içine gömülü metni hem de her sayfanın yüksek çözünürlüklü rasterini sağlar. Raster, bir metadata sidecar dosyasıyla birlikte yazılır; böylece sonraki katmanlar dosyayı yeniden üretmeden doğrulayıp kullanabilir. Yerel video dosyaları Gemini Files API'sine yüklenir ve dosya ACTIVE durumuna geçene kadar polling yapılır. YouTube URL'leri canonical watch?v=&lt;id&gt; formuna indirgenir (Gemini ek sorgu parametreli URL'leri reddeder) ve doğrudan modele verilir; videoyu Gemini servisi kendisi alır ve işler. Deep video modunda sistem ek olarak yt-dlp ile videonun 480p kopyasını indirir ve OpenCV ile her on beş saniyede bir kare örnekler; bu örnekleme yolu, sahne başına OCR yapmayı mümkün kılar.</w:t>
      </w:r>
    </w:p>
    <w:p>
      <w:pPr>
        <w:spacing w:after="120"/>
      </w:pPr>
      <w:r>
        <w:rPr>
          <w:sz w:val="22"/>
        </w:rPr>
        <w:t>(2) Profilleme (Layer 1). Ağırlıklı bir düzenli ifade sınıflandırıcı metni inceler ve içeriği birincil bir matematik kategorisine atar (belirli integral, yüzey integrali, türev, seri, denklem sistemi vb.). Bu kategori, çözücü katmanına verilecek sistem promptunu seçer: örneğin yüzey integrali problemleri adım adım parametrelendirme yönergesi içeren bir promptla, genel matematik problemleri ise daha esnek bir promptla işlenir. Sınıflandırıcı bilinçli olarak hafif tutulmuştur — LLM çağrısı yerine hızlı regex ağırlıkları kullanılır — böylece profilleme, sonraki ağır adımları geciktirmez.</w:t>
      </w:r>
    </w:p>
    <w:p>
      <w:pPr>
        <w:spacing w:after="120"/>
      </w:pPr>
      <w:r>
        <w:rPr>
          <w:sz w:val="22"/>
        </w:rPr>
        <w:t>(3) Görsel çıkarım (Layer 3). Sayfa rasterleri görsel modda çalışan Gemini 2.5 modeline gönderilir. Sistem promptu kesinlikle salt-okuma yönündedir: model yorum yapmamaya, türetmemeye veya çözmemeye, yalnızca görünen matematiği LaTeX'e çevirmeye yönlendirilir. El yazısı ve düşük çözünürlüklü taramaların temiz dışa aktarımlar gibi davranması için her sayfa modele gönderilmeden önce bellekte normalize edilir (gri tonlama, otokontrast, hafif keskinleştirme, sabit uzun-kenar ölçeği). Nougat OCR aktif edildiğinde ikinci bir hipotez olarak paralelde çalışır. Nougat, arXiv ve PMC'den derlenen akademik PDF'lerle özel olarak eğitilmiş bir Visual Transformer'dır; dizgili LaTeX'te güçlü, el yazısında zayıftır. VLM ise tam tersi davranır; bu nedenle iki yöntem birbirini tamamlar.</w:t>
      </w:r>
    </w:p>
    <w:p>
      <w:pPr>
        <w:spacing w:after="120"/>
      </w:pPr>
      <w:r>
        <w:rPr>
          <w:sz w:val="22"/>
        </w:rPr>
        <w:t>(4) Sentez (Layer 4). Çok kaynaklı bir prompt oluşturulur. Mevcut çıkarımlar uzunluk ve yapısal kalite üzerinden değerlendirilir; en güçlü olan birincil problem ifadesi olur, diğerleri çapraz kontrol amacıyla eklenir. Late fusion tam bu noktada gerçekleşir: çözücüye herhangi bir tek alt sistemin iddiasını körü körüne kabul ettirmek yerine, girdilerin nerede uyuştuğu ve nerede ayrıştığına dair açık bir tablo sunulur.</w:t>
      </w:r>
    </w:p>
    <w:p>
      <w:pPr>
        <w:spacing w:after="120"/>
      </w:pPr>
      <w:r>
        <w:rPr>
          <w:sz w:val="22"/>
        </w:rPr>
        <w:t>(5) Çözüm (Layer 5). Sentezlenmiş prompt, Gemini 2.5 Pro'ya bir chain-of-thought çağrısı olarak gönderilir; Gemini hız sınırına takıldığında veya kullanılamadığında Together.ai LLaMA-3.3-70B yedek olarak devreye girer. İki bağımsız deneme yapılır ve sonuçlar self-consistency kuralıyla birleştirilir: her aday cevap mümkün olduğunda sayısal değere ayrıştırılır ve iki denemenin uyuştuğu cevap kullanılır. Bu, Wang ve arkadaşlarının (2022) standart self-consistency çözüm üretme stratejisinin uygulanmış halidir. Tüm çağrılar sıfır sıcaklıkta yapıldığı için aralarındaki uyuşmazlık üslupsal değil anlamlıdır.</w:t>
      </w:r>
    </w:p>
    <w:p>
      <w:pPr>
        <w:spacing w:after="120"/>
      </w:pPr>
      <w:r>
        <w:rPr>
          <w:sz w:val="22"/>
        </w:rPr>
        <w:t>(6) Cevap çıkarımı ve sembolik doğrulama (Layer 6). Çözücü düz metin cevabını döndürdükten sonra bir düzenli ifade ayrıştırıcı son cevabı öncelik sırasıyla çıkarır: \boxed{} makrosu, açık FINAL_ANSWER: satırı ya da metnin sonundaki display-math ifadesi. Orijinal problem ayrıştırılabilen bir tek değişkenli belirli integral ise, cevap SymPy ile sembolik olarak doğrulanır: integrand LaTeX'ten yeniden inşa edilir, SymPy bilgisayar cebir sistemi tarafından integre edilir ve sonuçtaki kapalı form mümkünse logaritmalarla (ters hiperbolik fonksiyonlar yerine) yeniden yazılır. LLM ile SymPy uyuşmazsa SymPy sonucu gösterilir. Bu adım, kavramsal olarak SymCode neurosymbolik doğrulama yöntemine (Bagheri Nezhad ve ark., 2026) yakındır: LLM önerir, sembolik motor onaylar.</w:t>
      </w:r>
    </w:p>
    <w:p>
      <w:pPr>
        <w:spacing w:after="120"/>
      </w:pPr>
      <w:r>
        <w:rPr>
          <w:sz w:val="22"/>
        </w:rPr>
        <w:t>(7) Anahtar kelime değerlendirmesi (Layer 7). Gemini 2.5 Pro'ya paralel iki prompt gönderilir. Task 1 modelden problemi okuyup içeriği özetleyen beş serbest anahtar kelime üretmesini ister; sözlüğe kısıt yoktur. Task 2 ise aynı problemin kapalı MathE havuzuna karşı sınıflandırılmasını ister — promptta Definite Integrals başlığı için tanımlı yirmi beş anahtar kelime sunulur ve modelden en alakalı beşini önem sırasına göre seçmesi istenir. Çıktılar deterministik olarak ayrıştırılır; sunulan havuzda yer almayan kelimeler reddedilir. Task 2'nin kapalı havuza yönelik bir seçim olarak kurgulanması, LLM çağında standartlaşan zero-shot text classification deseninin uygulanmış halidir.</w:t>
      </w:r>
    </w:p>
    <w:p>
      <w:pPr>
        <w:spacing w:after="120"/>
      </w:pPr>
      <w:r>
        <w:rPr>
          <w:sz w:val="22"/>
        </w:rPr>
        <w:t>(8) Deep video modu (Layer 0v / 3v-deep). Deep mod seçildiğinde 1. adımda üretilen kare örnekleri Gemini 2.5 Flash'a Layer 3 ile aynı salt-okuma promptuyla gönderilir. Her kare ya bir LaTeX ifadesi ya da yalın NONE tokeni döner. Kare çıktıları sonra trigram Jaccard benzerliğiyle gruplanır: normalize edilmiş karakter trigramları belirli eşiğin üzerinde örtüşen çıktılar, ekrandaki aynı problemin farklı anlık görüntüleri sayılır. Her grupta en erken zaman damgası saklanır, böylece arayüz problemleri zaman damgalı kronolojik bir liste olarak sunabilir. Son olarak tek bir toplu Gemini 2.5 Pro çağrısı her gruba kapalı havuzdan anahtar kelimeler atar; böylece tüm video, tek bir kullanıcı eylemiyle yapılandırılmış bir tabloya dönüşür.</w:t>
      </w:r>
    </w:p>
    <w:p>
      <w:pPr>
        <w:spacing w:after="120"/>
      </w:pPr>
      <w:r>
        <w:rPr>
          <w:sz w:val="22"/>
        </w:rPr>
        <w:t>(9) Render. Sonuç sözlüğü Flask web katmanına JSON olarak döner; arayüz bunu kart dizisi olarak basar: cevap (PDF için), sınıflandırma, en alakalı beş anahtar kelime, anahtar kelime değerlendirmesi paneli ve isteğe bağlı pipeline detayları tablosu. PDF ile video aynı render katmanını paylaşır; yalnızca kartlar değişir.</w:t>
      </w:r>
    </w:p>
    <w:p>
      <w:pPr>
        <w:spacing w:before="200" w:after="80"/>
      </w:pPr>
      <w:r>
        <w:rPr>
          <w:b/>
          <w:sz w:val="26"/>
        </w:rPr>
        <w:t>4. Pratikte önemli olan mühendislik ayrıntıları</w:t>
      </w:r>
    </w:p>
    <w:p>
      <w:pPr>
        <w:spacing w:after="120"/>
      </w:pPr>
      <w:r>
        <w:rPr>
          <w:sz w:val="22"/>
        </w:rPr>
        <w:t>Pipeline'ın güvenilirliği algoritmalar kadar altyapıdan da gelir. Girdi PDF'sinin SHA-256'sı veya YouTube video kimliği ile anahtarlanan disk önbelleği, tekrarlanan sorguları neredeyse anında cevaplar. Gemini ile Together.ai arasındaki sağlayıcı yedeği geçici API hatalarını sönümler. Rasterleştirme DPI'si bir sonraki tüketicinin ihtiyacına göre ayarlanır (Nougat yüksek DPI ister; VLM yalnızca sembolleri okuyacak kadar piksel ister), böylece sistem işlem gücünü boşa harcamaz. Tüm süreç deterministiktir ve aynı girdilerle aynı çıktıları üretmek üzere herhangi bir makinede yeniden çalıştırılabilir; bu, dış araştırmacılar tarafından değerlendirilmesi amaçlanan bir yazılım için temel bir gereksinimdir.</w:t>
      </w:r>
    </w:p>
    <w:p>
      <w:pPr>
        <w:spacing w:before="200" w:after="80"/>
      </w:pPr>
      <w:r>
        <w:rPr>
          <w:b/>
          <w:sz w:val="26"/>
        </w:rPr>
        <w:t>5. Kaynaklar</w:t>
      </w:r>
    </w:p>
    <w:p>
      <w:pPr>
        <w:spacing w:after="120"/>
      </w:pPr>
      <w:r>
        <w:rPr>
          <w:sz w:val="22"/>
        </w:rPr>
        <w:t>Blecher, L., Cucurull, G., Scialom, T., &amp; Stojnic, R. (2023). Nougat: Neural Optical Understanding for Academic Documents. arXiv:2308.13418. https://arxiv.org/abs/2308.13418</w:t>
      </w:r>
    </w:p>
    <w:p>
      <w:pPr>
        <w:spacing w:after="120"/>
      </w:pPr>
      <w:r>
        <w:rPr>
          <w:sz w:val="22"/>
        </w:rPr>
        <w:t>Wei, J., Wang, X., Schuurmans, D., Bosma, M., Ichter, B., Xia, F., Chi, E., Le, Q., &amp; Zhou, D. (2022). Chain-of-Thought Prompting Elicits Reasoning in Large Language Models. NeurIPS 2022. arXiv:2201.11903. https://arxiv.org/abs/2201.11903</w:t>
      </w:r>
    </w:p>
    <w:p>
      <w:pPr>
        <w:spacing w:after="120"/>
      </w:pPr>
      <w:r>
        <w:rPr>
          <w:sz w:val="22"/>
        </w:rPr>
        <w:t>Wang, X., Wei, J., Schuurmans, D., Le, Q., Chi, E., &amp; Zhou, D. (2022). Self-Consistency Improves Chain-of-Thought Reasoning in Language Models. arXiv:2203.11171. https://arxiv.org/abs/2203.11171</w:t>
      </w:r>
    </w:p>
    <w:p>
      <w:pPr>
        <w:spacing w:after="120"/>
      </w:pPr>
      <w:r>
        <w:rPr>
          <w:sz w:val="22"/>
        </w:rPr>
        <w:t>Gemini Team, Google. (2023). Gemini: A Family of Highly Capable Multimodal Models. arXiv:2312.11805. https://arxiv.org/abs/2312.11805</w:t>
      </w:r>
    </w:p>
    <w:p>
      <w:pPr>
        <w:spacing w:after="120"/>
      </w:pPr>
      <w:r>
        <w:rPr>
          <w:sz w:val="22"/>
        </w:rPr>
        <w:t>Reid, M. ve ark. (2024). Gemini 1.5: Unlocking multimodal understanding across millions of tokens of context. arXiv:2403.05530. https://arxiv.org/abs/2403.05530</w:t>
      </w:r>
    </w:p>
    <w:p>
      <w:pPr>
        <w:spacing w:after="120"/>
      </w:pPr>
      <w:r>
        <w:rPr>
          <w:sz w:val="22"/>
        </w:rPr>
        <w:t>Google AI for Developers. Video understanding | Gemini API. https://ai.google.dev/gemini-api/docs/video-understanding</w:t>
      </w:r>
    </w:p>
    <w:p>
      <w:pPr>
        <w:spacing w:after="120"/>
      </w:pPr>
      <w:r>
        <w:rPr>
          <w:sz w:val="22"/>
        </w:rPr>
        <w:t>Meurer, A., Smith, C. P., Paprocki, M., Čertík, O. ve ark. (2017). SymPy: symbolic computing in Python. PeerJ Computer Science 3:e103. https://peerj.com/articles/cs-103/</w:t>
      </w:r>
    </w:p>
    <w:p>
      <w:pPr>
        <w:spacing w:after="120"/>
      </w:pPr>
      <w:r>
        <w:rPr>
          <w:sz w:val="22"/>
        </w:rPr>
        <w:t>Bagheri Nezhad, S., Li, Y., &amp; Agrawal, A. (2026). SymCode: A Neurosymbolic Approach to Mathematical Reasoning via Verifiable Code Generation. Findings of EACL 2026. arXiv:2510.25975. https://aclanthology.org/2026.findings-eacl.76/</w:t>
      </w:r>
    </w:p>
    <w:p>
      <w:pPr>
        <w:spacing w:after="120"/>
      </w:pPr>
      <w:r>
        <w:rPr>
          <w:sz w:val="22"/>
        </w:rPr>
        <w:t>Pereira, A. I., Fernandes, F. P., Pacheco, M. F. ve ark. (2020). Developing tools for the e-learning platform mathE. Future of Education. https://bibliotecadigital.ipb.pt/entities/publication/ecd05792-4c07-42ce-85e2-bde508f03280</w:t>
      </w:r>
    </w:p>
    <w:p>
      <w:pPr>
        <w:spacing w:after="120"/>
      </w:pPr>
      <w:r>
        <w:rPr>
          <w:sz w:val="22"/>
        </w:rPr>
        <w:t>Azevedo, J. ve ark. (2025). Multi-objective Clustering Algorithm Applied to the MathE Categorization Problem. Information Systems Frontiers. https://link.springer.com/article/10.1007/s10796-025-10674-3</w:t>
      </w:r>
    </w:p>
    <w:p>
      <w:pPr>
        <w:spacing w:after="120"/>
      </w:pPr>
      <w:r>
        <w:rPr>
          <w:sz w:val="22"/>
        </w:rPr>
        <w:t>PyMuPDF dokümantasyonu. https://pymupdf.readthedocs.io/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