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Calibri" w:cs="Calibri" w:eastAsia="Calibri" w:hAnsi="Calibri"/>
          <w:b/>
          <w:bCs/>
          <w:color w:val="9C7A2E"/>
          <w:spacing w:val="30"/>
          <w:sz w:val="22"/>
          <w:szCs w:val="22"/>
        </w:rPr>
        <w:t xml:space="preserve">PROOF OF CONCEPT</w:t>
      </w:r>
    </w:p>
    <w:p>
      <w:pPr>
        <w:spacing w:after="200"/>
        <w:jc w:val="center"/>
      </w:pPr>
      <w:r>
        <w:rPr>
          <w:rFonts w:ascii="Cambria" w:cs="Cambria" w:eastAsia="Cambria" w:hAnsi="Cambria"/>
          <w:b/>
          <w:bCs/>
          <w:color w:val="16234A"/>
          <w:sz w:val="44"/>
          <w:szCs w:val="44"/>
        </w:rPr>
        <w:t xml:space="preserve">Bank Loan Approval Prediction</w:t>
      </w:r>
    </w:p>
    <w:p>
      <w:pPr>
        <w:spacing w:after="100"/>
        <w:jc w:val="center"/>
      </w:pPr>
      <w:r>
        <w:rPr>
          <w:rFonts w:ascii="Cambria" w:cs="Cambria" w:eastAsia="Cambria" w:hAnsi="Cambria"/>
          <w:i/>
          <w:iCs/>
          <w:color w:val="44526B"/>
          <w:sz w:val="26"/>
          <w:szCs w:val="26"/>
        </w:rPr>
        <w:t xml:space="preserve">Using Data Science and Machine Learning</w:t>
      </w:r>
    </w:p>
    <w:p>
      <w:pPr>
        <w:pBdr>
          <w:bottom w:val="single" w:color="D7DCE8" w:sz="6" w:space="8"/>
        </w:pBdr>
        <w:spacing w:after="500"/>
        <w:jc w:val="center"/>
      </w:pPr>
      <w:r>
        <w:rPr>
          <w:rFonts w:ascii="Calibri" w:cs="Calibri" w:eastAsia="Calibri" w:hAnsi="Calibri"/>
          <w:color w:val="44526B"/>
          <w:sz w:val="20"/>
          <w:szCs w:val="20"/>
        </w:rPr>
        <w:t xml:space="preserve">Notebook-derived project report  |  BankLoanApprovalPrediction_1.ipynb</w:t>
      </w:r>
    </w:p>
    <w:p>
      <w:pPr>
        <w:pStyle w:val="Heading1"/>
        <w:pBdr>
          <w:bottom w:val="single" w:color="16234A" w:sz="6" w:space="4"/>
        </w:pBdr>
        <w:spacing w:after="160" w:before="400"/>
      </w:pPr>
      <w:r>
        <w:rPr>
          <w:rFonts w:ascii="Cambria" w:cs="Cambria" w:eastAsia="Cambria" w:hAnsi="Cambria"/>
          <w:b/>
          <w:bCs/>
          <w:color w:val="16234A"/>
          <w:sz w:val="30"/>
          <w:szCs w:val="30"/>
        </w:rPr>
        <w:t xml:space="preserve">1. Introduction</w:t>
      </w:r>
    </w:p>
    <w:p>
      <w:pPr>
        <w:spacing w:after="160" w:line="300"/>
      </w:pPr>
      <w:r>
        <w:rPr>
          <w:rFonts w:ascii="Calibri" w:cs="Calibri" w:eastAsia="Calibri" w:hAnsi="Calibri"/>
          <w:color w:val="222831"/>
          <w:sz w:val="22"/>
          <w:szCs w:val="22"/>
        </w:rPr>
        <w:t xml:space="preserve">Banks receive numerous loan applications every day. Evaluating each application manually consumes time and is prone to human error. This project develops a machine learning pipeline that predicts whether a loan application should be approved, based on the applicant's financial and personal details.</w:t>
      </w:r>
    </w:p>
    <w:p>
      <w:pPr>
        <w:spacing w:after="160" w:line="300"/>
      </w:pPr>
      <w:r>
        <w:rPr>
          <w:rFonts w:ascii="Calibri" w:cs="Calibri" w:eastAsia="Calibri" w:hAnsi="Calibri"/>
          <w:color w:val="222831"/>
          <w:sz w:val="22"/>
          <w:szCs w:val="22"/>
        </w:rPr>
        <w:t xml:space="preserve">The full workflow — loading the data, cleaning it, exploring it visually, engineering features, training multiple models, and comparing their performance — is implemented end to end in a single Jupyter notebook, BankLoanApprovalPrediction_1.ipynb.</w:t>
      </w:r>
    </w:p>
    <w:p>
      <w:pPr>
        <w:pStyle w:val="Heading1"/>
        <w:pBdr>
          <w:bottom w:val="single" w:color="16234A" w:sz="6" w:space="4"/>
        </w:pBdr>
        <w:spacing w:after="160" w:before="400"/>
      </w:pPr>
      <w:r>
        <w:rPr>
          <w:rFonts w:ascii="Cambria" w:cs="Cambria" w:eastAsia="Cambria" w:hAnsi="Cambria"/>
          <w:b/>
          <w:bCs/>
          <w:color w:val="16234A"/>
          <w:sz w:val="30"/>
          <w:szCs w:val="30"/>
        </w:rPr>
        <w:t xml:space="preserve">2. Environment &amp; Libraries</w:t>
      </w:r>
    </w:p>
    <w:p>
      <w:pPr>
        <w:spacing w:after="160" w:line="300"/>
      </w:pPr>
      <w:r>
        <w:rPr>
          <w:rFonts w:ascii="Calibri" w:cs="Calibri" w:eastAsia="Calibri" w:hAnsi="Calibri"/>
          <w:color w:val="222831"/>
          <w:sz w:val="22"/>
          <w:szCs w:val="22"/>
        </w:rPr>
        <w:t xml:space="preserve">The complete prediction pipeline is implemented and run inside a Jupyter Notebook. Opening a terminal and typing jupyter notebook launches the notebook server and opens the interface in the browser, where each cell is executed in sequence.</w:t>
      </w:r>
    </w:p>
    <w:p>
      <w:pPr>
        <w:spacing w:after="160" w:line="300"/>
      </w:pPr>
      <w:r>
        <w:rPr>
          <w:rFonts w:ascii="Calibri" w:cs="Calibri" w:eastAsia="Calibri" w:hAnsi="Calibri"/>
          <w:color w:val="222831"/>
          <w:sz w:val="22"/>
          <w:szCs w:val="22"/>
        </w:rPr>
        <w:t xml:space="preserve">All libraries used throughout the notebook are imported together at the top for clarity:</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import pandas as pd</w:t>
      </w:r>
      <w:r>
        <w:rPr>
          <w:rFonts w:ascii="Courier New" w:cs="Courier New" w:eastAsia="Courier New" w:hAnsi="Courier New"/>
          <w:color w:val="E7ECF8"/>
          <w:sz w:val="18"/>
          <w:szCs w:val="18"/>
        </w:rPr>
        <w:br/>
        <w:t xml:space="preserve">import matplotlib.pyplot as plt</w:t>
      </w:r>
      <w:r>
        <w:rPr>
          <w:rFonts w:ascii="Courier New" w:cs="Courier New" w:eastAsia="Courier New" w:hAnsi="Courier New"/>
          <w:color w:val="E7ECF8"/>
          <w:sz w:val="18"/>
          <w:szCs w:val="18"/>
        </w:rPr>
        <w:br/>
        <w:t xml:space="preserve">import seaborn as sns</w:t>
      </w:r>
      <w:r>
        <w:rPr>
          <w:rFonts w:ascii="Courier New" w:cs="Courier New" w:eastAsia="Courier New" w:hAnsi="Courier New"/>
          <w:color w:val="E7ECF8"/>
          <w:sz w:val="18"/>
          <w:szCs w:val="18"/>
        </w:rPr>
        <w:br/>
        <w:t xml:space="preserve">import plotly.express as px</w:t>
      </w:r>
      <w:r>
        <w:rPr>
          <w:rFonts w:ascii="Courier New" w:cs="Courier New" w:eastAsia="Courier New" w:hAnsi="Courier New"/>
          <w:color w:val="E7ECF8"/>
          <w:sz w:val="18"/>
          <w:szCs w:val="18"/>
        </w:rPr>
        <w:br/>
        <w:t xml:space="preserve">import plotly.io as pio</w:t>
      </w:r>
      <w:r>
        <w:rPr>
          <w:rFonts w:ascii="Courier New" w:cs="Courier New" w:eastAsia="Courier New" w:hAnsi="Courier New"/>
          <w:color w:val="E7ECF8"/>
          <w:sz w:val="18"/>
          <w:szCs w:val="18"/>
        </w:rPr>
        <w:br/>
        <w:t xml:space="preserve">from sklearn.preprocessing import LabelEncoder, StandardScaler</w:t>
      </w:r>
      <w:r>
        <w:rPr>
          <w:rFonts w:ascii="Courier New" w:cs="Courier New" w:eastAsia="Courier New" w:hAnsi="Courier New"/>
          <w:color w:val="E7ECF8"/>
          <w:sz w:val="18"/>
          <w:szCs w:val="18"/>
        </w:rPr>
        <w:br/>
        <w:t xml:space="preserve">from sklearn.model_selection import train_test_split</w:t>
      </w:r>
      <w:r>
        <w:rPr>
          <w:rFonts w:ascii="Courier New" w:cs="Courier New" w:eastAsia="Courier New" w:hAnsi="Courier New"/>
          <w:color w:val="E7ECF8"/>
          <w:sz w:val="18"/>
          <w:szCs w:val="18"/>
        </w:rPr>
        <w:br/>
        <w:t xml:space="preserve">from sklearn.linear_model import LogisticRegression</w:t>
      </w:r>
      <w:r>
        <w:rPr>
          <w:rFonts w:ascii="Courier New" w:cs="Courier New" w:eastAsia="Courier New" w:hAnsi="Courier New"/>
          <w:color w:val="E7ECF8"/>
          <w:sz w:val="18"/>
          <w:szCs w:val="18"/>
        </w:rPr>
        <w:br/>
        <w:t xml:space="preserve">from sklearn.tree import DecisionTreeClassifier</w:t>
      </w:r>
      <w:r>
        <w:rPr>
          <w:rFonts w:ascii="Courier New" w:cs="Courier New" w:eastAsia="Courier New" w:hAnsi="Courier New"/>
          <w:color w:val="E7ECF8"/>
          <w:sz w:val="18"/>
          <w:szCs w:val="18"/>
        </w:rPr>
        <w:br/>
        <w:t xml:space="preserve">from sklearn.ensemble import RandomForestClassifier</w:t>
      </w:r>
      <w:r>
        <w:rPr>
          <w:rFonts w:ascii="Courier New" w:cs="Courier New" w:eastAsia="Courier New" w:hAnsi="Courier New"/>
          <w:color w:val="E7ECF8"/>
          <w:sz w:val="18"/>
          <w:szCs w:val="18"/>
        </w:rPr>
        <w:br/>
        <w:t xml:space="preserve">from sklearn.neighbors import KNeighborsClassifier</w:t>
      </w:r>
      <w:r>
        <w:rPr>
          <w:rFonts w:ascii="Courier New" w:cs="Courier New" w:eastAsia="Courier New" w:hAnsi="Courier New"/>
          <w:color w:val="E7ECF8"/>
          <w:sz w:val="18"/>
          <w:szCs w:val="18"/>
        </w:rPr>
        <w:br/>
        <w:t xml:space="preserve">from sklearn.metrics import accuracy_score, precision_score, recall_score, f1_score, roc_auc_score</w:t>
      </w:r>
    </w:p>
    <w:p>
      <w:pPr>
        <w:spacing w:after="160" w:line="300"/>
      </w:pPr>
      <w:r>
        <w:rPr>
          <w:rFonts w:ascii="Calibri" w:cs="Calibri" w:eastAsia="Calibri" w:hAnsi="Calibri"/>
          <w:color w:val="222831"/>
          <w:sz w:val="22"/>
          <w:szCs w:val="22"/>
        </w:rPr>
        <w:t xml:space="preserve">pandas handles data loading and manipulation; matplotlib, seaborn and plotly provide static and interactive visualization; and scikit-learn supplies preprocessing, model training and evaluation tools.</w:t>
      </w:r>
    </w:p>
    <w:p>
      <w:pPr>
        <w:pStyle w:val="Heading1"/>
        <w:pBdr>
          <w:bottom w:val="single" w:color="16234A" w:sz="6" w:space="4"/>
        </w:pBdr>
        <w:spacing w:after="160" w:before="400"/>
      </w:pPr>
      <w:r>
        <w:rPr>
          <w:rFonts w:ascii="Cambria" w:cs="Cambria" w:eastAsia="Cambria" w:hAnsi="Cambria"/>
          <w:b/>
          <w:bCs/>
          <w:color w:val="16234A"/>
          <w:sz w:val="30"/>
          <w:szCs w:val="30"/>
        </w:rPr>
        <w:t xml:space="preserve">3. Loading the Dataset</w:t>
      </w:r>
    </w:p>
    <w:p>
      <w:pPr>
        <w:spacing w:after="160" w:line="300"/>
      </w:pPr>
      <w:r>
        <w:rPr>
          <w:rFonts w:ascii="Calibri" w:cs="Calibri" w:eastAsia="Calibri" w:hAnsi="Calibri"/>
          <w:color w:val="222831"/>
          <w:sz w:val="22"/>
          <w:szCs w:val="22"/>
        </w:rPr>
        <w:t xml:space="preserve">The dataset, Loan_Applicants_1000.xlsx, is read directly into a DataFrame called data using pandas' Excel reader (openpyxl acts as the translator between pandas and modern .xlsx files, since pandas' built-in csv module cannot parse Excel format):</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data = pd.read_excel(r"Loan_Applicants_1000.xlsx")</w:t>
      </w:r>
      <w:r>
        <w:rPr>
          <w:rFonts w:ascii="Courier New" w:cs="Courier New" w:eastAsia="Courier New" w:hAnsi="Courier New"/>
          <w:color w:val="E7ECF8"/>
          <w:sz w:val="18"/>
          <w:szCs w:val="18"/>
        </w:rPr>
        <w:br/>
        <w:t xml:space="preserve">print(data.head())</w:t>
      </w:r>
    </w:p>
    <w:p>
      <w:pPr>
        <w:spacing w:after="160" w:line="300"/>
      </w:pPr>
      <w:r>
        <w:rPr>
          <w:rFonts w:ascii="Calibri" w:cs="Calibri" w:eastAsia="Calibri" w:hAnsi="Calibri"/>
          <w:color w:val="222831"/>
          <w:sz w:val="22"/>
          <w:szCs w:val="22"/>
        </w:rPr>
        <w:t xml:space="preserve">The dataset contains 1,000 records across 13 columns: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Loan_ID</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Unique loan identifier (later dropped — no predictive value)</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Gender</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Male / Female</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Married</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Yes / No</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Dependents</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Number of dependents; "3+" is later converted to the integer 3</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Education</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Graduate / Not Graduate</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Self_Employed</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Yes / No</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ApplicantIncome</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Applicant's income</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CoapplicantIncome</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Co-applicant's income</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LoanAmount</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Loan amount requested</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Loan_Amount_Term</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Loan duration</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Credit_History</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1 = good, 0 = bad credit history</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Property_Area</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Urban / Semiurban / Rural</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Loan_Status (target)</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Y = Approved, N = Rejected</w:t>
            </w:r>
          </w:p>
        </w:tc>
      </w:tr>
    </w:tbl>
    <w:p>
      <w:pPr>
        <w:pStyle w:val="Heading1"/>
        <w:pBdr>
          <w:bottom w:val="single" w:color="16234A" w:sz="6" w:space="4"/>
        </w:pBdr>
        <w:spacing w:after="160" w:before="400"/>
      </w:pPr>
      <w:r>
        <w:rPr>
          <w:rFonts w:ascii="Cambria" w:cs="Cambria" w:eastAsia="Cambria" w:hAnsi="Cambria"/>
          <w:b/>
          <w:bCs/>
          <w:color w:val="16234A"/>
          <w:sz w:val="30"/>
          <w:szCs w:val="30"/>
        </w:rPr>
        <w:t xml:space="preserve">4. Inspecting Dataset Structure</w:t>
      </w:r>
    </w:p>
    <w:p>
      <w:pPr>
        <w:spacing w:after="160" w:line="300"/>
      </w:pPr>
      <w:r>
        <w:rPr>
          <w:rFonts w:ascii="Calibri" w:cs="Calibri" w:eastAsia="Calibri" w:hAnsi="Calibri"/>
          <w:color w:val="222831"/>
          <w:sz w:val="22"/>
          <w:szCs w:val="22"/>
        </w:rPr>
        <w:t xml:space="preserve">data.info() gives an overview of the dataset: 1,000 entries across 13 columns, with 8 object (text) columns and 5 numeric (int64) columns. Every column reports 1,000 non-null values, meaning the raw dataset arrives with no missing entries.</w:t>
      </w:r>
    </w:p>
    <w:p>
      <w:pPr>
        <w:pStyle w:val="Heading1"/>
        <w:pBdr>
          <w:bottom w:val="single" w:color="16234A" w:sz="6" w:space="4"/>
        </w:pBdr>
        <w:spacing w:after="160" w:before="400"/>
      </w:pPr>
      <w:r>
        <w:rPr>
          <w:rFonts w:ascii="Cambria" w:cs="Cambria" w:eastAsia="Cambria" w:hAnsi="Cambria"/>
          <w:b/>
          <w:bCs/>
          <w:color w:val="16234A"/>
          <w:sz w:val="30"/>
          <w:szCs w:val="30"/>
        </w:rPr>
        <w:t xml:space="preserve">5. Data Cleaning</w:t>
      </w:r>
    </w:p>
    <w:p>
      <w:pPr>
        <w:pStyle w:val="Heading2"/>
        <w:spacing w:after="120" w:before="260"/>
      </w:pPr>
      <w:r>
        <w:rPr>
          <w:rFonts w:ascii="Cambria" w:cs="Cambria" w:eastAsia="Cambria" w:hAnsi="Cambria"/>
          <w:b/>
          <w:bCs/>
          <w:color w:val="16234A"/>
          <w:sz w:val="24"/>
          <w:szCs w:val="24"/>
        </w:rPr>
        <w:t xml:space="preserve">5.1 Missing Values</w:t>
      </w:r>
    </w:p>
    <w:p>
      <w:pPr>
        <w:spacing w:after="160" w:line="300"/>
      </w:pPr>
      <w:r>
        <w:rPr>
          <w:rFonts w:ascii="Calibri" w:cs="Calibri" w:eastAsia="Calibri" w:hAnsi="Calibri"/>
          <w:color w:val="222831"/>
          <w:sz w:val="22"/>
          <w:szCs w:val="22"/>
        </w:rPr>
        <w:t xml:space="preserve">data.isnull().sum() checks each column individually for missing (NaN) values, and data.isnull().sum().sum() totals them across the whole dataset. Both checks confirm 0 missing values — the dataset arrives complete.</w:t>
      </w:r>
    </w:p>
    <w:p>
      <w:pPr>
        <w:pStyle w:val="Heading2"/>
        <w:spacing w:after="120" w:before="260"/>
      </w:pPr>
      <w:r>
        <w:rPr>
          <w:rFonts w:ascii="Cambria" w:cs="Cambria" w:eastAsia="Cambria" w:hAnsi="Cambria"/>
          <w:b/>
          <w:bCs/>
          <w:color w:val="16234A"/>
          <w:sz w:val="24"/>
          <w:szCs w:val="24"/>
        </w:rPr>
        <w:t xml:space="preserve">5.2 Duplicate Rows</w:t>
      </w:r>
    </w:p>
    <w:p>
      <w:pPr>
        <w:spacing w:after="160" w:line="300"/>
      </w:pPr>
      <w:r>
        <w:rPr>
          <w:rFonts w:ascii="Calibri" w:cs="Calibri" w:eastAsia="Calibri" w:hAnsi="Calibri"/>
          <w:color w:val="222831"/>
          <w:sz w:val="22"/>
          <w:szCs w:val="22"/>
        </w:rPr>
        <w:t xml:space="preserve">data.duplicated().sum() counts exact duplicate rows. The result is 0 duplicates. data.drop_duplicates() is still run to guarantee the working set stays unique going forward.</w:t>
      </w:r>
    </w:p>
    <w:p>
      <w:pPr>
        <w:pStyle w:val="Heading2"/>
        <w:spacing w:after="120" w:before="260"/>
      </w:pPr>
      <w:r>
        <w:rPr>
          <w:rFonts w:ascii="Cambria" w:cs="Cambria" w:eastAsia="Cambria" w:hAnsi="Cambria"/>
          <w:b/>
          <w:bCs/>
          <w:color w:val="16234A"/>
          <w:sz w:val="24"/>
          <w:szCs w:val="24"/>
        </w:rPr>
        <w:t xml:space="preserve">5.3 Handling Missing Values (defensive step)</w:t>
      </w:r>
    </w:p>
    <w:p>
      <w:pPr>
        <w:spacing w:after="160" w:line="300"/>
      </w:pPr>
      <w:r>
        <w:rPr>
          <w:rFonts w:ascii="Calibri" w:cs="Calibri" w:eastAsia="Calibri" w:hAnsi="Calibri"/>
          <w:color w:val="222831"/>
          <w:sz w:val="22"/>
          <w:szCs w:val="22"/>
        </w:rPr>
        <w:t xml:space="preserve">Even though no values were found missing, the notebook applies a fill strategy so the pipeline is robust to future data with gaps:</w:t>
      </w:r>
    </w:p>
    <w:p>
      <w:pPr>
        <w:spacing w:after="90"/>
      </w:pPr>
    </w:p>
    <w:p>
      <w:pPr>
        <w:pStyle w:val="ListParagraph"/>
        <w:numPr>
          <w:ilvl w:val="0"/>
          <w:numId w:val="2"/>
        </w:numPr>
        <w:spacing w:after="90"/>
      </w:pPr>
      <w:r>
        <w:rPr>
          <w:rFonts w:ascii="Calibri" w:cs="Calibri" w:eastAsia="Calibri" w:hAnsi="Calibri"/>
          <w:color w:val="222831"/>
          <w:sz w:val="22"/>
          <w:szCs w:val="22"/>
        </w:rPr>
        <w:t xml:space="preserve">Numeric columns (ApplicantIncome, CoapplicantIncome, LoanAmount, Loan_Amount_Term) are filled with their median, which is less sensitive to outliers than the mean.</w:t>
      </w:r>
    </w:p>
    <w:p>
      <w:pPr>
        <w:pStyle w:val="ListParagraph"/>
        <w:numPr>
          <w:ilvl w:val="0"/>
          <w:numId w:val="2"/>
        </w:numPr>
        <w:spacing w:after="90"/>
      </w:pPr>
      <w:r>
        <w:rPr>
          <w:rFonts w:ascii="Calibri" w:cs="Calibri" w:eastAsia="Calibri" w:hAnsi="Calibri"/>
          <w:color w:val="222831"/>
          <w:sz w:val="22"/>
          <w:szCs w:val="22"/>
        </w:rPr>
        <w:t xml:space="preserve">Categorical columns (Gender, Married, Dependents, Education, Self_Employed, Credit_History, Property_Area) are filled with their mode (most frequent value).</w:t>
      </w:r>
    </w:p>
    <w:p>
      <w:pPr>
        <w:pStyle w:val="ListParagraph"/>
        <w:numPr>
          <w:ilvl w:val="0"/>
          <w:numId w:val="2"/>
        </w:numPr>
        <w:spacing w:after="90"/>
      </w:pPr>
      <w:r>
        <w:rPr>
          <w:rFonts w:ascii="Calibri" w:cs="Calibri" w:eastAsia="Calibri" w:hAnsi="Calibri"/>
          <w:color w:val="222831"/>
          <w:sz w:val="22"/>
          <w:szCs w:val="22"/>
        </w:rPr>
        <w:t xml:space="preserve">The Dependents column’s "3+" category is replaced with the integer 3 so the column is fully numeric.</w:t>
      </w:r>
    </w:p>
    <w:p>
      <w:pPr>
        <w:pStyle w:val="ListParagraph"/>
        <w:numPr>
          <w:ilvl w:val="0"/>
          <w:numId w:val="2"/>
        </w:numPr>
        <w:spacing w:after="90"/>
      </w:pPr>
      <w:r>
        <w:rPr>
          <w:rFonts w:ascii="Calibri" w:cs="Calibri" w:eastAsia="Calibri" w:hAnsi="Calibri"/>
          <w:color w:val="222831"/>
          <w:sz w:val="22"/>
          <w:szCs w:val="22"/>
        </w:rPr>
        <w:t xml:space="preserve">The Loan_ID column is dropped — it is a unique identifier with no predictive value for the model.</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num_cols = ["ApplicantIncome", "CoapplicantIncome", "LoanAmount", "Loan_Amount_Term"]</w:t>
      </w:r>
      <w:r>
        <w:rPr>
          <w:rFonts w:ascii="Courier New" w:cs="Courier New" w:eastAsia="Courier New" w:hAnsi="Courier New"/>
          <w:color w:val="E7ECF8"/>
          <w:sz w:val="18"/>
          <w:szCs w:val="18"/>
        </w:rPr>
        <w:br/>
        <w:t xml:space="preserve">for col in num_cols:</w:t>
      </w:r>
      <w:r>
        <w:rPr>
          <w:rFonts w:ascii="Courier New" w:cs="Courier New" w:eastAsia="Courier New" w:hAnsi="Courier New"/>
          <w:color w:val="E7ECF8"/>
          <w:sz w:val="18"/>
          <w:szCs w:val="18"/>
        </w:rPr>
        <w:br/>
        <w:t xml:space="preserve">    data[col].fillna(data[col].median())</w:t>
      </w:r>
      <w:r>
        <w:rPr>
          <w:rFonts w:ascii="Courier New" w:cs="Courier New" w:eastAsia="Courier New" w:hAnsi="Courier New"/>
          <w:color w:val="E7ECF8"/>
          <w:sz w:val="18"/>
          <w:szCs w:val="18"/>
        </w:rPr>
        <w:br/>
        <w:t xml:space="preserve"/>
      </w:r>
      <w:r>
        <w:rPr>
          <w:rFonts w:ascii="Courier New" w:cs="Courier New" w:eastAsia="Courier New" w:hAnsi="Courier New"/>
          <w:color w:val="E7ECF8"/>
          <w:sz w:val="18"/>
          <w:szCs w:val="18"/>
        </w:rPr>
        <w:br/>
        <w:t xml:space="preserve">cate_cols = ["Gender", "Married", "Dependents", "Education", "Self_Employed",</w:t>
      </w:r>
      <w:r>
        <w:rPr>
          <w:rFonts w:ascii="Courier New" w:cs="Courier New" w:eastAsia="Courier New" w:hAnsi="Courier New"/>
          <w:color w:val="E7ECF8"/>
          <w:sz w:val="18"/>
          <w:szCs w:val="18"/>
        </w:rPr>
        <w:br/>
        <w:t xml:space="preserve">             "Credit_History", "Property_Area"]</w:t>
      </w:r>
      <w:r>
        <w:rPr>
          <w:rFonts w:ascii="Courier New" w:cs="Courier New" w:eastAsia="Courier New" w:hAnsi="Courier New"/>
          <w:color w:val="E7ECF8"/>
          <w:sz w:val="18"/>
          <w:szCs w:val="18"/>
        </w:rPr>
        <w:br/>
        <w:t xml:space="preserve">for col in cate_cols:</w:t>
      </w:r>
      <w:r>
        <w:rPr>
          <w:rFonts w:ascii="Courier New" w:cs="Courier New" w:eastAsia="Courier New" w:hAnsi="Courier New"/>
          <w:color w:val="E7ECF8"/>
          <w:sz w:val="18"/>
          <w:szCs w:val="18"/>
        </w:rPr>
        <w:br/>
        <w:t xml:space="preserve">    data[col] = data[col].fillna(data[col].mode()[0])</w:t>
      </w:r>
      <w:r>
        <w:rPr>
          <w:rFonts w:ascii="Courier New" w:cs="Courier New" w:eastAsia="Courier New" w:hAnsi="Courier New"/>
          <w:color w:val="E7ECF8"/>
          <w:sz w:val="18"/>
          <w:szCs w:val="18"/>
        </w:rPr>
        <w:br/>
        <w:t xml:space="preserve"/>
      </w:r>
      <w:r>
        <w:rPr>
          <w:rFonts w:ascii="Courier New" w:cs="Courier New" w:eastAsia="Courier New" w:hAnsi="Courier New"/>
          <w:color w:val="E7ECF8"/>
          <w:sz w:val="18"/>
          <w:szCs w:val="18"/>
        </w:rPr>
        <w:br/>
        <w:t xml:space="preserve">data["Dependents"] = data["Dependents"].replace("3+", 3)</w:t>
      </w:r>
      <w:r>
        <w:rPr>
          <w:rFonts w:ascii="Courier New" w:cs="Courier New" w:eastAsia="Courier New" w:hAnsi="Courier New"/>
          <w:color w:val="E7ECF8"/>
          <w:sz w:val="18"/>
          <w:szCs w:val="18"/>
        </w:rPr>
        <w:br/>
        <w:t xml:space="preserve">data = data.drop("Loan_ID", axis=1)</w:t>
      </w:r>
    </w:p>
    <w:p>
      <w:pPr>
        <w:pStyle w:val="Heading2"/>
        <w:spacing w:after="120" w:before="260"/>
      </w:pPr>
      <w:r>
        <w:rPr>
          <w:rFonts w:ascii="Cambria" w:cs="Cambria" w:eastAsia="Cambria" w:hAnsi="Cambria"/>
          <w:b/>
          <w:bCs/>
          <w:color w:val="16234A"/>
          <w:sz w:val="24"/>
          <w:szCs w:val="24"/>
        </w:rPr>
        <w:t xml:space="preserve">5.4 Outlier Detection (IQR Method)</w:t>
      </w:r>
    </w:p>
    <w:p>
      <w:pPr>
        <w:spacing w:after="160" w:line="300"/>
      </w:pPr>
      <w:r>
        <w:rPr>
          <w:rFonts w:ascii="Calibri" w:cs="Calibri" w:eastAsia="Calibri" w:hAnsi="Calibri"/>
          <w:color w:val="222831"/>
          <w:sz w:val="22"/>
          <w:szCs w:val="22"/>
        </w:rPr>
        <w:t xml:space="preserve">For ApplicantIncome, CoapplicantIncome and LoanAmount, the Interquartile Range (IQR) method flags outliers: Q1 and Q3 (25th/75th percentiles) define IQR = Q3 − Q1, and any value outside [Q1 − 1.5×IQR, Q3 + 1.5×IQR] is treated as an outlier.</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outliers_cols = ["ApplicantIncome", "CoapplicantIncome", "LoanAmount"]</w:t>
      </w:r>
      <w:r>
        <w:rPr>
          <w:rFonts w:ascii="Courier New" w:cs="Courier New" w:eastAsia="Courier New" w:hAnsi="Courier New"/>
          <w:color w:val="E7ECF8"/>
          <w:sz w:val="18"/>
          <w:szCs w:val="18"/>
        </w:rPr>
        <w:br/>
        <w:t xml:space="preserve">for col in outliers_cols:</w:t>
      </w:r>
      <w:r>
        <w:rPr>
          <w:rFonts w:ascii="Courier New" w:cs="Courier New" w:eastAsia="Courier New" w:hAnsi="Courier New"/>
          <w:color w:val="E7ECF8"/>
          <w:sz w:val="18"/>
          <w:szCs w:val="18"/>
        </w:rPr>
        <w:br/>
        <w:t xml:space="preserve">    Q1 = data[col].quantile(0.25)</w:t>
      </w:r>
      <w:r>
        <w:rPr>
          <w:rFonts w:ascii="Courier New" w:cs="Courier New" w:eastAsia="Courier New" w:hAnsi="Courier New"/>
          <w:color w:val="E7ECF8"/>
          <w:sz w:val="18"/>
          <w:szCs w:val="18"/>
        </w:rPr>
        <w:br/>
        <w:t xml:space="preserve">    Q3 = data[col].quantile(0.75)</w:t>
      </w:r>
      <w:r>
        <w:rPr>
          <w:rFonts w:ascii="Courier New" w:cs="Courier New" w:eastAsia="Courier New" w:hAnsi="Courier New"/>
          <w:color w:val="E7ECF8"/>
          <w:sz w:val="18"/>
          <w:szCs w:val="18"/>
        </w:rPr>
        <w:br/>
        <w:t xml:space="preserve">    IQR = Q3 - Q1</w:t>
      </w:r>
      <w:r>
        <w:rPr>
          <w:rFonts w:ascii="Courier New" w:cs="Courier New" w:eastAsia="Courier New" w:hAnsi="Courier New"/>
          <w:color w:val="E7ECF8"/>
          <w:sz w:val="18"/>
          <w:szCs w:val="18"/>
        </w:rPr>
        <w:br/>
        <w:t xml:space="preserve">    lower, upper = Q1 - 1.5 * IQR, Q3 + 1.5 * IQR</w:t>
      </w:r>
      <w:r>
        <w:rPr>
          <w:rFonts w:ascii="Courier New" w:cs="Courier New" w:eastAsia="Courier New" w:hAnsi="Courier New"/>
          <w:color w:val="E7ECF8"/>
          <w:sz w:val="18"/>
          <w:szCs w:val="18"/>
        </w:rPr>
        <w:br/>
        <w:t xml:space="preserve">    outliers = data[(data[col] &lt; lower) | (data[col] &gt; upper)]</w:t>
      </w:r>
      <w:r>
        <w:rPr>
          <w:rFonts w:ascii="Courier New" w:cs="Courier New" w:eastAsia="Courier New" w:hAnsi="Courier New"/>
          <w:color w:val="E7ECF8"/>
          <w:sz w:val="18"/>
          <w:szCs w:val="18"/>
        </w:rPr>
        <w:br/>
        <w:t xml:space="preserve">    print(col, ":", len(outliers), "outliers")</w:t>
      </w:r>
      <w:r>
        <w:rPr>
          <w:rFonts w:ascii="Courier New" w:cs="Courier New" w:eastAsia="Courier New" w:hAnsi="Courier New"/>
          <w:color w:val="E7ECF8"/>
          <w:sz w:val="18"/>
          <w:szCs w:val="18"/>
        </w:rPr>
        <w:br/>
        <w:t xml:space="preserve">    data[col] = data[col].clip(lower, upper)</w:t>
      </w:r>
    </w:p>
    <w:p>
      <w:pPr>
        <w:pBdr>
          <w:left w:val="single" w:color="9C7A2E" w:sz="18"/>
        </w:pBdr>
        <w:shd w:fill="FBF3E1" w:color="auto" w:val="clear"/>
        <w:spacing w:after="220" w:before="120"/>
        <w:ind w:left="200"/>
      </w:pPr>
      <w:r>
        <w:rPr>
          <w:rFonts w:ascii="Calibri" w:cs="Calibri" w:eastAsia="Calibri" w:hAnsi="Calibri"/>
          <w:i/>
          <w:iCs/>
          <w:color w:val="5A4A1E"/>
          <w:sz w:val="21"/>
          <w:szCs w:val="21"/>
        </w:rPr>
        <w:t xml:space="preserve">Result: 0 outliers were found in ApplicantIncome, CoapplicantIncome and LoanAmount. The clip() call is still applied so any future extreme values are automatically capped rather than dropped, preserving the row count.</w:t>
      </w:r>
    </w:p>
    <w:p>
      <w:pPr>
        <w:pStyle w:val="Heading1"/>
        <w:pBdr>
          <w:bottom w:val="single" w:color="16234A" w:sz="6" w:space="4"/>
        </w:pBdr>
        <w:spacing w:after="160" w:before="400"/>
      </w:pPr>
      <w:r>
        <w:rPr>
          <w:rFonts w:ascii="Cambria" w:cs="Cambria" w:eastAsia="Cambria" w:hAnsi="Cambria"/>
          <w:b/>
          <w:bCs/>
          <w:color w:val="16234A"/>
          <w:sz w:val="30"/>
          <w:szCs w:val="30"/>
        </w:rPr>
        <w:t xml:space="preserve">6. Data Transformation</w:t>
      </w:r>
    </w:p>
    <w:p>
      <w:pPr>
        <w:pStyle w:val="Heading2"/>
        <w:spacing w:after="120" w:before="260"/>
      </w:pPr>
      <w:r>
        <w:rPr>
          <w:rFonts w:ascii="Cambria" w:cs="Cambria" w:eastAsia="Cambria" w:hAnsi="Cambria"/>
          <w:b/>
          <w:bCs/>
          <w:color w:val="16234A"/>
          <w:sz w:val="24"/>
          <w:szCs w:val="24"/>
        </w:rPr>
        <w:t xml:space="preserve">6.1 Encoding Categorical Variables</w:t>
      </w:r>
    </w:p>
    <w:p>
      <w:pPr>
        <w:spacing w:after="160" w:line="300"/>
      </w:pPr>
      <w:r>
        <w:rPr>
          <w:rFonts w:ascii="Calibri" w:cs="Calibri" w:eastAsia="Calibri" w:hAnsi="Calibri"/>
          <w:color w:val="222831"/>
          <w:sz w:val="22"/>
          <w:szCs w:val="22"/>
        </w:rPr>
        <w:t xml:space="preserve">Machine learning models require numeric input, so scikit-learn's LabelEncoder converts the remaining text columns — Gender, Married, Education, Self_Employed, Property_Area and the target Loan_Status — into numeric codes (e.g. Gender: Male → 1, Female → 0).</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le = LabelEncoder()</w:t>
      </w:r>
      <w:r>
        <w:rPr>
          <w:rFonts w:ascii="Courier New" w:cs="Courier New" w:eastAsia="Courier New" w:hAnsi="Courier New"/>
          <w:color w:val="E7ECF8"/>
          <w:sz w:val="18"/>
          <w:szCs w:val="18"/>
        </w:rPr>
        <w:br/>
        <w:t xml:space="preserve">columns = ["Gender", "Married", "Education", "Self_Employed", "Property_Area", "Loan_Status"]</w:t>
      </w:r>
      <w:r>
        <w:rPr>
          <w:rFonts w:ascii="Courier New" w:cs="Courier New" w:eastAsia="Courier New" w:hAnsi="Courier New"/>
          <w:color w:val="E7ECF8"/>
          <w:sz w:val="18"/>
          <w:szCs w:val="18"/>
        </w:rPr>
        <w:br/>
        <w:t xml:space="preserve">for col in columns:</w:t>
      </w:r>
      <w:r>
        <w:rPr>
          <w:rFonts w:ascii="Courier New" w:cs="Courier New" w:eastAsia="Courier New" w:hAnsi="Courier New"/>
          <w:color w:val="E7ECF8"/>
          <w:sz w:val="18"/>
          <w:szCs w:val="18"/>
        </w:rPr>
        <w:br/>
        <w:t xml:space="preserve">    data[col] = le.fit_transform(data[col])</w:t>
      </w:r>
    </w:p>
    <w:p>
      <w:pPr>
        <w:pStyle w:val="Heading2"/>
        <w:spacing w:after="120" w:before="260"/>
      </w:pPr>
      <w:r>
        <w:rPr>
          <w:rFonts w:ascii="Cambria" w:cs="Cambria" w:eastAsia="Cambria" w:hAnsi="Cambria"/>
          <w:b/>
          <w:bCs/>
          <w:color w:val="16234A"/>
          <w:sz w:val="24"/>
          <w:szCs w:val="24"/>
        </w:rPr>
        <w:t xml:space="preserve">6.2 Scaling Numerical Features</w:t>
      </w:r>
    </w:p>
    <w:p>
      <w:pPr>
        <w:spacing w:after="160" w:line="300"/>
      </w:pPr>
      <w:r>
        <w:rPr>
          <w:rFonts w:ascii="Calibri" w:cs="Calibri" w:eastAsia="Calibri" w:hAnsi="Calibri"/>
          <w:color w:val="222831"/>
          <w:sz w:val="22"/>
          <w:szCs w:val="22"/>
        </w:rPr>
        <w:t xml:space="preserve">StandardScaler standardizes ApplicantIncome, CoapplicantIncome, LoanAmount and Loan_Amount_Term so each has a mean of 0 and a standard deviation of 1. This puts every numeric feature on a comparable scale, helping distance-based and gradient-based models train faster and more accurately.</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scaler = StandardScaler()</w:t>
      </w:r>
      <w:r>
        <w:rPr>
          <w:rFonts w:ascii="Courier New" w:cs="Courier New" w:eastAsia="Courier New" w:hAnsi="Courier New"/>
          <w:color w:val="E7ECF8"/>
          <w:sz w:val="18"/>
          <w:szCs w:val="18"/>
        </w:rPr>
        <w:br/>
        <w:t xml:space="preserve">features = ["ApplicantIncome", "CoapplicantIncome", "LoanAmount", "Loan_Amount_Term"]</w:t>
      </w:r>
      <w:r>
        <w:rPr>
          <w:rFonts w:ascii="Courier New" w:cs="Courier New" w:eastAsia="Courier New" w:hAnsi="Courier New"/>
          <w:color w:val="E7ECF8"/>
          <w:sz w:val="18"/>
          <w:szCs w:val="18"/>
        </w:rPr>
        <w:br/>
        <w:t xml:space="preserve">data[features] = scaler.fit_transform(data[features])</w:t>
      </w:r>
    </w:p>
    <w:p>
      <w:pPr>
        <w:pBdr>
          <w:left w:val="single" w:color="9C7A2E" w:sz="18"/>
        </w:pBdr>
        <w:shd w:fill="FBF3E1" w:color="auto" w:val="clear"/>
        <w:spacing w:after="220" w:before="120"/>
        <w:ind w:left="200"/>
      </w:pPr>
      <w:r>
        <w:rPr>
          <w:rFonts w:ascii="Calibri" w:cs="Calibri" w:eastAsia="Calibri" w:hAnsi="Calibri"/>
          <w:i/>
          <w:iCs/>
          <w:color w:val="5A4A1E"/>
          <w:sz w:val="21"/>
          <w:szCs w:val="21"/>
        </w:rPr>
        <w:t xml:space="preserve">This notebook standardizes features directly ahead of modeling; it does not include a separate PCA / dimensionality-reduction step.</w:t>
      </w:r>
    </w:p>
    <w:p>
      <w:pPr>
        <w:pStyle w:val="Heading1"/>
        <w:pBdr>
          <w:bottom w:val="single" w:color="16234A" w:sz="6" w:space="4"/>
        </w:pBdr>
        <w:spacing w:after="160" w:before="400"/>
      </w:pPr>
      <w:r>
        <w:rPr>
          <w:rFonts w:ascii="Cambria" w:cs="Cambria" w:eastAsia="Cambria" w:hAnsi="Cambria"/>
          <w:b/>
          <w:bCs/>
          <w:color w:val="16234A"/>
          <w:sz w:val="30"/>
          <w:szCs w:val="30"/>
        </w:rPr>
        <w:t xml:space="preserve">7. Exploratory Data Analysis</w:t>
      </w:r>
    </w:p>
    <w:p>
      <w:pPr>
        <w:spacing w:after="160" w:line="300"/>
      </w:pPr>
      <w:r>
        <w:rPr>
          <w:rFonts w:ascii="Calibri" w:cs="Calibri" w:eastAsia="Calibri" w:hAnsi="Calibri"/>
          <w:color w:val="222831"/>
          <w:sz w:val="22"/>
          <w:szCs w:val="22"/>
        </w:rPr>
        <w:t xml:space="preserve">EDA is the first and most important step in the data science lifecycle — it exposes structure and patterns ahead of modeling and helps avoid wrong assumptions or model failure.</w:t>
      </w:r>
    </w:p>
    <w:p>
      <w:pPr>
        <w:pStyle w:val="Heading2"/>
        <w:spacing w:after="120" w:before="260"/>
      </w:pPr>
      <w:r>
        <w:rPr>
          <w:rFonts w:ascii="Cambria" w:cs="Cambria" w:eastAsia="Cambria" w:hAnsi="Cambria"/>
          <w:b/>
          <w:bCs/>
          <w:color w:val="16234A"/>
          <w:sz w:val="24"/>
          <w:szCs w:val="24"/>
        </w:rPr>
        <w:t xml:space="preserve">7.1 Descriptive Statistics &amp; Grouped Analysis</w:t>
      </w:r>
    </w:p>
    <w:p>
      <w:pPr>
        <w:spacing w:after="160" w:line="300"/>
      </w:pPr>
      <w:r>
        <w:rPr>
          <w:rFonts w:ascii="Calibri" w:cs="Calibri" w:eastAsia="Calibri" w:hAnsi="Calibri"/>
          <w:color w:val="222831"/>
          <w:sz w:val="22"/>
          <w:szCs w:val="22"/>
        </w:rPr>
        <w:t xml:space="preserve">data.describe() reports summary statistics (mean, std, min, max, quartiles) for all numeric columns. Grouping by Property_Area and looking at the normalized value counts of Loan_Status shows approval rates by location: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Property_Area = 0</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5.3% rejected · 94.7% approved</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Property_Area = 1</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3.1% rejected · 96.9% approved</w:t>
            </w:r>
          </w:p>
        </w:tc>
      </w:tr>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Property_Area = 2</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4.4% rejected · 95.6% approved</w:t>
            </w:r>
          </w:p>
        </w:tc>
      </w:tr>
    </w:tbl>
    <w:p>
      <w:pPr>
        <w:spacing w:after="160" w:line="300"/>
      </w:pPr>
      <w:r>
        <w:rPr>
          <w:rFonts w:ascii="Calibri" w:cs="Calibri" w:eastAsia="Calibri" w:hAnsi="Calibri"/>
          <w:color w:val="222831"/>
          <w:sz w:val="22"/>
          <w:szCs w:val="22"/>
        </w:rPr>
        <w:t xml:space="preserve">A pivot table comparing Credit_History against Loan_Status shows how strongly credit history relates to approval:</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200"/>
        <w:gridCol w:w="6800"/>
      </w:tblGrid>
      <w:tr>
        <w:tc>
          <w:tcPr>
            <w:tcW w:type="dxa" w:w="3200"/>
            <w:shd w:fill="F2F4F9" w:color="auto" w:val="clear"/>
            <w:tcMar>
              <w:top w:type="dxa" w:w="90"/>
              <w:left w:type="dxa" w:w="140"/>
              <w:bottom w:type="dxa" w:w="90"/>
              <w:right w:type="dxa" w:w="140"/>
            </w:tcMar>
          </w:tcPr>
          <w:p>
            <w:r>
              <w:rPr>
                <w:rFonts w:ascii="Calibri" w:cs="Calibri" w:eastAsia="Calibri" w:hAnsi="Calibri"/>
                <w:b/>
                <w:bCs/>
                <w:color w:val="16234A"/>
                <w:sz w:val="20"/>
                <w:szCs w:val="20"/>
              </w:rPr>
              <w:t xml:space="preserve">Credit_History = 0 (bad)</w:t>
            </w:r>
          </w:p>
        </w:tc>
        <w:tc>
          <w:tcPr>
            <w:tcW w:type="dxa" w:w="6800"/>
            <w:shd w:fill="F2F4F9"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36 rejected · 126 approved</w:t>
            </w:r>
          </w:p>
        </w:tc>
      </w:tr>
      <w:tr>
        <w:tc>
          <w:tcPr>
            <w:tcW w:type="dxa" w:w="3200"/>
            <w:shd w:fill="FFFFFF" w:color="auto" w:val="clear"/>
            <w:tcMar>
              <w:top w:type="dxa" w:w="90"/>
              <w:left w:type="dxa" w:w="140"/>
              <w:bottom w:type="dxa" w:w="90"/>
              <w:right w:type="dxa" w:w="140"/>
            </w:tcMar>
          </w:tcPr>
          <w:p>
            <w:r>
              <w:rPr>
                <w:rFonts w:ascii="Calibri" w:cs="Calibri" w:eastAsia="Calibri" w:hAnsi="Calibri"/>
                <w:b/>
                <w:bCs/>
                <w:color w:val="16234A"/>
                <w:sz w:val="20"/>
                <w:szCs w:val="20"/>
              </w:rPr>
              <w:t xml:space="preserve">Credit_History = 1 (good)</w:t>
            </w:r>
          </w:p>
        </w:tc>
        <w:tc>
          <w:tcPr>
            <w:tcW w:type="dxa" w:w="6800"/>
            <w:shd w:fill="FFFFFF" w:color="auto" w:val="clear"/>
            <w:tcMar>
              <w:top w:type="dxa" w:w="90"/>
              <w:left w:type="dxa" w:w="140"/>
              <w:bottom w:type="dxa" w:w="90"/>
              <w:right w:type="dxa" w:w="140"/>
            </w:tcMar>
          </w:tcPr>
          <w:p>
            <w:r>
              <w:rPr>
                <w:rFonts w:ascii="Calibri" w:cs="Calibri" w:eastAsia="Calibri" w:hAnsi="Calibri"/>
                <w:b w:val="false"/>
                <w:bCs w:val="false"/>
                <w:color w:val="222831"/>
                <w:sz w:val="20"/>
                <w:szCs w:val="20"/>
              </w:rPr>
              <w:t xml:space="preserve">5 rejected · 833 approved</w:t>
            </w:r>
          </w:p>
        </w:tc>
      </w:tr>
    </w:tbl>
    <w:p>
      <w:pPr>
        <w:pBdr>
          <w:left w:val="single" w:color="9C7A2E" w:sz="18"/>
        </w:pBdr>
        <w:shd w:fill="FBF3E1" w:color="auto" w:val="clear"/>
        <w:spacing w:after="220" w:before="120"/>
        <w:ind w:left="200"/>
      </w:pPr>
      <w:r>
        <w:rPr>
          <w:rFonts w:ascii="Calibri" w:cs="Calibri" w:eastAsia="Calibri" w:hAnsi="Calibri"/>
          <w:i/>
          <w:iCs/>
          <w:color w:val="5A4A1E"/>
          <w:sz w:val="21"/>
          <w:szCs w:val="21"/>
        </w:rPr>
        <w:t xml:space="preserve">Approval rates are broadly similar across all three property areas, but credit history shows a much sharper split — applicants with good credit history are approved far more consistently.</w:t>
      </w:r>
    </w:p>
    <w:p>
      <w:pPr>
        <w:pStyle w:val="Heading2"/>
        <w:spacing w:after="120" w:before="260"/>
      </w:pPr>
      <w:r>
        <w:rPr>
          <w:rFonts w:ascii="Cambria" w:cs="Cambria" w:eastAsia="Cambria" w:hAnsi="Cambria"/>
          <w:b/>
          <w:bCs/>
          <w:color w:val="16234A"/>
          <w:sz w:val="24"/>
          <w:szCs w:val="24"/>
        </w:rPr>
        <w:t xml:space="preserve">7.2 Correlation Heatmap &amp; Income vs. Status Boxplot</w:t>
      </w:r>
    </w:p>
    <w:p>
      <w:pPr>
        <w:spacing w:after="160" w:line="300"/>
      </w:pPr>
      <w:r>
        <w:rPr>
          <w:rFonts w:ascii="Calibri" w:cs="Calibri" w:eastAsia="Calibri" w:hAnsi="Calibri"/>
          <w:color w:val="222831"/>
          <w:sz w:val="22"/>
          <w:szCs w:val="22"/>
        </w:rPr>
        <w:t xml:space="preserve">A correlation heatmap (sns.heatmap(data.corr())) shows how strongly every numeric feature relates to the others, and to Loan_Status specifically. A boxplot of ApplicantIncome split by Loan_Status (Rejected vs. Approved) visually checks whether income influences approval.</w:t>
      </w:r>
    </w:p>
    <w:p>
      <w:pPr>
        <w:pStyle w:val="Heading2"/>
        <w:spacing w:after="120" w:before="260"/>
      </w:pPr>
      <w:r>
        <w:rPr>
          <w:rFonts w:ascii="Cambria" w:cs="Cambria" w:eastAsia="Cambria" w:hAnsi="Cambria"/>
          <w:b/>
          <w:bCs/>
          <w:color w:val="16234A"/>
          <w:sz w:val="24"/>
          <w:szCs w:val="24"/>
        </w:rPr>
        <w:t xml:space="preserve">7.3 Loan Status Distribution</w:t>
      </w:r>
    </w:p>
    <w:p>
      <w:pPr>
        <w:spacing w:after="160" w:line="300"/>
      </w:pPr>
      <w:r>
        <w:rPr>
          <w:rFonts w:ascii="Calibri" w:cs="Calibri" w:eastAsia="Calibri" w:hAnsi="Calibri"/>
          <w:color w:val="222831"/>
          <w:sz w:val="22"/>
          <w:szCs w:val="22"/>
        </w:rPr>
        <w:t xml:space="preserve">A count plot of Loan_Status shows how many applications were rejected vs. approved, revealing whether the target classes are balanced — important context since a model can look accurate simply by favoring the majority class.</w:t>
      </w:r>
    </w:p>
    <w:p>
      <w:pPr>
        <w:pStyle w:val="Heading2"/>
        <w:spacing w:after="120" w:before="260"/>
      </w:pPr>
      <w:r>
        <w:rPr>
          <w:rFonts w:ascii="Cambria" w:cs="Cambria" w:eastAsia="Cambria" w:hAnsi="Cambria"/>
          <w:b/>
          <w:bCs/>
          <w:color w:val="16234A"/>
          <w:sz w:val="24"/>
          <w:szCs w:val="24"/>
        </w:rPr>
        <w:t xml:space="preserve">7.4 Loan Amount Histogram</w:t>
      </w:r>
    </w:p>
    <w:p>
      <w:pPr>
        <w:spacing w:after="160" w:line="300"/>
      </w:pPr>
      <w:r>
        <w:rPr>
          <w:rFonts w:ascii="Calibri" w:cs="Calibri" w:eastAsia="Calibri" w:hAnsi="Calibri"/>
          <w:color w:val="222831"/>
          <w:sz w:val="22"/>
          <w:szCs w:val="22"/>
        </w:rPr>
        <w:t xml:space="preserve">A 20-bin histogram of LoanAmount visualizes the distribution of loan amounts requested, showing whether most applicants request smaller loans with a long tail of larger requests.</w:t>
      </w:r>
    </w:p>
    <w:p>
      <w:pPr>
        <w:pStyle w:val="Heading2"/>
        <w:spacing w:after="120" w:before="260"/>
      </w:pPr>
      <w:r>
        <w:rPr>
          <w:rFonts w:ascii="Cambria" w:cs="Cambria" w:eastAsia="Cambria" w:hAnsi="Cambria"/>
          <w:b/>
          <w:bCs/>
          <w:color w:val="16234A"/>
          <w:sz w:val="24"/>
          <w:szCs w:val="24"/>
        </w:rPr>
        <w:t xml:space="preserve">7.5 Interactive Scatter Plot (Plotly)</w:t>
      </w:r>
    </w:p>
    <w:p>
      <w:pPr>
        <w:spacing w:after="160" w:line="300"/>
      </w:pPr>
      <w:r>
        <w:rPr>
          <w:rFonts w:ascii="Calibri" w:cs="Calibri" w:eastAsia="Calibri" w:hAnsi="Calibri"/>
          <w:color w:val="222831"/>
          <w:sz w:val="22"/>
          <w:szCs w:val="22"/>
        </w:rPr>
        <w:t xml:space="preserve">An interactive Plotly scatter plot of ApplicantIncome vs. LoanAmount, colored by Loan_Status and annotated with Education and Credit_History on hover, allows interactive exploration of how income, loan size and approval outcome relate.</w:t>
      </w:r>
    </w:p>
    <w:p>
      <w:pPr>
        <w:pStyle w:val="Heading1"/>
        <w:pBdr>
          <w:bottom w:val="single" w:color="16234A" w:sz="6" w:space="4"/>
        </w:pBdr>
        <w:spacing w:after="160" w:before="400"/>
      </w:pPr>
      <w:r>
        <w:rPr>
          <w:rFonts w:ascii="Cambria" w:cs="Cambria" w:eastAsia="Cambria" w:hAnsi="Cambria"/>
          <w:b/>
          <w:bCs/>
          <w:color w:val="16234A"/>
          <w:sz w:val="30"/>
          <w:szCs w:val="30"/>
        </w:rPr>
        <w:t xml:space="preserve">8. Data Splitting</w:t>
      </w:r>
    </w:p>
    <w:p>
      <w:pPr>
        <w:spacing w:after="160" w:line="300"/>
      </w:pPr>
      <w:r>
        <w:rPr>
          <w:rFonts w:ascii="Calibri" w:cs="Calibri" w:eastAsia="Calibri" w:hAnsi="Calibri"/>
          <w:color w:val="222831"/>
          <w:sz w:val="22"/>
          <w:szCs w:val="22"/>
        </w:rPr>
        <w:t xml:space="preserve">The cleaned, encoded and scaled dataset is split into features (X, all columns except Loan_Status) and target (y, Loan_Status), then divided into an 80% training set and a 20% test set using train_test_split with a fixed random_state=42 for reproducibility.</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X = data.drop("Loan_Status", axis=1)</w:t>
      </w:r>
      <w:r>
        <w:rPr>
          <w:rFonts w:ascii="Courier New" w:cs="Courier New" w:eastAsia="Courier New" w:hAnsi="Courier New"/>
          <w:color w:val="E7ECF8"/>
          <w:sz w:val="18"/>
          <w:szCs w:val="18"/>
        </w:rPr>
        <w:br/>
        <w:t xml:space="preserve">y = data["Loan_Status"]</w:t>
      </w:r>
      <w:r>
        <w:rPr>
          <w:rFonts w:ascii="Courier New" w:cs="Courier New" w:eastAsia="Courier New" w:hAnsi="Courier New"/>
          <w:color w:val="E7ECF8"/>
          <w:sz w:val="18"/>
          <w:szCs w:val="18"/>
        </w:rPr>
        <w:br/>
        <w:t xml:space="preserve">X_train, X_test, y_train, y_test = train_test_split(</w:t>
      </w:r>
      <w:r>
        <w:rPr>
          <w:rFonts w:ascii="Courier New" w:cs="Courier New" w:eastAsia="Courier New" w:hAnsi="Courier New"/>
          <w:color w:val="E7ECF8"/>
          <w:sz w:val="18"/>
          <w:szCs w:val="18"/>
        </w:rPr>
        <w:br/>
        <w:t xml:space="preserve">    X, y, test_size=0.20, random_state=42)</w:t>
      </w:r>
    </w:p>
    <w:p>
      <w:pPr>
        <w:pStyle w:val="Heading1"/>
        <w:pBdr>
          <w:bottom w:val="single" w:color="16234A" w:sz="6" w:space="4"/>
        </w:pBdr>
        <w:spacing w:after="160" w:before="400"/>
      </w:pPr>
      <w:r>
        <w:rPr>
          <w:rFonts w:ascii="Cambria" w:cs="Cambria" w:eastAsia="Cambria" w:hAnsi="Cambria"/>
          <w:b/>
          <w:bCs/>
          <w:color w:val="16234A"/>
          <w:sz w:val="30"/>
          <w:szCs w:val="30"/>
        </w:rPr>
        <w:t xml:space="preserve">9. Models Implemented</w:t>
      </w:r>
    </w:p>
    <w:p>
      <w:pPr>
        <w:spacing w:after="160" w:line="300"/>
      </w:pPr>
      <w:r>
        <w:rPr>
          <w:rFonts w:ascii="Calibri" w:cs="Calibri" w:eastAsia="Calibri" w:hAnsi="Calibri"/>
          <w:color w:val="222831"/>
          <w:sz w:val="22"/>
          <w:szCs w:val="22"/>
        </w:rPr>
        <w:t xml:space="preserve">Four classifiers are trained on the identical 80% training split and evaluated on the same 20% test set:</w:t>
      </w:r>
    </w:p>
    <w:p>
      <w:pPr>
        <w:pStyle w:val="ListParagraph"/>
        <w:numPr>
          <w:ilvl w:val="0"/>
          <w:numId w:val="2"/>
        </w:numPr>
        <w:spacing w:after="90"/>
      </w:pPr>
      <w:r>
        <w:rPr>
          <w:rFonts w:ascii="Calibri" w:cs="Calibri" w:eastAsia="Calibri" w:hAnsi="Calibri"/>
          <w:color w:val="222831"/>
          <w:sz w:val="22"/>
          <w:szCs w:val="22"/>
        </w:rPr>
        <w:t xml:space="preserve">Logistic Regression — a baseline linear classifier estimating the probability of approval.</w:t>
      </w:r>
    </w:p>
    <w:p>
      <w:pPr>
        <w:pStyle w:val="ListParagraph"/>
        <w:numPr>
          <w:ilvl w:val="0"/>
          <w:numId w:val="2"/>
        </w:numPr>
        <w:spacing w:after="90"/>
      </w:pPr>
      <w:r>
        <w:rPr>
          <w:rFonts w:ascii="Calibri" w:cs="Calibri" w:eastAsia="Calibri" w:hAnsi="Calibri"/>
          <w:color w:val="222831"/>
          <w:sz w:val="22"/>
          <w:szCs w:val="22"/>
        </w:rPr>
        <w:t xml:space="preserve">Decision Tree Classifier — learns simple if-else rules arranged in a tree structure.</w:t>
      </w:r>
    </w:p>
    <w:p>
      <w:pPr>
        <w:pStyle w:val="ListParagraph"/>
        <w:numPr>
          <w:ilvl w:val="0"/>
          <w:numId w:val="2"/>
        </w:numPr>
        <w:spacing w:after="90"/>
      </w:pPr>
      <w:r>
        <w:rPr>
          <w:rFonts w:ascii="Calibri" w:cs="Calibri" w:eastAsia="Calibri" w:hAnsi="Calibri"/>
          <w:color w:val="222831"/>
          <w:sz w:val="22"/>
          <w:szCs w:val="22"/>
        </w:rPr>
        <w:t xml:space="preserve">Random Forest Classifier — an ensemble of 100 decision trees combined for more accurate, stable predictions.</w:t>
      </w:r>
    </w:p>
    <w:p>
      <w:pPr>
        <w:pStyle w:val="ListParagraph"/>
        <w:numPr>
          <w:ilvl w:val="0"/>
          <w:numId w:val="2"/>
        </w:numPr>
        <w:spacing w:after="90"/>
      </w:pPr>
      <w:r>
        <w:rPr>
          <w:rFonts w:ascii="Calibri" w:cs="Calibri" w:eastAsia="Calibri" w:hAnsi="Calibri"/>
          <w:color w:val="222831"/>
          <w:sz w:val="22"/>
          <w:szCs w:val="22"/>
        </w:rPr>
        <w:t xml:space="preserve">K-Nearest Neighbors Classifier (k = 5) — classifies each applicant by majority vote among its 5 most similar applicants.</w:t>
      </w:r>
    </w:p>
    <w:p>
      <w:pPr>
        <w:pBdr>
          <w:top w:val="single" w:color="1B2438" w:sz="2"/>
          <w:bottom w:val="single" w:color="1B2438" w:sz="2"/>
          <w:left w:val="single" w:color="1B2438" w:sz="2"/>
          <w:right w:val="single" w:color="1B2438" w:sz="2"/>
        </w:pBdr>
        <w:shd w:fill="1B2438" w:color="auto" w:val="clear"/>
        <w:spacing w:after="200" w:before="120"/>
      </w:pPr>
      <w:r>
        <w:rPr>
          <w:rFonts w:ascii="Courier New" w:cs="Courier New" w:eastAsia="Courier New" w:hAnsi="Courier New"/>
          <w:color w:val="E7ECF8"/>
          <w:sz w:val="18"/>
          <w:szCs w:val="18"/>
        </w:rPr>
        <w:t xml:space="preserve">lr = LogisticRegression(random_state=42).fit(X_train, y_train)</w:t>
      </w:r>
      <w:r>
        <w:rPr>
          <w:rFonts w:ascii="Courier New" w:cs="Courier New" w:eastAsia="Courier New" w:hAnsi="Courier New"/>
          <w:color w:val="E7ECF8"/>
          <w:sz w:val="18"/>
          <w:szCs w:val="18"/>
        </w:rPr>
        <w:br/>
        <w:t xml:space="preserve">dtc = DecisionTreeClassifier(random_state=42).fit(X_train, y_train)</w:t>
      </w:r>
      <w:r>
        <w:rPr>
          <w:rFonts w:ascii="Courier New" w:cs="Courier New" w:eastAsia="Courier New" w:hAnsi="Courier New"/>
          <w:color w:val="E7ECF8"/>
          <w:sz w:val="18"/>
          <w:szCs w:val="18"/>
        </w:rPr>
        <w:br/>
        <w:t xml:space="preserve">rfc = RandomForestClassifier(n_estimators=100, random_state=42).fit(X_train, y_train)</w:t>
      </w:r>
      <w:r>
        <w:rPr>
          <w:rFonts w:ascii="Courier New" w:cs="Courier New" w:eastAsia="Courier New" w:hAnsi="Courier New"/>
          <w:color w:val="E7ECF8"/>
          <w:sz w:val="18"/>
          <w:szCs w:val="18"/>
        </w:rPr>
        <w:br/>
        <w:t xml:space="preserve">knnc = KNeighborsClassifier(n_neighbors=5).fit(X_train, y_train)</w:t>
      </w:r>
    </w:p>
    <w:p>
      <w:pPr>
        <w:pStyle w:val="Heading1"/>
        <w:pBdr>
          <w:bottom w:val="single" w:color="16234A" w:sz="6" w:space="4"/>
        </w:pBdr>
        <w:spacing w:after="160" w:before="400"/>
      </w:pPr>
      <w:r>
        <w:rPr>
          <w:rFonts w:ascii="Cambria" w:cs="Cambria" w:eastAsia="Cambria" w:hAnsi="Cambria"/>
          <w:b/>
          <w:bCs/>
          <w:color w:val="16234A"/>
          <w:sz w:val="30"/>
          <w:szCs w:val="30"/>
        </w:rPr>
        <w:t xml:space="preserve">10. Model Evaluation &amp; Comparison</w:t>
      </w:r>
    </w:p>
    <w:p>
      <w:pPr>
        <w:spacing w:after="160" w:line="300"/>
      </w:pPr>
      <w:r>
        <w:rPr>
          <w:rFonts w:ascii="Calibri" w:cs="Calibri" w:eastAsia="Calibri" w:hAnsi="Calibri"/>
          <w:color w:val="222831"/>
          <w:sz w:val="22"/>
          <w:szCs w:val="22"/>
        </w:rPr>
        <w:t xml:space="preserve">Each model's test-set predictions are scored on Accuracy, Precision, Recall, F1 Score and ROC-AUC, then collected into a single comparison table sorted by accuracy: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gridCol w:w="1500"/>
        <w:gridCol w:w="1500"/>
      </w:tblGrid>
      <w:tr>
        <w:trPr>
          <w:tblHeader/>
        </w:trPr>
        <w:tc>
          <w:tcPr>
            <w:tcW w:type="dxa" w:w="2600"/>
            <w:shd w:fill="16234A" w:color="auto"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Model</w:t>
            </w:r>
          </w:p>
        </w:tc>
        <w:tc>
          <w:tcPr>
            <w:tcW w:type="dxa" w:w="1500"/>
            <w:shd w:fill="16234A"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Accuracy</w:t>
            </w:r>
          </w:p>
        </w:tc>
        <w:tc>
          <w:tcPr>
            <w:tcW w:type="dxa" w:w="1500"/>
            <w:shd w:fill="16234A"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Precision</w:t>
            </w:r>
          </w:p>
        </w:tc>
        <w:tc>
          <w:tcPr>
            <w:tcW w:type="dxa" w:w="1500"/>
            <w:shd w:fill="16234A"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Recall</w:t>
            </w:r>
          </w:p>
        </w:tc>
        <w:tc>
          <w:tcPr>
            <w:tcW w:type="dxa" w:w="1500"/>
            <w:shd w:fill="16234A"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F1 Score</w:t>
            </w:r>
          </w:p>
        </w:tc>
        <w:tc>
          <w:tcPr>
            <w:tcW w:type="dxa" w:w="1500"/>
            <w:shd w:fill="16234A" w:color="auto" w:val="clear"/>
            <w:tcMar>
              <w:top w:type="dxa" w:w="100"/>
              <w:left w:type="dxa" w:w="120"/>
              <w:bottom w:type="dxa" w:w="100"/>
              <w:right w:type="dxa" w:w="120"/>
            </w:tcMar>
          </w:tcPr>
          <w:p>
            <w:pPr>
              <w:jc w:val="center"/>
            </w:pPr>
            <w:r>
              <w:rPr>
                <w:rFonts w:ascii="Calibri" w:cs="Calibri" w:eastAsia="Calibri" w:hAnsi="Calibri"/>
                <w:b/>
                <w:bCs/>
                <w:color w:val="FFFFFF"/>
                <w:sz w:val="20"/>
                <w:szCs w:val="20"/>
              </w:rPr>
              <w:t xml:space="preserve">ROC-AUC</w:t>
            </w:r>
          </w:p>
        </w:tc>
      </w:tr>
      <w:tr>
        <w:tc>
          <w:tcPr>
            <w:tcW w:type="dxa" w:w="2600"/>
            <w:shd w:fill="EFE6D2" w:color="auto" w:val="clear"/>
            <w:tcMar>
              <w:top w:type="dxa" w:w="100"/>
              <w:left w:type="dxa" w:w="120"/>
              <w:bottom w:type="dxa" w:w="100"/>
              <w:right w:type="dxa" w:w="120"/>
            </w:tcMar>
          </w:tcPr>
          <w:p>
            <w:pPr>
              <w:jc w:val="left"/>
            </w:pPr>
            <w:r>
              <w:rPr>
                <w:rFonts w:ascii="Calibri" w:cs="Calibri" w:eastAsia="Calibri" w:hAnsi="Calibri"/>
                <w:b/>
                <w:bCs/>
                <w:color w:val="222831"/>
                <w:sz w:val="20"/>
                <w:szCs w:val="20"/>
              </w:rPr>
              <w:t xml:space="preserve">Logistic Regression</w:t>
            </w:r>
          </w:p>
        </w:tc>
        <w:tc>
          <w:tcPr>
            <w:tcW w:type="dxa" w:w="1500"/>
            <w:shd w:fill="EFE6D2"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0.990</w:t>
            </w:r>
          </w:p>
        </w:tc>
        <w:tc>
          <w:tcPr>
            <w:tcW w:type="dxa" w:w="1500"/>
            <w:shd w:fill="EFE6D2"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0.9897</w:t>
            </w:r>
          </w:p>
        </w:tc>
        <w:tc>
          <w:tcPr>
            <w:tcW w:type="dxa" w:w="1500"/>
            <w:shd w:fill="EFE6D2"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1.0000</w:t>
            </w:r>
          </w:p>
        </w:tc>
        <w:tc>
          <w:tcPr>
            <w:tcW w:type="dxa" w:w="1500"/>
            <w:shd w:fill="EFE6D2"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0.9948</w:t>
            </w:r>
          </w:p>
        </w:tc>
        <w:tc>
          <w:tcPr>
            <w:tcW w:type="dxa" w:w="1500"/>
            <w:shd w:fill="EFE6D2"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0.8750</w:t>
            </w:r>
          </w:p>
        </w:tc>
      </w:tr>
      <w:tr>
        <w:tc>
          <w:tcPr>
            <w:tcW w:type="dxa" w:w="2600"/>
            <w:shd w:fill="FFFFFF" w:color="auto" w:val="clear"/>
            <w:tcMar>
              <w:top w:type="dxa" w:w="100"/>
              <w:left w:type="dxa" w:w="120"/>
              <w:bottom w:type="dxa" w:w="100"/>
              <w:right w:type="dxa" w:w="120"/>
            </w:tcMar>
          </w:tcPr>
          <w:p>
            <w:pPr>
              <w:jc w:val="left"/>
            </w:pPr>
            <w:r>
              <w:rPr>
                <w:rFonts w:ascii="Calibri" w:cs="Calibri" w:eastAsia="Calibri" w:hAnsi="Calibri"/>
                <w:b/>
                <w:bCs/>
                <w:color w:val="222831"/>
                <w:sz w:val="20"/>
                <w:szCs w:val="20"/>
              </w:rPr>
              <w:t xml:space="preserve">Random Forest</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0.975</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0.9746</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1.0000</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0.9871</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0.6875</w:t>
            </w:r>
          </w:p>
        </w:tc>
      </w:tr>
      <w:tr>
        <w:tc>
          <w:tcPr>
            <w:tcW w:type="dxa" w:w="2600"/>
            <w:shd w:fill="F2F4F9" w:color="auto" w:val="clear"/>
            <w:tcMar>
              <w:top w:type="dxa" w:w="100"/>
              <w:left w:type="dxa" w:w="120"/>
              <w:bottom w:type="dxa" w:w="100"/>
              <w:right w:type="dxa" w:w="120"/>
            </w:tcMar>
          </w:tcPr>
          <w:p>
            <w:pPr>
              <w:jc w:val="left"/>
            </w:pPr>
            <w:r>
              <w:rPr>
                <w:rFonts w:ascii="Calibri" w:cs="Calibri" w:eastAsia="Calibri" w:hAnsi="Calibri"/>
                <w:b/>
                <w:bCs/>
                <w:color w:val="222831"/>
                <w:sz w:val="20"/>
                <w:szCs w:val="20"/>
              </w:rPr>
              <w:t xml:space="preserve">Decision Tree</w:t>
            </w:r>
          </w:p>
        </w:tc>
        <w:tc>
          <w:tcPr>
            <w:tcW w:type="dxa" w:w="1500"/>
            <w:shd w:fill="F2F4F9"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0.965</w:t>
            </w:r>
          </w:p>
        </w:tc>
        <w:tc>
          <w:tcPr>
            <w:tcW w:type="dxa" w:w="1500"/>
            <w:shd w:fill="F2F4F9"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0.9843</w:t>
            </w:r>
          </w:p>
        </w:tc>
        <w:tc>
          <w:tcPr>
            <w:tcW w:type="dxa" w:w="1500"/>
            <w:shd w:fill="F2F4F9"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0.9792</w:t>
            </w:r>
          </w:p>
        </w:tc>
        <w:tc>
          <w:tcPr>
            <w:tcW w:type="dxa" w:w="1500"/>
            <w:shd w:fill="F2F4F9"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0.9817</w:t>
            </w:r>
          </w:p>
        </w:tc>
        <w:tc>
          <w:tcPr>
            <w:tcW w:type="dxa" w:w="1500"/>
            <w:shd w:fill="F2F4F9"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0.8021</w:t>
            </w:r>
          </w:p>
        </w:tc>
      </w:tr>
      <w:tr>
        <w:tc>
          <w:tcPr>
            <w:tcW w:type="dxa" w:w="2600"/>
            <w:shd w:fill="FFFFFF" w:color="auto" w:val="clear"/>
            <w:tcMar>
              <w:top w:type="dxa" w:w="100"/>
              <w:left w:type="dxa" w:w="120"/>
              <w:bottom w:type="dxa" w:w="100"/>
              <w:right w:type="dxa" w:w="120"/>
            </w:tcMar>
          </w:tcPr>
          <w:p>
            <w:pPr>
              <w:jc w:val="left"/>
            </w:pPr>
            <w:r>
              <w:rPr>
                <w:rFonts w:ascii="Calibri" w:cs="Calibri" w:eastAsia="Calibri" w:hAnsi="Calibri"/>
                <w:b/>
                <w:bCs/>
                <w:color w:val="222831"/>
                <w:sz w:val="20"/>
                <w:szCs w:val="20"/>
              </w:rPr>
              <w:t xml:space="preserve">K-Nearest Neighbors</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0.965</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0.9695</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0.9948</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0.9820</w:t>
            </w:r>
          </w:p>
        </w:tc>
        <w:tc>
          <w:tcPr>
            <w:tcW w:type="dxa" w:w="1500"/>
            <w:shd w:fill="FFFFFF" w:color="auto" w:val="clear"/>
            <w:tcMar>
              <w:top w:type="dxa" w:w="100"/>
              <w:left w:type="dxa" w:w="120"/>
              <w:bottom w:type="dxa" w:w="100"/>
              <w:right w:type="dxa" w:w="120"/>
            </w:tcMar>
          </w:tcPr>
          <w:p>
            <w:pPr>
              <w:jc w:val="center"/>
            </w:pPr>
            <w:r>
              <w:rPr>
                <w:rFonts w:ascii="Calibri" w:cs="Calibri" w:eastAsia="Calibri" w:hAnsi="Calibri"/>
                <w:b w:val="false"/>
                <w:bCs w:val="false"/>
                <w:color w:val="222831"/>
                <w:sz w:val="20"/>
                <w:szCs w:val="20"/>
              </w:rPr>
              <w:t xml:space="preserve">0.6224</w:t>
            </w:r>
          </w:p>
        </w:tc>
      </w:tr>
    </w:tbl>
    <w:p>
      <w:pPr>
        <w:spacing w:after="90" w:before="240"/>
      </w:pPr>
    </w:p>
    <w:p>
      <w:pPr>
        <w:pStyle w:val="ListParagraph"/>
        <w:numPr>
          <w:ilvl w:val="0"/>
          <w:numId w:val="2"/>
        </w:numPr>
        <w:spacing w:after="90"/>
      </w:pPr>
      <w:r>
        <w:rPr>
          <w:rFonts w:ascii="Calibri" w:cs="Calibri" w:eastAsia="Calibri" w:hAnsi="Calibri"/>
          <w:color w:val="222831"/>
          <w:sz w:val="22"/>
          <w:szCs w:val="22"/>
        </w:rPr>
        <w:t xml:space="preserve">Logistic Regression leads on both accuracy (0.990) and F1 score (0.9948), and also posts the highest ROC-AUC (0.8750).</w:t>
      </w:r>
    </w:p>
    <w:p>
      <w:pPr>
        <w:pStyle w:val="ListParagraph"/>
        <w:numPr>
          <w:ilvl w:val="0"/>
          <w:numId w:val="2"/>
        </w:numPr>
        <w:spacing w:after="90"/>
      </w:pPr>
      <w:r>
        <w:rPr>
          <w:rFonts w:ascii="Calibri" w:cs="Calibri" w:eastAsia="Calibri" w:hAnsi="Calibri"/>
          <w:color w:val="222831"/>
          <w:sz w:val="22"/>
          <w:szCs w:val="22"/>
        </w:rPr>
        <w:t xml:space="preserve">Every model achieves recall of 0.979 or higher — approved applicants are rarely misclassified as rejected.</w:t>
      </w:r>
    </w:p>
    <w:p>
      <w:pPr>
        <w:pStyle w:val="ListParagraph"/>
        <w:numPr>
          <w:ilvl w:val="0"/>
          <w:numId w:val="2"/>
        </w:numPr>
        <w:spacing w:after="90"/>
      </w:pPr>
      <w:r>
        <w:rPr>
          <w:rFonts w:ascii="Calibri" w:cs="Calibri" w:eastAsia="Calibri" w:hAnsi="Calibri"/>
          <w:color w:val="222831"/>
          <w:sz w:val="22"/>
          <w:szCs w:val="22"/>
        </w:rPr>
        <w:t xml:space="preserve">Decision Tree, despite a slightly lower accuracy, has the second-strongest ROC-AUC (0.8021).</w:t>
      </w:r>
    </w:p>
    <w:p>
      <w:pPr>
        <w:pStyle w:val="ListParagraph"/>
        <w:numPr>
          <w:ilvl w:val="0"/>
          <w:numId w:val="2"/>
        </w:numPr>
        <w:spacing w:after="90"/>
      </w:pPr>
      <w:r>
        <w:rPr>
          <w:rFonts w:ascii="Calibri" w:cs="Calibri" w:eastAsia="Calibri" w:hAnsi="Calibri"/>
          <w:color w:val="222831"/>
          <w:sz w:val="22"/>
          <w:szCs w:val="22"/>
        </w:rPr>
        <w:t xml:space="preserve">Random Forest and KNN post noticeably lower ROC-AUC (0.6875 and 0.6224) despite competitive accuracy — a reminder that accuracy alone can overstate how well a model separates the two classes.</w:t>
      </w:r>
    </w:p>
    <w:p>
      <w:pPr>
        <w:pStyle w:val="Heading2"/>
        <w:spacing w:after="120" w:before="260"/>
      </w:pPr>
      <w:r>
        <w:rPr>
          <w:rFonts w:ascii="Cambria" w:cs="Cambria" w:eastAsia="Cambria" w:hAnsi="Cambria"/>
          <w:b/>
          <w:bCs/>
          <w:color w:val="16234A"/>
          <w:sz w:val="24"/>
          <w:szCs w:val="24"/>
        </w:rPr>
        <w:t xml:space="preserve">10.1 ROC-AUC</w:t>
      </w:r>
    </w:p>
    <w:p>
      <w:pPr>
        <w:spacing w:after="160" w:line="300"/>
      </w:pPr>
      <w:r>
        <w:rPr>
          <w:rFonts w:ascii="Calibri" w:cs="Calibri" w:eastAsia="Calibri" w:hAnsi="Calibri"/>
          <w:color w:val="222831"/>
          <w:sz w:val="22"/>
          <w:szCs w:val="22"/>
        </w:rPr>
        <w:t xml:space="preserve">ROC (Receiver Operating Characteristic) – AUC (Area Under the Curve) measures how well a binary classifier separates the two classes (Approved = 1 vs. Rejected = 0) across all classification thresholds, independent of any single cut-off point — which is why it is reported alongside threshold-based metrics like accuracy and F1 score.</w:t>
      </w:r>
    </w:p>
    <w:p>
      <w:pPr>
        <w:pStyle w:val="Heading1"/>
        <w:pBdr>
          <w:bottom w:val="single" w:color="16234A" w:sz="6" w:space="4"/>
        </w:pBdr>
        <w:spacing w:after="160" w:before="400"/>
      </w:pPr>
      <w:r>
        <w:rPr>
          <w:rFonts w:ascii="Cambria" w:cs="Cambria" w:eastAsia="Cambria" w:hAnsi="Cambria"/>
          <w:b/>
          <w:bCs/>
          <w:color w:val="16234A"/>
          <w:sz w:val="30"/>
          <w:szCs w:val="30"/>
        </w:rPr>
        <w:t xml:space="preserve">11. Conclusion</w:t>
      </w:r>
    </w:p>
    <w:p>
      <w:pPr>
        <w:spacing w:after="160" w:line="300"/>
      </w:pPr>
      <w:r>
        <w:rPr>
          <w:rFonts w:ascii="Calibri" w:cs="Calibri" w:eastAsia="Calibri" w:hAnsi="Calibri"/>
          <w:color w:val="222831"/>
          <w:sz w:val="22"/>
          <w:szCs w:val="22"/>
        </w:rPr>
        <w:t xml:space="preserve">This project successfully developed and evaluated a predictive machine learning pipeline for bank loan approval, covering the full lifecycle from raw Excel data through cleaning, transformation, exploratory analysis, and four trained and compared classifiers. The primary focus was on establishing reliable classification models and thoroughly analyzing their performance using both threshold-based metrics (accuracy, precision, recall, F1) and the threshold-independent ROC-AUC metric.</w:t>
      </w:r>
    </w:p>
    <w:p>
      <w:pPr>
        <w:spacing w:after="160" w:line="300"/>
      </w:pPr>
      <w:r>
        <w:rPr>
          <w:rFonts w:ascii="Calibri" w:cs="Calibri" w:eastAsia="Calibri" w:hAnsi="Calibri"/>
          <w:color w:val="222831"/>
          <w:sz w:val="22"/>
          <w:szCs w:val="22"/>
        </w:rPr>
        <w:t xml:space="preserve">Logistic Regression offers the strongest overall balance across all five metrics, while the spread in ROC-AUC across models (0.62 to 0.88) shows that raw accuracy alone is not a sufficient basis for model selection in this problem.</w:t>
      </w:r>
    </w:p>
    <w:p>
      <w:pPr>
        <w:pStyle w:val="Heading1"/>
        <w:pBdr>
          <w:bottom w:val="single" w:color="16234A" w:sz="6" w:space="4"/>
        </w:pBdr>
        <w:spacing w:after="160" w:before="400"/>
      </w:pPr>
      <w:r>
        <w:rPr>
          <w:rFonts w:ascii="Cambria" w:cs="Cambria" w:eastAsia="Cambria" w:hAnsi="Cambria"/>
          <w:b/>
          <w:bCs/>
          <w:color w:val="16234A"/>
          <w:sz w:val="30"/>
          <w:szCs w:val="30"/>
        </w:rPr>
        <w:t xml:space="preserve">12. Future Scope</w:t>
      </w:r>
    </w:p>
    <w:p>
      <w:pPr>
        <w:spacing w:after="160" w:line="300"/>
      </w:pPr>
      <w:r>
        <w:rPr>
          <w:rFonts w:ascii="Calibri" w:cs="Calibri" w:eastAsia="Calibri" w:hAnsi="Calibri"/>
          <w:color w:val="222831"/>
          <w:sz w:val="22"/>
          <w:szCs w:val="22"/>
        </w:rPr>
        <w:t xml:space="preserve">While achieving a strong Logistic Regression baseline establishes a solid foundation, there are several distinct avenues to expand, optimize and deploy this project further:</w:t>
      </w:r>
    </w:p>
    <w:p>
      <w:pPr>
        <w:pStyle w:val="ListParagraph"/>
        <w:numPr>
          <w:ilvl w:val="0"/>
          <w:numId w:val="2"/>
        </w:numPr>
        <w:spacing w:after="90"/>
      </w:pPr>
      <w:r>
        <w:rPr>
          <w:rFonts w:ascii="Calibri" w:cs="Calibri" w:eastAsia="Calibri" w:hAnsi="Calibri"/>
          <w:color w:val="222831"/>
          <w:sz w:val="22"/>
          <w:szCs w:val="22"/>
        </w:rPr>
        <w:t xml:space="preserve">Feature Engineering — integrate external data sources or engineer complex feature interactions to give the model more predictive leverage.</w:t>
      </w:r>
    </w:p>
    <w:p>
      <w:pPr>
        <w:pStyle w:val="ListParagraph"/>
        <w:numPr>
          <w:ilvl w:val="0"/>
          <w:numId w:val="2"/>
        </w:numPr>
        <w:spacing w:after="90"/>
      </w:pPr>
      <w:r>
        <w:rPr>
          <w:rFonts w:ascii="Calibri" w:cs="Calibri" w:eastAsia="Calibri" w:hAnsi="Calibri"/>
          <w:color w:val="222831"/>
          <w:sz w:val="22"/>
          <w:szCs w:val="22"/>
        </w:rPr>
        <w:t xml:space="preserve">Hyperparameter Tuning — grid or random search across all four models to push F1 and ROC-AUC further.</w:t>
      </w:r>
    </w:p>
    <w:p>
      <w:pPr>
        <w:pStyle w:val="ListParagraph"/>
        <w:numPr>
          <w:ilvl w:val="0"/>
          <w:numId w:val="2"/>
        </w:numPr>
        <w:spacing w:after="90"/>
      </w:pPr>
      <w:r>
        <w:rPr>
          <w:rFonts w:ascii="Calibri" w:cs="Calibri" w:eastAsia="Calibri" w:hAnsi="Calibri"/>
          <w:color w:val="222831"/>
          <w:sz w:val="22"/>
          <w:szCs w:val="22"/>
        </w:rPr>
        <w:t xml:space="preserve">Class-Imbalance Handling — techniques such as SMOTE or class weighting, given the ROC-AUC gaps observed for Random Forest and KNN.</w:t>
      </w:r>
    </w:p>
    <w:p>
      <w:pPr>
        <w:pStyle w:val="ListParagraph"/>
        <w:numPr>
          <w:ilvl w:val="0"/>
          <w:numId w:val="2"/>
        </w:numPr>
        <w:spacing w:after="90"/>
      </w:pPr>
      <w:r>
        <w:rPr>
          <w:rFonts w:ascii="Calibri" w:cs="Calibri" w:eastAsia="Calibri" w:hAnsi="Calibri"/>
          <w:color w:val="222831"/>
          <w:sz w:val="22"/>
          <w:szCs w:val="22"/>
        </w:rPr>
        <w:t xml:space="preserve">Model Deployment — package the strongest-performing model behind an API for real-time loan approval scoring.</w:t>
      </w:r>
    </w:p>
    <w:p>
      <w:pPr>
        <w:pStyle w:val="ListParagraph"/>
        <w:numPr>
          <w:ilvl w:val="0"/>
          <w:numId w:val="2"/>
        </w:numPr>
        <w:spacing w:after="90"/>
      </w:pPr>
      <w:r>
        <w:rPr>
          <w:rFonts w:ascii="Calibri" w:cs="Calibri" w:eastAsia="Calibri" w:hAnsi="Calibri"/>
          <w:color w:val="222831"/>
          <w:sz w:val="22"/>
          <w:szCs w:val="22"/>
        </w:rPr>
        <w:t xml:space="preserve">Fairness Auditing — evaluate model outcomes across demographic groups to guard against unintended bias.</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2026-07-12T16:21:57.020Z</dcterms:created>
  <dcterms:modified xsi:type="dcterms:W3CDTF">2026-07-12T16:21:57.021Z</dcterms:modified>
</cp:coreProperties>
</file>

<file path=docProps/custom.xml><?xml version="1.0" encoding="utf-8"?>
<Properties xmlns="http://schemas.openxmlformats.org/officeDocument/2006/custom-properties" xmlns:vt="http://schemas.openxmlformats.org/officeDocument/2006/docPropsVTypes"/>
</file>