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53544" w14:textId="77777777" w:rsidR="0047170A" w:rsidRDefault="00000000">
      <w:pPr>
        <w:keepNext/>
        <w:keepLines/>
        <w:spacing w:before="240" w:after="80" w:line="240" w:lineRule="auto"/>
        <w:contextualSpacing/>
        <w:outlineLvl w:val="0"/>
        <w:rPr>
          <w:rFonts w:ascii="Arial" w:eastAsia="MS PGothic" w:hAnsi="Arial" w:cs="Arial"/>
          <w:b/>
          <w:color w:val="002A5C"/>
          <w:spacing w:val="-10"/>
          <w:sz w:val="40"/>
          <w:szCs w:val="56"/>
          <w:lang w:eastAsia="ja-JP"/>
        </w:rPr>
      </w:pPr>
      <w:r>
        <w:rPr>
          <w:rFonts w:ascii="Arial" w:eastAsia="MS PGothic" w:hAnsi="Arial" w:cs="Arial"/>
          <w:b/>
          <w:color w:val="002A5C"/>
          <w:spacing w:val="-10"/>
          <w:sz w:val="40"/>
          <w:szCs w:val="56"/>
          <w:lang w:eastAsia="ja-JP"/>
        </w:rPr>
        <w:t>CCT432H5 F</w:t>
      </w:r>
    </w:p>
    <w:p w14:paraId="66695522" w14:textId="77777777" w:rsidR="0047170A" w:rsidRDefault="00000000">
      <w:pPr>
        <w:spacing w:line="240" w:lineRule="auto"/>
        <w:rPr>
          <w:rFonts w:ascii="Arial" w:eastAsia="MS PGothic" w:hAnsi="Arial" w:cs="Arial"/>
          <w:color w:val="002A5C"/>
          <w:spacing w:val="15"/>
          <w:kern w:val="0"/>
          <w:sz w:val="32"/>
          <w:lang w:eastAsia="ja-JP"/>
        </w:rPr>
      </w:pPr>
      <w:r>
        <w:rPr>
          <w:rFonts w:ascii="Arial" w:eastAsia="MS PGothic" w:hAnsi="Arial" w:cs="Arial"/>
          <w:color w:val="002A5C"/>
          <w:spacing w:val="15"/>
          <w:kern w:val="0"/>
          <w:sz w:val="32"/>
          <w:lang w:eastAsia="ja-JP"/>
        </w:rPr>
        <w:t>Ethics and Code</w:t>
      </w:r>
    </w:p>
    <w:p w14:paraId="71F3D49D" w14:textId="77777777" w:rsidR="0047170A" w:rsidRDefault="00000000">
      <w:pPr>
        <w:rPr>
          <w:rFonts w:ascii="Arial" w:eastAsia="MS PGothic" w:hAnsi="Arial" w:cs="Arial"/>
          <w:bCs/>
          <w:spacing w:val="15"/>
          <w:kern w:val="0"/>
          <w:sz w:val="32"/>
          <w:lang w:eastAsia="ja-JP"/>
        </w:rPr>
      </w:pPr>
      <w:r>
        <w:rPr>
          <w:rFonts w:ascii="Arial" w:eastAsia="MS PGothic" w:hAnsi="Arial" w:cs="Arial"/>
          <w:bCs/>
          <w:spacing w:val="15"/>
          <w:kern w:val="0"/>
          <w:sz w:val="32"/>
          <w:lang w:eastAsia="ja-JP"/>
        </w:rPr>
        <w:t>Fall 2025 Syllabus</w:t>
      </w:r>
    </w:p>
    <w:p w14:paraId="32306E04" w14:textId="77777777" w:rsidR="0047170A" w:rsidRDefault="00000000">
      <w:pPr>
        <w:keepNext/>
        <w:keepLines/>
        <w:spacing w:before="400" w:after="360"/>
        <w:outlineLvl w:val="1"/>
        <w:rPr>
          <w:rFonts w:ascii="Arial" w:eastAsia="MS PGothic" w:hAnsi="Arial" w:cs="Arial"/>
          <w:b/>
          <w:color w:val="002A5C"/>
          <w:kern w:val="0"/>
          <w:sz w:val="28"/>
          <w:szCs w:val="26"/>
          <w:lang w:eastAsia="ja-JP"/>
        </w:rPr>
      </w:pPr>
      <w:r>
        <w:rPr>
          <w:rFonts w:ascii="Arial" w:eastAsia="MS PGothic" w:hAnsi="Arial" w:cs="Arial"/>
          <w:b/>
          <w:color w:val="002A5C"/>
          <w:kern w:val="0"/>
          <w:sz w:val="28"/>
          <w:szCs w:val="26"/>
          <w:lang w:eastAsia="ja-JP"/>
        </w:rPr>
        <w:t>Course Meetings</w:t>
      </w:r>
    </w:p>
    <w:p w14:paraId="06F96759" w14:textId="77777777" w:rsidR="0047170A" w:rsidRDefault="00000000">
      <w:pPr>
        <w:spacing w:after="120"/>
        <w:outlineLvl w:val="2"/>
        <w:rPr>
          <w:rFonts w:ascii="Arial" w:eastAsia="Arial" w:hAnsi="Arial" w:cs="Arial"/>
          <w:b/>
          <w:kern w:val="0"/>
          <w:sz w:val="24"/>
          <w:szCs w:val="24"/>
          <w:lang w:eastAsia="ja-JP"/>
        </w:rPr>
      </w:pPr>
      <w:r>
        <w:rPr>
          <w:rFonts w:ascii="Arial" w:eastAsia="Arial" w:hAnsi="Arial" w:cs="Arial"/>
          <w:b/>
          <w:kern w:val="0"/>
          <w:sz w:val="24"/>
          <w:szCs w:val="24"/>
          <w:lang w:eastAsia="ja-JP"/>
        </w:rPr>
        <w:t>CCT432H5 F</w:t>
      </w:r>
    </w:p>
    <w:tbl>
      <w:tblPr>
        <w:tblW w:w="5000" w:type="pct"/>
        <w:tblInd w:w="-5" w:type="dxa"/>
        <w:tblLayout w:type="fixed"/>
        <w:tblLook w:val="04A0" w:firstRow="1" w:lastRow="0" w:firstColumn="1" w:lastColumn="0" w:noHBand="0" w:noVBand="1"/>
      </w:tblPr>
      <w:tblGrid>
        <w:gridCol w:w="1401"/>
        <w:gridCol w:w="3928"/>
        <w:gridCol w:w="4021"/>
      </w:tblGrid>
      <w:tr w:rsidR="0047170A" w14:paraId="55DA9255" w14:textId="77777777">
        <w:trPr>
          <w:cantSplit/>
          <w:trHeight w:val="20"/>
          <w:tblHeader/>
        </w:trPr>
        <w:tc>
          <w:tcPr>
            <w:tcW w:w="1403" w:type="dxa"/>
            <w:tcBorders>
              <w:top w:val="single" w:sz="4" w:space="0" w:color="BFBFBF"/>
              <w:left w:val="single" w:sz="4" w:space="0" w:color="BFBFBF"/>
              <w:bottom w:val="single" w:sz="4" w:space="0" w:color="BFBFBF"/>
              <w:right w:val="single" w:sz="4" w:space="0" w:color="BFBFBF"/>
            </w:tcBorders>
          </w:tcPr>
          <w:p w14:paraId="28FE7748" w14:textId="77777777" w:rsidR="0047170A" w:rsidRDefault="00000000">
            <w:pPr>
              <w:widowControl w:val="0"/>
              <w:tabs>
                <w:tab w:val="right" w:pos="2052"/>
              </w:tabs>
              <w:spacing w:after="0" w:line="240" w:lineRule="auto"/>
              <w:rPr>
                <w:rFonts w:ascii="Arial" w:eastAsia="Arial" w:hAnsi="Arial" w:cs="Arial"/>
                <w:b/>
                <w:bCs/>
                <w:kern w:val="0"/>
                <w:lang w:eastAsia="ja-JP"/>
              </w:rPr>
            </w:pPr>
            <w:r>
              <w:rPr>
                <w:rFonts w:ascii="Arial" w:eastAsia="Arial" w:hAnsi="Arial" w:cs="Arial"/>
                <w:b/>
                <w:bCs/>
                <w:kern w:val="0"/>
                <w:lang w:eastAsia="ja-JP"/>
              </w:rPr>
              <w:t>Section</w:t>
            </w:r>
          </w:p>
        </w:tc>
        <w:tc>
          <w:tcPr>
            <w:tcW w:w="3932" w:type="dxa"/>
            <w:tcBorders>
              <w:top w:val="single" w:sz="4" w:space="0" w:color="BFBFBF"/>
              <w:left w:val="single" w:sz="4" w:space="0" w:color="BFBFBF"/>
              <w:bottom w:val="single" w:sz="4" w:space="0" w:color="BFBFBF"/>
              <w:right w:val="single" w:sz="4" w:space="0" w:color="BFBFBF"/>
            </w:tcBorders>
          </w:tcPr>
          <w:p w14:paraId="4532D69A" w14:textId="77777777" w:rsidR="0047170A" w:rsidRDefault="00000000">
            <w:pPr>
              <w:widowControl w:val="0"/>
              <w:spacing w:after="0" w:line="240" w:lineRule="auto"/>
              <w:rPr>
                <w:rFonts w:ascii="Arial" w:eastAsia="Arial" w:hAnsi="Arial" w:cs="Arial"/>
                <w:b/>
                <w:bCs/>
                <w:kern w:val="0"/>
                <w:lang w:eastAsia="ja-JP"/>
              </w:rPr>
            </w:pPr>
            <w:r>
              <w:rPr>
                <w:rFonts w:ascii="Arial" w:eastAsia="Arial" w:hAnsi="Arial" w:cs="Arial"/>
                <w:b/>
                <w:bCs/>
                <w:kern w:val="0"/>
                <w:lang w:eastAsia="ja-JP"/>
              </w:rPr>
              <w:t>Day &amp; Time</w:t>
            </w:r>
          </w:p>
        </w:tc>
        <w:tc>
          <w:tcPr>
            <w:tcW w:w="4025" w:type="dxa"/>
            <w:tcBorders>
              <w:top w:val="single" w:sz="4" w:space="0" w:color="BFBFBF"/>
              <w:left w:val="single" w:sz="4" w:space="0" w:color="BFBFBF"/>
              <w:bottom w:val="single" w:sz="4" w:space="0" w:color="BFBFBF"/>
              <w:right w:val="single" w:sz="4" w:space="0" w:color="BFBFBF"/>
            </w:tcBorders>
          </w:tcPr>
          <w:p w14:paraId="4A5FBCCB" w14:textId="77777777" w:rsidR="0047170A" w:rsidRDefault="00000000">
            <w:pPr>
              <w:widowControl w:val="0"/>
              <w:spacing w:after="0" w:line="240" w:lineRule="auto"/>
              <w:rPr>
                <w:rFonts w:ascii="Arial" w:eastAsia="Arial" w:hAnsi="Arial" w:cs="Arial"/>
                <w:b/>
                <w:bCs/>
                <w:kern w:val="0"/>
                <w:lang w:eastAsia="ja-JP"/>
              </w:rPr>
            </w:pPr>
            <w:r>
              <w:rPr>
                <w:rFonts w:ascii="Arial" w:eastAsia="Arial" w:hAnsi="Arial" w:cs="Arial"/>
                <w:b/>
                <w:bCs/>
                <w:kern w:val="0"/>
                <w:lang w:eastAsia="ja-JP"/>
              </w:rPr>
              <w:t>Delivery Mode &amp; Location</w:t>
            </w:r>
          </w:p>
        </w:tc>
      </w:tr>
      <w:tr w:rsidR="0047170A" w14:paraId="7860EDD8" w14:textId="77777777">
        <w:trPr>
          <w:cantSplit/>
          <w:trHeight w:val="274"/>
        </w:trPr>
        <w:tc>
          <w:tcPr>
            <w:tcW w:w="1403" w:type="dxa"/>
            <w:tcBorders>
              <w:top w:val="single" w:sz="4" w:space="0" w:color="BFBFBF"/>
              <w:left w:val="single" w:sz="4" w:space="0" w:color="BFBFBF"/>
              <w:bottom w:val="single" w:sz="4" w:space="0" w:color="BFBFBF"/>
              <w:right w:val="single" w:sz="4" w:space="0" w:color="BFBFBF"/>
            </w:tcBorders>
          </w:tcPr>
          <w:p w14:paraId="3D2CB7DF" w14:textId="77777777" w:rsidR="0047170A" w:rsidRDefault="00000000">
            <w:pPr>
              <w:pStyle w:val="BodyText"/>
            </w:pPr>
            <w:r>
              <w:rPr>
                <w:rStyle w:val="Strong"/>
              </w:rPr>
              <w:t>LEC0101</w:t>
            </w:r>
          </w:p>
        </w:tc>
        <w:tc>
          <w:tcPr>
            <w:tcW w:w="3932" w:type="dxa"/>
            <w:tcBorders>
              <w:top w:val="single" w:sz="4" w:space="0" w:color="BFBFBF"/>
              <w:left w:val="single" w:sz="4" w:space="0" w:color="BFBFBF"/>
              <w:bottom w:val="single" w:sz="4" w:space="0" w:color="BFBFBF"/>
              <w:right w:val="single" w:sz="4" w:space="0" w:color="BFBFBF"/>
            </w:tcBorders>
          </w:tcPr>
          <w:p w14:paraId="7796BC8D" w14:textId="77777777" w:rsidR="0047170A" w:rsidRDefault="00000000">
            <w:pPr>
              <w:pStyle w:val="BodyText"/>
            </w:pPr>
            <w:r>
              <w:t>Monday, 11:00 AM - 1:00 PM</w:t>
            </w:r>
          </w:p>
        </w:tc>
        <w:tc>
          <w:tcPr>
            <w:tcW w:w="4025" w:type="dxa"/>
            <w:tcBorders>
              <w:top w:val="single" w:sz="4" w:space="0" w:color="BFBFBF"/>
              <w:left w:val="single" w:sz="4" w:space="0" w:color="BFBFBF"/>
              <w:bottom w:val="single" w:sz="4" w:space="0" w:color="BFBFBF"/>
              <w:right w:val="single" w:sz="4" w:space="0" w:color="BFBFBF"/>
            </w:tcBorders>
          </w:tcPr>
          <w:p w14:paraId="6CCC658E" w14:textId="77777777" w:rsidR="0047170A" w:rsidRDefault="00000000">
            <w:pPr>
              <w:pStyle w:val="BodyText"/>
            </w:pPr>
            <w:r>
              <w:t>In Person: MN 2110</w:t>
            </w:r>
          </w:p>
        </w:tc>
      </w:tr>
    </w:tbl>
    <w:p w14:paraId="39918203" w14:textId="77777777" w:rsidR="0047170A" w:rsidRDefault="00000000">
      <w:pPr>
        <w:spacing w:after="0"/>
        <w:rPr>
          <w:rFonts w:ascii="Arial" w:eastAsia="Arial" w:hAnsi="Arial" w:cs="Arial"/>
          <w:color w:val="000000"/>
          <w:kern w:val="0"/>
          <w:shd w:val="clear" w:color="auto" w:fill="FFFFFF"/>
          <w:lang w:eastAsia="ja-JP"/>
        </w:rPr>
      </w:pPr>
      <w:r>
        <w:rPr>
          <w:rFonts w:ascii="Arial" w:eastAsia="Arial" w:hAnsi="Arial" w:cs="Arial"/>
          <w:color w:val="000000"/>
          <w:kern w:val="0"/>
          <w:shd w:val="clear" w:color="auto" w:fill="FFFFFF"/>
          <w:lang w:eastAsia="ja-JP"/>
        </w:rPr>
        <w:t>Refer to ACORN for the most up-to-date information about the location of the course meetings.</w:t>
      </w:r>
    </w:p>
    <w:p w14:paraId="1E358163" w14:textId="77777777" w:rsidR="0047170A" w:rsidRDefault="0047170A">
      <w:pPr>
        <w:spacing w:after="0"/>
        <w:rPr>
          <w:rFonts w:ascii="Arial" w:eastAsia="Arial" w:hAnsi="Arial" w:cs="Arial"/>
          <w:color w:val="000000"/>
          <w:kern w:val="0"/>
          <w:shd w:val="clear" w:color="auto" w:fill="FFFFFF"/>
          <w:lang w:eastAsia="ja-JP"/>
        </w:rPr>
      </w:pPr>
    </w:p>
    <w:p w14:paraId="05B173B5" w14:textId="77777777" w:rsidR="0047170A" w:rsidRDefault="00000000">
      <w:pPr>
        <w:pStyle w:val="BodyText"/>
      </w:pPr>
      <w:r>
        <w:t>Most up to date information will appear on Quercus. </w:t>
      </w:r>
    </w:p>
    <w:p w14:paraId="03B097D6" w14:textId="77777777" w:rsidR="0047170A" w:rsidRDefault="00000000">
      <w:pPr>
        <w:keepNext/>
        <w:keepLines/>
        <w:spacing w:before="400" w:after="360"/>
        <w:outlineLvl w:val="1"/>
        <w:rPr>
          <w:rFonts w:ascii="Arial" w:eastAsia="MS PGothic" w:hAnsi="Arial" w:cs="Arial"/>
          <w:b/>
          <w:color w:val="002A5C"/>
          <w:kern w:val="0"/>
          <w:sz w:val="28"/>
          <w:szCs w:val="26"/>
          <w:lang w:eastAsia="ja-JP"/>
        </w:rPr>
      </w:pPr>
      <w:r>
        <w:rPr>
          <w:rFonts w:ascii="Arial" w:eastAsia="MS PGothic" w:hAnsi="Arial" w:cs="Arial"/>
          <w:b/>
          <w:color w:val="002A5C"/>
          <w:kern w:val="0"/>
          <w:sz w:val="28"/>
          <w:szCs w:val="26"/>
          <w:lang w:eastAsia="ja-JP"/>
        </w:rPr>
        <w:t>Course Contacts</w:t>
      </w:r>
    </w:p>
    <w:p w14:paraId="28BD9F3F" w14:textId="77777777" w:rsidR="0047170A" w:rsidRDefault="00000000">
      <w:pPr>
        <w:spacing w:after="0"/>
      </w:pPr>
      <w:r>
        <w:rPr>
          <w:rFonts w:ascii="Arial" w:eastAsia="Arial" w:hAnsi="Arial" w:cs="Arial"/>
          <w:b/>
          <w:kern w:val="0"/>
          <w:lang w:eastAsia="ja-JP"/>
        </w:rPr>
        <w:t xml:space="preserve">Instructor: </w:t>
      </w:r>
      <w:r>
        <w:rPr>
          <w:rFonts w:ascii="Arial" w:eastAsia="Arial" w:hAnsi="Arial" w:cs="Arial"/>
          <w:kern w:val="0"/>
          <w:lang w:eastAsia="ja-JP"/>
        </w:rPr>
        <w:t>Tero Karppi</w:t>
      </w:r>
    </w:p>
    <w:p w14:paraId="0D92F7B3" w14:textId="77777777" w:rsidR="0047170A" w:rsidRDefault="00000000">
      <w:pPr>
        <w:spacing w:after="0"/>
      </w:pPr>
      <w:r>
        <w:rPr>
          <w:rFonts w:ascii="Arial" w:eastAsia="Arial" w:hAnsi="Arial" w:cs="Arial"/>
          <w:b/>
          <w:kern w:val="0"/>
          <w:lang w:eastAsia="ja-JP"/>
        </w:rPr>
        <w:t>Email:</w:t>
      </w:r>
      <w:r>
        <w:rPr>
          <w:rFonts w:ascii="Arial" w:eastAsia="Arial" w:hAnsi="Arial" w:cs="Arial"/>
          <w:kern w:val="0"/>
          <w:lang w:eastAsia="ja-JP"/>
        </w:rPr>
        <w:t xml:space="preserve"> </w:t>
      </w:r>
      <w:hyperlink r:id="rId7">
        <w:r w:rsidR="0047170A">
          <w:rPr>
            <w:rStyle w:val="Hyperlink"/>
            <w:rFonts w:ascii="Arial" w:eastAsia="Arial" w:hAnsi="Arial" w:cs="Arial"/>
            <w:color w:val="00B0F0"/>
            <w:kern w:val="0"/>
            <w:lang w:eastAsia="ja-JP"/>
          </w:rPr>
          <w:t>tero.karppi@utoronto.ca</w:t>
        </w:r>
      </w:hyperlink>
    </w:p>
    <w:p w14:paraId="5A355043" w14:textId="77777777" w:rsidR="0047170A" w:rsidRDefault="00000000">
      <w:pPr>
        <w:tabs>
          <w:tab w:val="left" w:pos="2268"/>
        </w:tabs>
        <w:spacing w:after="0"/>
      </w:pPr>
      <w:r>
        <w:rPr>
          <w:rFonts w:ascii="Arial" w:eastAsia="Arial" w:hAnsi="Arial" w:cs="Arial"/>
          <w:b/>
          <w:kern w:val="0"/>
          <w:lang w:eastAsia="ja-JP"/>
        </w:rPr>
        <w:t>Office Hours and Location:</w:t>
      </w:r>
      <w:r>
        <w:rPr>
          <w:rFonts w:ascii="Arial" w:eastAsia="Arial" w:hAnsi="Arial" w:cs="Arial"/>
          <w:kern w:val="0"/>
          <w:lang w:eastAsia="ja-JP"/>
        </w:rPr>
        <w:t xml:space="preserve"> </w:t>
      </w:r>
      <w:r>
        <w:t>Virtual, by appointment only</w:t>
      </w:r>
    </w:p>
    <w:p w14:paraId="4A550A0F" w14:textId="77777777" w:rsidR="0047170A" w:rsidRDefault="00000000">
      <w:pPr>
        <w:spacing w:after="0"/>
      </w:pPr>
      <w:r>
        <w:rPr>
          <w:rFonts w:ascii="Arial" w:eastAsia="Arial" w:hAnsi="Arial" w:cs="Arial"/>
          <w:b/>
          <w:kern w:val="0"/>
          <w:lang w:eastAsia="ja-JP"/>
        </w:rPr>
        <w:t>Additional Notes:</w:t>
      </w:r>
      <w:r>
        <w:rPr>
          <w:rFonts w:ascii="Arial" w:eastAsia="Arial" w:hAnsi="Arial" w:cs="Arial"/>
          <w:kern w:val="0"/>
          <w:lang w:eastAsia="ja-JP"/>
        </w:rPr>
        <w:t xml:space="preserve"> </w:t>
      </w:r>
      <w:r>
        <w:t xml:space="preserve">I will answer emails in 3 days excluding weekends. Please use the course code when sending an email. </w:t>
      </w:r>
    </w:p>
    <w:p w14:paraId="3B6FB49F" w14:textId="77777777" w:rsidR="0047170A" w:rsidRDefault="0047170A">
      <w:pPr>
        <w:spacing w:after="0"/>
        <w:rPr>
          <w:rFonts w:ascii="Arial" w:eastAsia="Arial" w:hAnsi="Arial" w:cs="Arial"/>
          <w:kern w:val="0"/>
          <w:sz w:val="16"/>
          <w:szCs w:val="16"/>
          <w:lang w:eastAsia="ja-JP"/>
        </w:rPr>
      </w:pPr>
    </w:p>
    <w:p w14:paraId="47710311" w14:textId="77777777" w:rsidR="0047170A" w:rsidRDefault="00000000">
      <w:pPr>
        <w:keepNext/>
        <w:keepLines/>
        <w:spacing w:before="240" w:after="360"/>
        <w:outlineLvl w:val="1"/>
        <w:rPr>
          <w:rFonts w:ascii="Arial" w:eastAsia="Arial" w:hAnsi="Arial" w:cs="Arial"/>
          <w:b/>
          <w:bCs/>
          <w:color w:val="262626"/>
          <w:kern w:val="0"/>
          <w:sz w:val="32"/>
          <w:szCs w:val="26"/>
          <w:lang w:eastAsia="ja-JP"/>
        </w:rPr>
      </w:pPr>
      <w:r>
        <w:rPr>
          <w:rFonts w:ascii="Arial" w:eastAsia="MS PGothic" w:hAnsi="Arial" w:cs="Arial"/>
          <w:b/>
          <w:color w:val="002A5C"/>
          <w:kern w:val="0"/>
          <w:sz w:val="28"/>
          <w:szCs w:val="26"/>
          <w:lang w:eastAsia="ja-JP"/>
        </w:rPr>
        <w:t>Course Overview</w:t>
      </w:r>
    </w:p>
    <w:p w14:paraId="558F6BB5" w14:textId="77777777" w:rsidR="0047170A" w:rsidRDefault="00000000">
      <w:pPr>
        <w:pStyle w:val="BodyText"/>
      </w:pPr>
      <w:r>
        <w:t xml:space="preserve">A self-driving car should always protect pedestrians, even if that implies serious threat for the vehicle's passengers. Current ethical challenges within our computational cultures </w:t>
      </w:r>
      <w:proofErr w:type="gramStart"/>
      <w:r>
        <w:t>has</w:t>
      </w:r>
      <w:proofErr w:type="gramEnd"/>
      <w:r>
        <w:t xml:space="preserve"> brought forward dilemmas involving code such as designing killer robots, the use of technology to predict and prevent crimes before they happen, and platform surveillance in social media. Students in this course will use theories and </w:t>
      </w:r>
      <w:proofErr w:type="gramStart"/>
      <w:r>
        <w:t>case based</w:t>
      </w:r>
      <w:proofErr w:type="gramEnd"/>
      <w:r>
        <w:t xml:space="preserve"> examples to examine questions such as what is meant with ethics in new media and critical computing, can we program computational systems according to ethical models, and does digital culture force us to rethink what ethics are?</w:t>
      </w:r>
    </w:p>
    <w:p w14:paraId="7A23D1FF"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Course Learning Outcomes</w:t>
      </w:r>
    </w:p>
    <w:p w14:paraId="4B3C1C45" w14:textId="77777777" w:rsidR="0047170A" w:rsidRDefault="00000000">
      <w:pPr>
        <w:pStyle w:val="BodyText"/>
      </w:pPr>
      <w:r>
        <w:t>Goals and Learning Objectives:</w:t>
      </w:r>
    </w:p>
    <w:p w14:paraId="5C156DD6" w14:textId="77777777" w:rsidR="0047170A" w:rsidRDefault="00000000">
      <w:pPr>
        <w:pStyle w:val="BodyText"/>
        <w:numPr>
          <w:ilvl w:val="0"/>
          <w:numId w:val="1"/>
        </w:numPr>
        <w:tabs>
          <w:tab w:val="clear" w:pos="709"/>
          <w:tab w:val="left" w:pos="0"/>
        </w:tabs>
        <w:spacing w:after="0"/>
      </w:pPr>
      <w:r>
        <w:t xml:space="preserve">General understanding of the key questions and problems related to Ethics and Code </w:t>
      </w:r>
    </w:p>
    <w:p w14:paraId="3D23A4BA" w14:textId="77777777" w:rsidR="0047170A" w:rsidRDefault="00000000">
      <w:pPr>
        <w:pStyle w:val="BodyText"/>
        <w:numPr>
          <w:ilvl w:val="0"/>
          <w:numId w:val="1"/>
        </w:numPr>
        <w:tabs>
          <w:tab w:val="clear" w:pos="709"/>
          <w:tab w:val="left" w:pos="0"/>
        </w:tabs>
        <w:spacing w:after="0"/>
      </w:pPr>
      <w:r>
        <w:t xml:space="preserve">General understanding of different technologies and fields where Ethics is becoming relevant </w:t>
      </w:r>
    </w:p>
    <w:p w14:paraId="1B734253" w14:textId="77777777" w:rsidR="0047170A" w:rsidRDefault="00000000">
      <w:pPr>
        <w:pStyle w:val="BodyText"/>
        <w:numPr>
          <w:ilvl w:val="0"/>
          <w:numId w:val="1"/>
        </w:numPr>
        <w:tabs>
          <w:tab w:val="clear" w:pos="709"/>
          <w:tab w:val="left" w:pos="0"/>
        </w:tabs>
        <w:spacing w:after="0"/>
      </w:pPr>
      <w:r>
        <w:t xml:space="preserve">Abilities to critically analyze the current computational landscape and its technologies </w:t>
      </w:r>
    </w:p>
    <w:p w14:paraId="2FC419F5" w14:textId="77777777" w:rsidR="0047170A" w:rsidRDefault="00000000">
      <w:pPr>
        <w:pStyle w:val="BodyText"/>
        <w:numPr>
          <w:ilvl w:val="0"/>
          <w:numId w:val="1"/>
        </w:numPr>
        <w:tabs>
          <w:tab w:val="clear" w:pos="709"/>
          <w:tab w:val="left" w:pos="0"/>
        </w:tabs>
        <w:spacing w:after="0"/>
      </w:pPr>
      <w:r>
        <w:t xml:space="preserve">Abilities to analyze and write modern technological phenomena </w:t>
      </w:r>
    </w:p>
    <w:p w14:paraId="1124A180" w14:textId="77777777" w:rsidR="0047170A" w:rsidRDefault="00000000">
      <w:pPr>
        <w:pStyle w:val="BodyText"/>
        <w:numPr>
          <w:ilvl w:val="0"/>
          <w:numId w:val="1"/>
        </w:numPr>
        <w:tabs>
          <w:tab w:val="clear" w:pos="709"/>
          <w:tab w:val="left" w:pos="0"/>
        </w:tabs>
        <w:rPr>
          <w:rFonts w:ascii="Arial" w:eastAsia="Arial" w:hAnsi="Arial" w:cs="Arial"/>
          <w:color w:val="000000"/>
          <w:kern w:val="0"/>
          <w:lang w:eastAsia="ja-JP"/>
        </w:rPr>
      </w:pPr>
      <w:r>
        <w:t xml:space="preserve">Abilities to work in a group and present work </w:t>
      </w:r>
      <w:proofErr w:type="spellStart"/>
      <w:r>
        <w:t>publically</w:t>
      </w:r>
      <w:proofErr w:type="spellEnd"/>
      <w:r>
        <w:t xml:space="preserve"> </w:t>
      </w:r>
    </w:p>
    <w:p w14:paraId="455468A4" w14:textId="77777777" w:rsidR="0047170A" w:rsidRDefault="00000000">
      <w:pPr>
        <w:spacing w:after="0"/>
      </w:pPr>
      <w:r>
        <w:rPr>
          <w:rFonts w:ascii="Arial" w:eastAsia="Arial" w:hAnsi="Arial" w:cs="Arial"/>
          <w:b/>
          <w:bCs/>
          <w:color w:val="000000"/>
          <w:kern w:val="0"/>
          <w:lang w:eastAsia="ja-JP"/>
        </w:rPr>
        <w:t>Prerequisites</w:t>
      </w:r>
      <w:r>
        <w:rPr>
          <w:rFonts w:ascii="Arial" w:hAnsi="Arial" w:cs="Arial"/>
          <w:color w:val="000000"/>
          <w:kern w:val="0"/>
          <w:lang w:eastAsia="ja-JP"/>
        </w:rPr>
        <w:t xml:space="preserve">: </w:t>
      </w:r>
      <w:r>
        <w:t>A minimum of 13.0 credits.</w:t>
      </w:r>
    </w:p>
    <w:p w14:paraId="523F3DCF" w14:textId="77777777" w:rsidR="0047170A" w:rsidRDefault="00000000">
      <w:pPr>
        <w:spacing w:after="0"/>
      </w:pPr>
      <w:r>
        <w:rPr>
          <w:rFonts w:ascii="Arial" w:eastAsia="Arial" w:hAnsi="Arial" w:cs="Arial"/>
          <w:b/>
          <w:bCs/>
          <w:color w:val="000000"/>
          <w:kern w:val="0"/>
          <w:lang w:eastAsia="ja-JP"/>
        </w:rPr>
        <w:lastRenderedPageBreak/>
        <w:t>Corequisites</w:t>
      </w:r>
      <w:r>
        <w:rPr>
          <w:rFonts w:ascii="Arial" w:hAnsi="Arial" w:cs="Arial"/>
          <w:color w:val="000000"/>
          <w:kern w:val="0"/>
          <w:lang w:eastAsia="ja-JP"/>
        </w:rPr>
        <w:t xml:space="preserve">: </w:t>
      </w:r>
      <w:r>
        <w:t>None</w:t>
      </w:r>
    </w:p>
    <w:p w14:paraId="5F330D0F" w14:textId="77777777" w:rsidR="0047170A" w:rsidRDefault="00000000">
      <w:pPr>
        <w:spacing w:after="0"/>
      </w:pPr>
      <w:r>
        <w:rPr>
          <w:rFonts w:ascii="Arial" w:eastAsia="Arial" w:hAnsi="Arial" w:cs="Arial"/>
          <w:b/>
          <w:bCs/>
          <w:kern w:val="0"/>
          <w:lang w:eastAsia="ja-JP"/>
        </w:rPr>
        <w:t>Exclusions:</w:t>
      </w:r>
      <w:r>
        <w:rPr>
          <w:rFonts w:ascii="Arial" w:eastAsia="Arial" w:hAnsi="Arial" w:cs="Arial"/>
          <w:kern w:val="0"/>
          <w:lang w:eastAsia="ja-JP"/>
        </w:rPr>
        <w:t xml:space="preserve"> </w:t>
      </w:r>
      <w:r>
        <w:t>None</w:t>
      </w:r>
    </w:p>
    <w:p w14:paraId="4488D0A4" w14:textId="77777777" w:rsidR="0047170A" w:rsidRDefault="00000000">
      <w:pPr>
        <w:spacing w:after="0"/>
      </w:pPr>
      <w:r>
        <w:rPr>
          <w:rFonts w:ascii="Arial" w:eastAsia="Arial" w:hAnsi="Arial" w:cs="Arial"/>
          <w:b/>
          <w:kern w:val="0"/>
          <w:lang w:eastAsia="ja-JP"/>
        </w:rPr>
        <w:t>Recommended Preparation</w:t>
      </w:r>
      <w:r>
        <w:rPr>
          <w:rFonts w:ascii="Arial" w:eastAsia="Arial" w:hAnsi="Arial" w:cs="Arial"/>
          <w:kern w:val="0"/>
          <w:lang w:eastAsia="ja-JP"/>
        </w:rPr>
        <w:t xml:space="preserve">: </w:t>
      </w:r>
      <w:r>
        <w:t>None</w:t>
      </w:r>
    </w:p>
    <w:p w14:paraId="4FB8F566" w14:textId="77777777" w:rsidR="0047170A" w:rsidRDefault="00000000">
      <w:pPr>
        <w:spacing w:after="0"/>
      </w:pPr>
      <w:r>
        <w:rPr>
          <w:rFonts w:ascii="Arial" w:eastAsia="Arial" w:hAnsi="Arial" w:cs="Arial"/>
          <w:b/>
          <w:bCs/>
          <w:kern w:val="0"/>
          <w:lang w:eastAsia="ja-JP"/>
        </w:rPr>
        <w:t>Credit Value:</w:t>
      </w:r>
      <w:r>
        <w:rPr>
          <w:rFonts w:ascii="Arial" w:eastAsia="Arial" w:hAnsi="Arial" w:cs="Arial"/>
          <w:b/>
          <w:bCs/>
          <w:color w:val="000000"/>
          <w:kern w:val="0"/>
          <w:lang w:eastAsia="ja-JP"/>
        </w:rPr>
        <w:t xml:space="preserve"> </w:t>
      </w:r>
      <w:r>
        <w:rPr>
          <w:rFonts w:ascii="Arial" w:eastAsia="Arial" w:hAnsi="Arial" w:cs="Arial"/>
          <w:color w:val="000000"/>
          <w:kern w:val="0"/>
          <w:lang w:eastAsia="ja-JP"/>
        </w:rPr>
        <w:t>0.5</w:t>
      </w:r>
    </w:p>
    <w:p w14:paraId="05AB3162" w14:textId="77777777" w:rsidR="0047170A" w:rsidRDefault="0047170A">
      <w:pPr>
        <w:spacing w:after="0"/>
        <w:rPr>
          <w:rFonts w:ascii="Arial" w:eastAsia="Arial" w:hAnsi="Arial" w:cs="Arial"/>
          <w:kern w:val="0"/>
          <w:lang w:eastAsia="ja-JP"/>
        </w:rPr>
      </w:pPr>
    </w:p>
    <w:p w14:paraId="13924296" w14:textId="77777777" w:rsidR="0047170A" w:rsidRDefault="00000000">
      <w:pPr>
        <w:keepLines/>
        <w:spacing w:before="400" w:after="360"/>
        <w:outlineLvl w:val="1"/>
        <w:rPr>
          <w:rFonts w:ascii="Arial" w:eastAsia="MS PGothic" w:hAnsi="Arial" w:cs="Arial"/>
          <w:b/>
          <w:color w:val="002A5C"/>
          <w:kern w:val="0"/>
          <w:sz w:val="28"/>
          <w:szCs w:val="26"/>
          <w:lang w:eastAsia="ja-JP"/>
        </w:rPr>
      </w:pPr>
      <w:r>
        <w:rPr>
          <w:rFonts w:ascii="Arial" w:eastAsia="MS PGothic" w:hAnsi="Arial" w:cs="Arial"/>
          <w:b/>
          <w:color w:val="002A5C"/>
          <w:kern w:val="0"/>
          <w:sz w:val="28"/>
          <w:szCs w:val="26"/>
          <w:lang w:eastAsia="ja-JP"/>
        </w:rPr>
        <w:t>Marking Scheme</w:t>
      </w:r>
    </w:p>
    <w:tbl>
      <w:tblPr>
        <w:tblW w:w="9360" w:type="dxa"/>
        <w:tblInd w:w="-113" w:type="dxa"/>
        <w:tblLayout w:type="fixed"/>
        <w:tblLook w:val="04A0" w:firstRow="1" w:lastRow="0" w:firstColumn="1" w:lastColumn="0" w:noHBand="0" w:noVBand="1"/>
      </w:tblPr>
      <w:tblGrid>
        <w:gridCol w:w="2340"/>
        <w:gridCol w:w="1125"/>
        <w:gridCol w:w="3555"/>
        <w:gridCol w:w="2340"/>
      </w:tblGrid>
      <w:tr w:rsidR="0047170A" w14:paraId="7343B569" w14:textId="77777777">
        <w:trPr>
          <w:trHeight w:val="457"/>
          <w:tblHeader/>
        </w:trPr>
        <w:tc>
          <w:tcPr>
            <w:tcW w:w="2340" w:type="dxa"/>
            <w:tcBorders>
              <w:top w:val="single" w:sz="4" w:space="0" w:color="999999"/>
              <w:left w:val="single" w:sz="4" w:space="0" w:color="999999"/>
              <w:bottom w:val="single" w:sz="12" w:space="0" w:color="666666"/>
              <w:right w:val="single" w:sz="4" w:space="0" w:color="999999"/>
            </w:tcBorders>
          </w:tcPr>
          <w:p w14:paraId="6D1140FE" w14:textId="77777777" w:rsidR="0047170A" w:rsidRDefault="00000000">
            <w:pPr>
              <w:keepLines/>
              <w:spacing w:after="0" w:line="240" w:lineRule="auto"/>
              <w:rPr>
                <w:rFonts w:ascii="Arial" w:eastAsia="Arial" w:hAnsi="Arial" w:cs="Arial"/>
              </w:rPr>
            </w:pPr>
            <w:r>
              <w:rPr>
                <w:rFonts w:ascii="Arial" w:eastAsia="Arial" w:hAnsi="Arial" w:cs="Arial"/>
                <w:b/>
                <w:bCs/>
                <w:kern w:val="0"/>
                <w:lang w:eastAsia="ja-JP"/>
              </w:rPr>
              <w:t>Assessment</w:t>
            </w:r>
          </w:p>
        </w:tc>
        <w:tc>
          <w:tcPr>
            <w:tcW w:w="1125" w:type="dxa"/>
            <w:tcBorders>
              <w:top w:val="single" w:sz="4" w:space="0" w:color="999999"/>
              <w:left w:val="single" w:sz="4" w:space="0" w:color="999999"/>
              <w:bottom w:val="single" w:sz="12" w:space="0" w:color="666666"/>
              <w:right w:val="single" w:sz="4" w:space="0" w:color="999999"/>
            </w:tcBorders>
          </w:tcPr>
          <w:p w14:paraId="49F73B92" w14:textId="77777777" w:rsidR="0047170A" w:rsidRDefault="00000000">
            <w:pPr>
              <w:keepLines/>
              <w:spacing w:after="0" w:line="240" w:lineRule="auto"/>
              <w:rPr>
                <w:rFonts w:ascii="Arial" w:eastAsia="Arial" w:hAnsi="Arial" w:cs="Arial"/>
              </w:rPr>
            </w:pPr>
            <w:r>
              <w:rPr>
                <w:rFonts w:ascii="Arial" w:eastAsia="Arial" w:hAnsi="Arial" w:cs="Arial"/>
                <w:b/>
                <w:bCs/>
                <w:kern w:val="0"/>
                <w:lang w:eastAsia="ja-JP"/>
              </w:rPr>
              <w:t>Percent</w:t>
            </w:r>
          </w:p>
        </w:tc>
        <w:tc>
          <w:tcPr>
            <w:tcW w:w="3555" w:type="dxa"/>
            <w:tcBorders>
              <w:top w:val="single" w:sz="4" w:space="0" w:color="999999"/>
              <w:left w:val="single" w:sz="4" w:space="0" w:color="999999"/>
              <w:bottom w:val="single" w:sz="12" w:space="0" w:color="666666"/>
              <w:right w:val="single" w:sz="4" w:space="0" w:color="999999"/>
            </w:tcBorders>
          </w:tcPr>
          <w:p w14:paraId="2CB52E13" w14:textId="77777777" w:rsidR="0047170A" w:rsidRDefault="00000000">
            <w:pPr>
              <w:keepLines/>
              <w:spacing w:after="0" w:line="240" w:lineRule="auto"/>
              <w:rPr>
                <w:rFonts w:ascii="Arial" w:eastAsia="Arial" w:hAnsi="Arial" w:cs="Arial"/>
              </w:rPr>
            </w:pPr>
            <w:r>
              <w:rPr>
                <w:rFonts w:ascii="Arial" w:eastAsia="Arial" w:hAnsi="Arial" w:cs="Arial"/>
                <w:b/>
                <w:bCs/>
                <w:kern w:val="0"/>
                <w:lang w:eastAsia="ja-JP"/>
              </w:rPr>
              <w:t>Details</w:t>
            </w:r>
          </w:p>
        </w:tc>
        <w:tc>
          <w:tcPr>
            <w:tcW w:w="2340" w:type="dxa"/>
            <w:tcBorders>
              <w:top w:val="single" w:sz="4" w:space="0" w:color="999999"/>
              <w:left w:val="single" w:sz="4" w:space="0" w:color="999999"/>
              <w:bottom w:val="single" w:sz="12" w:space="0" w:color="666666"/>
              <w:right w:val="single" w:sz="4" w:space="0" w:color="999999"/>
            </w:tcBorders>
          </w:tcPr>
          <w:p w14:paraId="3DB5672B" w14:textId="77777777" w:rsidR="0047170A" w:rsidRDefault="00000000">
            <w:pPr>
              <w:keepLines/>
              <w:spacing w:after="0" w:line="240" w:lineRule="auto"/>
              <w:rPr>
                <w:rFonts w:ascii="Arial" w:eastAsia="Arial" w:hAnsi="Arial" w:cs="Arial"/>
              </w:rPr>
            </w:pPr>
            <w:r>
              <w:rPr>
                <w:rFonts w:ascii="Arial" w:eastAsia="Arial" w:hAnsi="Arial" w:cs="Arial"/>
                <w:b/>
                <w:bCs/>
                <w:kern w:val="0"/>
                <w:lang w:eastAsia="ja-JP"/>
              </w:rPr>
              <w:t>Due Date</w:t>
            </w:r>
          </w:p>
        </w:tc>
      </w:tr>
      <w:tr w:rsidR="0047170A" w14:paraId="51A6DF8E" w14:textId="77777777">
        <w:tc>
          <w:tcPr>
            <w:tcW w:w="2340" w:type="dxa"/>
            <w:tcBorders>
              <w:top w:val="single" w:sz="4" w:space="0" w:color="999999"/>
              <w:left w:val="single" w:sz="4" w:space="0" w:color="999999"/>
              <w:bottom w:val="single" w:sz="4" w:space="0" w:color="999999"/>
              <w:right w:val="single" w:sz="4" w:space="0" w:color="999999"/>
            </w:tcBorders>
          </w:tcPr>
          <w:p w14:paraId="0793605A" w14:textId="77777777" w:rsidR="0047170A" w:rsidRDefault="00000000">
            <w:pPr>
              <w:keepLines/>
              <w:spacing w:after="0" w:line="240" w:lineRule="auto"/>
              <w:rPr>
                <w:rFonts w:ascii="Arial" w:eastAsia="Arial" w:hAnsi="Arial" w:cs="Arial"/>
              </w:rPr>
            </w:pPr>
            <w:r>
              <w:rPr>
                <w:rFonts w:ascii="Arial" w:eastAsia="Arial" w:hAnsi="Arial" w:cs="Arial"/>
                <w:b/>
                <w:bCs/>
                <w:kern w:val="0"/>
                <w:lang w:eastAsia="ja-JP"/>
              </w:rPr>
              <w:t>Final Paper</w:t>
            </w:r>
          </w:p>
        </w:tc>
        <w:tc>
          <w:tcPr>
            <w:tcW w:w="1125" w:type="dxa"/>
            <w:tcBorders>
              <w:top w:val="single" w:sz="4" w:space="0" w:color="999999"/>
              <w:left w:val="single" w:sz="4" w:space="0" w:color="999999"/>
              <w:bottom w:val="single" w:sz="4" w:space="0" w:color="999999"/>
              <w:right w:val="single" w:sz="4" w:space="0" w:color="999999"/>
            </w:tcBorders>
          </w:tcPr>
          <w:p w14:paraId="3BE4230E" w14:textId="77777777" w:rsidR="0047170A" w:rsidRDefault="00000000">
            <w:pPr>
              <w:keepLines/>
              <w:spacing w:after="0" w:line="240" w:lineRule="auto"/>
              <w:rPr>
                <w:rFonts w:ascii="Arial" w:eastAsia="Arial" w:hAnsi="Arial" w:cs="Arial"/>
              </w:rPr>
            </w:pPr>
            <w:r>
              <w:rPr>
                <w:rFonts w:ascii="Arial" w:eastAsia="Arial" w:hAnsi="Arial" w:cs="Arial"/>
                <w:kern w:val="0"/>
                <w:lang w:eastAsia="ja-JP"/>
              </w:rPr>
              <w:t>30%</w:t>
            </w:r>
          </w:p>
        </w:tc>
        <w:tc>
          <w:tcPr>
            <w:tcW w:w="3555" w:type="dxa"/>
            <w:tcBorders>
              <w:top w:val="single" w:sz="4" w:space="0" w:color="999999"/>
              <w:left w:val="single" w:sz="4" w:space="0" w:color="999999"/>
              <w:bottom w:val="single" w:sz="4" w:space="0" w:color="999999"/>
              <w:right w:val="single" w:sz="4" w:space="0" w:color="999999"/>
            </w:tcBorders>
          </w:tcPr>
          <w:p w14:paraId="3A219911" w14:textId="77777777" w:rsidR="0047170A" w:rsidRDefault="0047170A">
            <w:pPr>
              <w:keepLines/>
              <w:spacing w:after="0" w:line="240" w:lineRule="auto"/>
              <w:rPr>
                <w:rFonts w:ascii="Arial" w:eastAsia="Arial" w:hAnsi="Arial" w:cs="Arial"/>
                <w:kern w:val="0"/>
                <w:lang w:eastAsia="ja-JP"/>
              </w:rPr>
            </w:pPr>
          </w:p>
        </w:tc>
        <w:tc>
          <w:tcPr>
            <w:tcW w:w="2340" w:type="dxa"/>
            <w:tcBorders>
              <w:top w:val="single" w:sz="4" w:space="0" w:color="999999"/>
              <w:left w:val="single" w:sz="4" w:space="0" w:color="999999"/>
              <w:bottom w:val="single" w:sz="4" w:space="0" w:color="999999"/>
              <w:right w:val="single" w:sz="4" w:space="0" w:color="999999"/>
            </w:tcBorders>
          </w:tcPr>
          <w:p w14:paraId="35F9F7DE" w14:textId="77777777" w:rsidR="0047170A" w:rsidRDefault="00000000">
            <w:pPr>
              <w:pStyle w:val="BodyText"/>
            </w:pPr>
            <w:r>
              <w:t>2025</w:t>
            </w:r>
            <w:r>
              <w:noBreakHyphen/>
              <w:t>11</w:t>
            </w:r>
            <w:r>
              <w:noBreakHyphen/>
              <w:t>25</w:t>
            </w:r>
          </w:p>
        </w:tc>
      </w:tr>
      <w:tr w:rsidR="0047170A" w14:paraId="74DC4525" w14:textId="77777777">
        <w:tc>
          <w:tcPr>
            <w:tcW w:w="2340" w:type="dxa"/>
            <w:tcBorders>
              <w:top w:val="single" w:sz="4" w:space="0" w:color="999999"/>
              <w:left w:val="single" w:sz="4" w:space="0" w:color="999999"/>
              <w:bottom w:val="single" w:sz="4" w:space="0" w:color="999999"/>
              <w:right w:val="single" w:sz="4" w:space="0" w:color="999999"/>
            </w:tcBorders>
          </w:tcPr>
          <w:p w14:paraId="09DB379C" w14:textId="77777777" w:rsidR="0047170A" w:rsidRDefault="00000000">
            <w:pPr>
              <w:keepLines/>
              <w:spacing w:after="0" w:line="240" w:lineRule="auto"/>
              <w:rPr>
                <w:rFonts w:ascii="Arial" w:eastAsia="Arial" w:hAnsi="Arial" w:cs="Arial"/>
              </w:rPr>
            </w:pPr>
            <w:r>
              <w:rPr>
                <w:rFonts w:ascii="Arial" w:eastAsia="Arial" w:hAnsi="Arial" w:cs="Arial"/>
                <w:b/>
                <w:bCs/>
                <w:kern w:val="0"/>
                <w:lang w:eastAsia="ja-JP"/>
              </w:rPr>
              <w:t xml:space="preserve">Mid-term paper </w:t>
            </w:r>
          </w:p>
        </w:tc>
        <w:tc>
          <w:tcPr>
            <w:tcW w:w="1125" w:type="dxa"/>
            <w:tcBorders>
              <w:top w:val="single" w:sz="4" w:space="0" w:color="999999"/>
              <w:left w:val="single" w:sz="4" w:space="0" w:color="999999"/>
              <w:bottom w:val="single" w:sz="4" w:space="0" w:color="999999"/>
              <w:right w:val="single" w:sz="4" w:space="0" w:color="999999"/>
            </w:tcBorders>
          </w:tcPr>
          <w:p w14:paraId="39F11A2A" w14:textId="77777777" w:rsidR="0047170A" w:rsidRDefault="00000000">
            <w:pPr>
              <w:keepLines/>
              <w:spacing w:after="0" w:line="240" w:lineRule="auto"/>
              <w:rPr>
                <w:rFonts w:ascii="Arial" w:eastAsia="Arial" w:hAnsi="Arial" w:cs="Arial"/>
              </w:rPr>
            </w:pPr>
            <w:r>
              <w:rPr>
                <w:rFonts w:ascii="Arial" w:eastAsia="Arial" w:hAnsi="Arial" w:cs="Arial"/>
                <w:kern w:val="0"/>
                <w:lang w:eastAsia="ja-JP"/>
              </w:rPr>
              <w:t>30%</w:t>
            </w:r>
          </w:p>
        </w:tc>
        <w:tc>
          <w:tcPr>
            <w:tcW w:w="3555" w:type="dxa"/>
            <w:tcBorders>
              <w:top w:val="single" w:sz="4" w:space="0" w:color="999999"/>
              <w:left w:val="single" w:sz="4" w:space="0" w:color="999999"/>
              <w:bottom w:val="single" w:sz="4" w:space="0" w:color="999999"/>
              <w:right w:val="single" w:sz="4" w:space="0" w:color="999999"/>
            </w:tcBorders>
          </w:tcPr>
          <w:p w14:paraId="71858377" w14:textId="77777777" w:rsidR="0047170A" w:rsidRDefault="0047170A">
            <w:pPr>
              <w:keepLines/>
              <w:spacing w:after="0" w:line="240" w:lineRule="auto"/>
              <w:rPr>
                <w:rFonts w:ascii="Arial" w:eastAsia="Arial" w:hAnsi="Arial" w:cs="Arial"/>
                <w:kern w:val="0"/>
                <w:lang w:eastAsia="ja-JP"/>
              </w:rPr>
            </w:pPr>
          </w:p>
        </w:tc>
        <w:tc>
          <w:tcPr>
            <w:tcW w:w="2340" w:type="dxa"/>
            <w:tcBorders>
              <w:top w:val="single" w:sz="4" w:space="0" w:color="999999"/>
              <w:left w:val="single" w:sz="4" w:space="0" w:color="999999"/>
              <w:bottom w:val="single" w:sz="4" w:space="0" w:color="999999"/>
              <w:right w:val="single" w:sz="4" w:space="0" w:color="999999"/>
            </w:tcBorders>
          </w:tcPr>
          <w:p w14:paraId="2A114DA4" w14:textId="77777777" w:rsidR="0047170A" w:rsidRDefault="00000000">
            <w:pPr>
              <w:pStyle w:val="BodyText"/>
            </w:pPr>
            <w:r>
              <w:t>2025</w:t>
            </w:r>
            <w:r>
              <w:noBreakHyphen/>
              <w:t>10</w:t>
            </w:r>
            <w:r>
              <w:noBreakHyphen/>
              <w:t>24</w:t>
            </w:r>
          </w:p>
        </w:tc>
      </w:tr>
      <w:tr w:rsidR="0047170A" w14:paraId="1EFB4F9B" w14:textId="77777777">
        <w:tc>
          <w:tcPr>
            <w:tcW w:w="2340" w:type="dxa"/>
            <w:tcBorders>
              <w:top w:val="single" w:sz="4" w:space="0" w:color="999999"/>
              <w:left w:val="single" w:sz="4" w:space="0" w:color="999999"/>
              <w:bottom w:val="single" w:sz="4" w:space="0" w:color="999999"/>
              <w:right w:val="single" w:sz="4" w:space="0" w:color="999999"/>
            </w:tcBorders>
          </w:tcPr>
          <w:p w14:paraId="4155A1F7" w14:textId="77777777" w:rsidR="0047170A" w:rsidRDefault="00000000">
            <w:pPr>
              <w:keepLines/>
              <w:spacing w:after="0" w:line="240" w:lineRule="auto"/>
              <w:rPr>
                <w:rFonts w:ascii="Arial" w:eastAsia="Arial" w:hAnsi="Arial" w:cs="Arial"/>
              </w:rPr>
            </w:pPr>
            <w:r>
              <w:rPr>
                <w:rFonts w:ascii="Arial" w:eastAsia="Arial" w:hAnsi="Arial" w:cs="Arial"/>
                <w:b/>
                <w:bCs/>
                <w:kern w:val="0"/>
                <w:lang w:eastAsia="ja-JP"/>
              </w:rPr>
              <w:t>Group Presentation</w:t>
            </w:r>
          </w:p>
        </w:tc>
        <w:tc>
          <w:tcPr>
            <w:tcW w:w="1125" w:type="dxa"/>
            <w:tcBorders>
              <w:top w:val="single" w:sz="4" w:space="0" w:color="999999"/>
              <w:left w:val="single" w:sz="4" w:space="0" w:color="999999"/>
              <w:bottom w:val="single" w:sz="4" w:space="0" w:color="999999"/>
              <w:right w:val="single" w:sz="4" w:space="0" w:color="999999"/>
            </w:tcBorders>
          </w:tcPr>
          <w:p w14:paraId="0D334E6F" w14:textId="77777777" w:rsidR="0047170A" w:rsidRDefault="00000000">
            <w:pPr>
              <w:keepLines/>
              <w:spacing w:after="0" w:line="240" w:lineRule="auto"/>
              <w:rPr>
                <w:rFonts w:ascii="Arial" w:eastAsia="Arial" w:hAnsi="Arial" w:cs="Arial"/>
              </w:rPr>
            </w:pPr>
            <w:r>
              <w:rPr>
                <w:rFonts w:ascii="Arial" w:eastAsia="Arial" w:hAnsi="Arial" w:cs="Arial"/>
                <w:kern w:val="0"/>
                <w:lang w:eastAsia="ja-JP"/>
              </w:rPr>
              <w:t>15%</w:t>
            </w:r>
          </w:p>
        </w:tc>
        <w:tc>
          <w:tcPr>
            <w:tcW w:w="3555" w:type="dxa"/>
            <w:tcBorders>
              <w:top w:val="single" w:sz="4" w:space="0" w:color="999999"/>
              <w:left w:val="single" w:sz="4" w:space="0" w:color="999999"/>
              <w:bottom w:val="single" w:sz="4" w:space="0" w:color="999999"/>
              <w:right w:val="single" w:sz="4" w:space="0" w:color="999999"/>
            </w:tcBorders>
          </w:tcPr>
          <w:p w14:paraId="0454B9AA" w14:textId="77777777" w:rsidR="0047170A" w:rsidRDefault="0047170A">
            <w:pPr>
              <w:keepLines/>
              <w:spacing w:after="0" w:line="240" w:lineRule="auto"/>
              <w:rPr>
                <w:rFonts w:ascii="Arial" w:eastAsia="Arial" w:hAnsi="Arial" w:cs="Arial"/>
                <w:kern w:val="0"/>
                <w:lang w:eastAsia="ja-JP"/>
              </w:rPr>
            </w:pPr>
          </w:p>
        </w:tc>
        <w:tc>
          <w:tcPr>
            <w:tcW w:w="2340" w:type="dxa"/>
            <w:tcBorders>
              <w:top w:val="single" w:sz="4" w:space="0" w:color="999999"/>
              <w:left w:val="single" w:sz="4" w:space="0" w:color="999999"/>
              <w:bottom w:val="single" w:sz="4" w:space="0" w:color="999999"/>
              <w:right w:val="single" w:sz="4" w:space="0" w:color="999999"/>
            </w:tcBorders>
          </w:tcPr>
          <w:p w14:paraId="41637138" w14:textId="77777777" w:rsidR="0047170A" w:rsidRDefault="00000000">
            <w:pPr>
              <w:pStyle w:val="BodyText"/>
            </w:pPr>
            <w:r>
              <w:t>Ongoing</w:t>
            </w:r>
          </w:p>
        </w:tc>
      </w:tr>
      <w:tr w:rsidR="0047170A" w14:paraId="4FBA7EFF" w14:textId="77777777">
        <w:tc>
          <w:tcPr>
            <w:tcW w:w="2340" w:type="dxa"/>
            <w:tcBorders>
              <w:top w:val="single" w:sz="4" w:space="0" w:color="999999"/>
              <w:left w:val="single" w:sz="4" w:space="0" w:color="999999"/>
              <w:bottom w:val="single" w:sz="4" w:space="0" w:color="999999"/>
              <w:right w:val="single" w:sz="4" w:space="0" w:color="999999"/>
            </w:tcBorders>
          </w:tcPr>
          <w:p w14:paraId="2A29B41E" w14:textId="77777777" w:rsidR="0047170A" w:rsidRDefault="00000000">
            <w:pPr>
              <w:keepLines/>
              <w:spacing w:after="0" w:line="240" w:lineRule="auto"/>
              <w:rPr>
                <w:rFonts w:ascii="Arial" w:eastAsia="Arial" w:hAnsi="Arial" w:cs="Arial"/>
              </w:rPr>
            </w:pPr>
            <w:r>
              <w:rPr>
                <w:rFonts w:ascii="Arial" w:eastAsia="Arial" w:hAnsi="Arial" w:cs="Arial"/>
                <w:b/>
                <w:bCs/>
                <w:kern w:val="0"/>
                <w:lang w:eastAsia="ja-JP"/>
              </w:rPr>
              <w:t>Quizzes</w:t>
            </w:r>
          </w:p>
        </w:tc>
        <w:tc>
          <w:tcPr>
            <w:tcW w:w="1125" w:type="dxa"/>
            <w:tcBorders>
              <w:top w:val="single" w:sz="4" w:space="0" w:color="999999"/>
              <w:left w:val="single" w:sz="4" w:space="0" w:color="999999"/>
              <w:bottom w:val="single" w:sz="4" w:space="0" w:color="999999"/>
              <w:right w:val="single" w:sz="4" w:space="0" w:color="999999"/>
            </w:tcBorders>
          </w:tcPr>
          <w:p w14:paraId="1CEFAF54" w14:textId="77777777" w:rsidR="0047170A" w:rsidRDefault="00000000">
            <w:pPr>
              <w:keepLines/>
              <w:spacing w:after="0" w:line="240" w:lineRule="auto"/>
              <w:rPr>
                <w:rFonts w:ascii="Arial" w:eastAsia="Arial" w:hAnsi="Arial" w:cs="Arial"/>
              </w:rPr>
            </w:pPr>
            <w:r>
              <w:rPr>
                <w:rFonts w:ascii="Arial" w:eastAsia="Arial" w:hAnsi="Arial" w:cs="Arial"/>
                <w:kern w:val="0"/>
                <w:lang w:eastAsia="ja-JP"/>
              </w:rPr>
              <w:t>20%</w:t>
            </w:r>
          </w:p>
        </w:tc>
        <w:tc>
          <w:tcPr>
            <w:tcW w:w="3555" w:type="dxa"/>
            <w:tcBorders>
              <w:top w:val="single" w:sz="4" w:space="0" w:color="999999"/>
              <w:left w:val="single" w:sz="4" w:space="0" w:color="999999"/>
              <w:bottom w:val="single" w:sz="4" w:space="0" w:color="999999"/>
              <w:right w:val="single" w:sz="4" w:space="0" w:color="999999"/>
            </w:tcBorders>
          </w:tcPr>
          <w:p w14:paraId="3225E77C" w14:textId="77777777" w:rsidR="0047170A" w:rsidRDefault="0047170A">
            <w:pPr>
              <w:keepLines/>
              <w:spacing w:after="0" w:line="240" w:lineRule="auto"/>
              <w:rPr>
                <w:rFonts w:ascii="Arial" w:eastAsia="Arial" w:hAnsi="Arial" w:cs="Arial"/>
                <w:kern w:val="0"/>
                <w:lang w:eastAsia="ja-JP"/>
              </w:rPr>
            </w:pPr>
          </w:p>
        </w:tc>
        <w:tc>
          <w:tcPr>
            <w:tcW w:w="2340" w:type="dxa"/>
            <w:tcBorders>
              <w:top w:val="single" w:sz="4" w:space="0" w:color="999999"/>
              <w:left w:val="single" w:sz="4" w:space="0" w:color="999999"/>
              <w:bottom w:val="single" w:sz="4" w:space="0" w:color="999999"/>
              <w:right w:val="single" w:sz="4" w:space="0" w:color="999999"/>
            </w:tcBorders>
          </w:tcPr>
          <w:p w14:paraId="732E3BD6" w14:textId="77777777" w:rsidR="0047170A" w:rsidRDefault="00000000">
            <w:pPr>
              <w:pStyle w:val="BodyText"/>
            </w:pPr>
            <w:r>
              <w:t>Ongoing</w:t>
            </w:r>
          </w:p>
        </w:tc>
      </w:tr>
      <w:tr w:rsidR="0047170A" w14:paraId="667118D8" w14:textId="77777777">
        <w:tc>
          <w:tcPr>
            <w:tcW w:w="2340" w:type="dxa"/>
            <w:tcBorders>
              <w:top w:val="single" w:sz="4" w:space="0" w:color="999999"/>
              <w:left w:val="single" w:sz="4" w:space="0" w:color="999999"/>
              <w:bottom w:val="single" w:sz="4" w:space="0" w:color="999999"/>
              <w:right w:val="single" w:sz="4" w:space="0" w:color="999999"/>
            </w:tcBorders>
          </w:tcPr>
          <w:p w14:paraId="40A6D906" w14:textId="77777777" w:rsidR="0047170A" w:rsidRDefault="00000000">
            <w:pPr>
              <w:keepLines/>
              <w:spacing w:after="0" w:line="240" w:lineRule="auto"/>
              <w:rPr>
                <w:rFonts w:ascii="Arial" w:eastAsia="Arial" w:hAnsi="Arial" w:cs="Arial"/>
              </w:rPr>
            </w:pPr>
            <w:r>
              <w:rPr>
                <w:rFonts w:ascii="Arial" w:eastAsia="Arial" w:hAnsi="Arial" w:cs="Arial"/>
                <w:b/>
                <w:bCs/>
                <w:kern w:val="0"/>
                <w:lang w:eastAsia="ja-JP"/>
              </w:rPr>
              <w:t>Activity and attendance</w:t>
            </w:r>
          </w:p>
        </w:tc>
        <w:tc>
          <w:tcPr>
            <w:tcW w:w="1125" w:type="dxa"/>
            <w:tcBorders>
              <w:top w:val="single" w:sz="4" w:space="0" w:color="999999"/>
              <w:left w:val="single" w:sz="4" w:space="0" w:color="999999"/>
              <w:bottom w:val="single" w:sz="4" w:space="0" w:color="999999"/>
              <w:right w:val="single" w:sz="4" w:space="0" w:color="999999"/>
            </w:tcBorders>
          </w:tcPr>
          <w:p w14:paraId="5BE09398" w14:textId="77777777" w:rsidR="0047170A" w:rsidRDefault="00000000">
            <w:pPr>
              <w:keepLines/>
              <w:spacing w:after="0" w:line="240" w:lineRule="auto"/>
              <w:rPr>
                <w:rFonts w:ascii="Arial" w:eastAsia="Arial" w:hAnsi="Arial" w:cs="Arial"/>
              </w:rPr>
            </w:pPr>
            <w:r>
              <w:rPr>
                <w:rFonts w:ascii="Arial" w:eastAsia="Arial" w:hAnsi="Arial" w:cs="Arial"/>
                <w:kern w:val="0"/>
                <w:lang w:eastAsia="ja-JP"/>
              </w:rPr>
              <w:t>5%</w:t>
            </w:r>
          </w:p>
        </w:tc>
        <w:tc>
          <w:tcPr>
            <w:tcW w:w="3555" w:type="dxa"/>
            <w:tcBorders>
              <w:top w:val="single" w:sz="4" w:space="0" w:color="999999"/>
              <w:left w:val="single" w:sz="4" w:space="0" w:color="999999"/>
              <w:bottom w:val="single" w:sz="4" w:space="0" w:color="999999"/>
              <w:right w:val="single" w:sz="4" w:space="0" w:color="999999"/>
            </w:tcBorders>
          </w:tcPr>
          <w:p w14:paraId="518B14F2" w14:textId="77777777" w:rsidR="0047170A" w:rsidRDefault="00000000">
            <w:pPr>
              <w:pStyle w:val="BodyText"/>
            </w:pPr>
            <w:r>
              <w:t>Active participation in class activities such as participating in discussions, responding to group presentations, and attending the lectures counts. Attending the lectures gets you to 2/5 percent.</w:t>
            </w:r>
          </w:p>
        </w:tc>
        <w:tc>
          <w:tcPr>
            <w:tcW w:w="2340" w:type="dxa"/>
            <w:tcBorders>
              <w:top w:val="single" w:sz="4" w:space="0" w:color="999999"/>
              <w:left w:val="single" w:sz="4" w:space="0" w:color="999999"/>
              <w:bottom w:val="single" w:sz="4" w:space="0" w:color="999999"/>
              <w:right w:val="single" w:sz="4" w:space="0" w:color="999999"/>
            </w:tcBorders>
          </w:tcPr>
          <w:p w14:paraId="5FAF62E0" w14:textId="77777777" w:rsidR="0047170A" w:rsidRDefault="00000000">
            <w:pPr>
              <w:pStyle w:val="BodyText"/>
            </w:pPr>
            <w:r>
              <w:t>Ongoing</w:t>
            </w:r>
          </w:p>
        </w:tc>
      </w:tr>
    </w:tbl>
    <w:p w14:paraId="1BD2FEC5" w14:textId="77777777" w:rsidR="0047170A" w:rsidRDefault="00000000">
      <w:pPr>
        <w:pStyle w:val="BodyText"/>
      </w:pPr>
      <w:r>
        <w:t>Assessment Descriptions:</w:t>
      </w:r>
    </w:p>
    <w:p w14:paraId="08849F6A" w14:textId="77777777" w:rsidR="0047170A" w:rsidRDefault="00000000">
      <w:pPr>
        <w:pStyle w:val="BodyText"/>
        <w:numPr>
          <w:ilvl w:val="0"/>
          <w:numId w:val="2"/>
        </w:numPr>
        <w:tabs>
          <w:tab w:val="clear" w:pos="709"/>
          <w:tab w:val="left" w:pos="0"/>
        </w:tabs>
        <w:spacing w:after="0"/>
      </w:pPr>
      <w:r>
        <w:t xml:space="preserve">Quiz. There will 5 multiple choice quizzes based on the readings and 4 best scores will count. We will use Quercus for the quizzes. If you are unable to use Quercus during the class, a paper option will be provided. </w:t>
      </w:r>
    </w:p>
    <w:p w14:paraId="62E462CC" w14:textId="77777777" w:rsidR="0047170A" w:rsidRDefault="00000000">
      <w:pPr>
        <w:pStyle w:val="BodyText"/>
        <w:numPr>
          <w:ilvl w:val="0"/>
          <w:numId w:val="2"/>
        </w:numPr>
        <w:tabs>
          <w:tab w:val="clear" w:pos="709"/>
          <w:tab w:val="left" w:pos="0"/>
        </w:tabs>
        <w:spacing w:after="0"/>
      </w:pPr>
      <w:r>
        <w:t xml:space="preserve">Group Presentation: During this course you will be formed into groups to create and give presentations. You can choose a theme that fits in the scope of ethics and code freely. The length of the presentation is 15 minutes. Each student will present once as part of the group during the semester. Slides of the presentation need to be uploaded to Quercus.   </w:t>
      </w:r>
    </w:p>
    <w:p w14:paraId="6EAF1C46" w14:textId="77777777" w:rsidR="0047170A" w:rsidRDefault="00000000">
      <w:pPr>
        <w:pStyle w:val="BodyText"/>
        <w:numPr>
          <w:ilvl w:val="0"/>
          <w:numId w:val="2"/>
        </w:numPr>
        <w:tabs>
          <w:tab w:val="clear" w:pos="709"/>
          <w:tab w:val="left" w:pos="0"/>
        </w:tabs>
        <w:spacing w:after="0"/>
      </w:pPr>
      <w:r>
        <w:t xml:space="preserve">Final paper: Ethics and Code Diary. You will write 5 </w:t>
      </w:r>
      <w:proofErr w:type="gramStart"/>
      <w:r>
        <w:t>one page</w:t>
      </w:r>
      <w:proofErr w:type="gramEnd"/>
      <w:r>
        <w:t xml:space="preserve"> entries that identify contemporary examples where theories of ethics and code are relevant and uses the course readings to analyze them. All the texts must be returned by November 25. </w:t>
      </w:r>
    </w:p>
    <w:p w14:paraId="4EDCA669" w14:textId="2852F232" w:rsidR="0047170A" w:rsidRDefault="00000000">
      <w:pPr>
        <w:pStyle w:val="BodyText"/>
        <w:numPr>
          <w:ilvl w:val="0"/>
          <w:numId w:val="2"/>
        </w:numPr>
        <w:tabs>
          <w:tab w:val="clear" w:pos="709"/>
          <w:tab w:val="left" w:pos="0"/>
        </w:tabs>
        <w:spacing w:after="0"/>
      </w:pPr>
      <w:proofErr w:type="spellStart"/>
      <w:r>
        <w:t>Mid term</w:t>
      </w:r>
      <w:proofErr w:type="spellEnd"/>
      <w:r>
        <w:t xml:space="preserve"> Essay. The essay will be connected to a screening shown during week </w:t>
      </w:r>
      <w:proofErr w:type="gramStart"/>
      <w:r w:rsidR="00A32D16">
        <w:t xml:space="preserve">5 </w:t>
      </w:r>
      <w:r>
        <w:t>,</w:t>
      </w:r>
      <w:proofErr w:type="gramEnd"/>
      <w:r>
        <w:t xml:space="preserve"> the readings associated with it, and readings of your choosing. More details will be given closer to the screening. 5 pages + references. </w:t>
      </w:r>
    </w:p>
    <w:p w14:paraId="01E8E317" w14:textId="77777777" w:rsidR="0047170A" w:rsidRDefault="00000000">
      <w:pPr>
        <w:pStyle w:val="BodyText"/>
        <w:numPr>
          <w:ilvl w:val="0"/>
          <w:numId w:val="2"/>
        </w:numPr>
        <w:tabs>
          <w:tab w:val="clear" w:pos="709"/>
          <w:tab w:val="left" w:pos="0"/>
        </w:tabs>
        <w:spacing w:after="0"/>
      </w:pPr>
      <w:r>
        <w:t xml:space="preserve">Written assignments: Font 12pt, line spacing 1.5. Return via Quercus. Participation matters. Coming prepared and having read the materials will help you to participate in the discussions. </w:t>
      </w:r>
    </w:p>
    <w:p w14:paraId="5E5C8DC5" w14:textId="77777777" w:rsidR="0047170A" w:rsidRDefault="00000000">
      <w:pPr>
        <w:pStyle w:val="BodyText"/>
        <w:numPr>
          <w:ilvl w:val="0"/>
          <w:numId w:val="2"/>
        </w:numPr>
        <w:tabs>
          <w:tab w:val="clear" w:pos="709"/>
          <w:tab w:val="left" w:pos="0"/>
        </w:tabs>
        <w:rPr>
          <w:rFonts w:ascii="Arial" w:eastAsia="Arial" w:hAnsi="Arial" w:cs="Arial"/>
          <w:kern w:val="0"/>
          <w:lang w:eastAsia="ja-JP"/>
        </w:rPr>
      </w:pPr>
      <w:r>
        <w:t xml:space="preserve">Active participation in class activities such as participating in discussions, responding to group presentations, and attending the lectures counts. Attending the lectures gets you to 2/5 percent. </w:t>
      </w:r>
    </w:p>
    <w:p w14:paraId="1FB7A30D"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Late Assessment Submissions Policy</w:t>
      </w:r>
    </w:p>
    <w:p w14:paraId="62F6E417" w14:textId="77777777" w:rsidR="0047170A" w:rsidRDefault="00000000">
      <w:pPr>
        <w:pStyle w:val="BodyText"/>
      </w:pPr>
      <w:r>
        <w:lastRenderedPageBreak/>
        <w:t>"You are expected to complete assignments on time. There will be a penalty for lateness of 10% deducted per day and work that is not handed in one week after the due date will not be accepted." </w:t>
      </w:r>
    </w:p>
    <w:p w14:paraId="3499334D" w14:textId="77777777" w:rsidR="0047170A" w:rsidRDefault="00000000">
      <w:pPr>
        <w:keepNext/>
        <w:keepLines/>
        <w:spacing w:before="360" w:after="360"/>
        <w:outlineLvl w:val="1"/>
        <w:rPr>
          <w:rFonts w:ascii="Arial" w:eastAsia="MS PGothic" w:hAnsi="Arial" w:cs="Arial"/>
          <w:b/>
          <w:color w:val="002A5C"/>
          <w:kern w:val="0"/>
          <w:sz w:val="28"/>
          <w:szCs w:val="26"/>
          <w:lang w:eastAsia="ja-JP"/>
        </w:rPr>
      </w:pPr>
      <w:r>
        <w:rPr>
          <w:rFonts w:ascii="Arial" w:eastAsia="MS PGothic" w:hAnsi="Arial" w:cs="Arial"/>
          <w:b/>
          <w:color w:val="002A5C"/>
          <w:kern w:val="0"/>
          <w:sz w:val="28"/>
          <w:szCs w:val="26"/>
          <w:lang w:eastAsia="ja-JP"/>
        </w:rPr>
        <w:t>Course Schedule</w:t>
      </w:r>
    </w:p>
    <w:p w14:paraId="7451EEDB" w14:textId="77777777" w:rsidR="0047170A" w:rsidRDefault="0047170A">
      <w:pPr>
        <w:rPr>
          <w:rFonts w:ascii="Arial" w:eastAsia="Arial" w:hAnsi="Arial" w:cs="Arial"/>
          <w:kern w:val="0"/>
          <w:lang w:eastAsia="ja-JP"/>
        </w:rPr>
      </w:pPr>
    </w:p>
    <w:tbl>
      <w:tblPr>
        <w:tblW w:w="3928" w:type="dxa"/>
        <w:tblLayout w:type="fixed"/>
        <w:tblCellMar>
          <w:top w:w="28" w:type="dxa"/>
          <w:left w:w="28" w:type="dxa"/>
          <w:bottom w:w="28" w:type="dxa"/>
          <w:right w:w="28" w:type="dxa"/>
        </w:tblCellMar>
        <w:tblLook w:val="04A0" w:firstRow="1" w:lastRow="0" w:firstColumn="1" w:lastColumn="0" w:noHBand="0" w:noVBand="1"/>
      </w:tblPr>
      <w:tblGrid>
        <w:gridCol w:w="913"/>
        <w:gridCol w:w="3015"/>
      </w:tblGrid>
      <w:tr w:rsidR="0047170A" w14:paraId="16C23C9D"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06453841" w14:textId="77777777" w:rsidR="0047170A" w:rsidRDefault="00000000">
            <w:pPr>
              <w:pStyle w:val="TableContents"/>
            </w:pPr>
            <w:r>
              <w:rPr>
                <w:rStyle w:val="Strong"/>
              </w:rPr>
              <w:t>Week</w:t>
            </w:r>
          </w:p>
        </w:tc>
        <w:tc>
          <w:tcPr>
            <w:tcW w:w="3015" w:type="dxa"/>
            <w:tcBorders>
              <w:top w:val="single" w:sz="2" w:space="0" w:color="000000"/>
              <w:left w:val="single" w:sz="2" w:space="0" w:color="000000"/>
              <w:bottom w:val="single" w:sz="2" w:space="0" w:color="000000"/>
              <w:right w:val="single" w:sz="2" w:space="0" w:color="000000"/>
            </w:tcBorders>
            <w:vAlign w:val="center"/>
          </w:tcPr>
          <w:p w14:paraId="288BD049" w14:textId="77777777" w:rsidR="0047170A" w:rsidRDefault="00000000">
            <w:pPr>
              <w:pStyle w:val="TableContents"/>
            </w:pPr>
            <w:r>
              <w:rPr>
                <w:rStyle w:val="Strong"/>
              </w:rPr>
              <w:t>Description</w:t>
            </w:r>
          </w:p>
        </w:tc>
      </w:tr>
      <w:tr w:rsidR="0047170A" w14:paraId="29976A52"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349C2070" w14:textId="77777777" w:rsidR="0047170A" w:rsidRDefault="00000000">
            <w:pPr>
              <w:pStyle w:val="TableContents"/>
            </w:pPr>
            <w:r>
              <w:rPr>
                <w:rStyle w:val="Strong"/>
              </w:rPr>
              <w:t>Week 1</w:t>
            </w:r>
          </w:p>
          <w:p w14:paraId="64953483" w14:textId="77777777" w:rsidR="0047170A" w:rsidRDefault="00000000">
            <w:pPr>
              <w:pStyle w:val="TableContents"/>
            </w:pPr>
            <w:r>
              <w:t>8/9</w:t>
            </w:r>
          </w:p>
        </w:tc>
        <w:tc>
          <w:tcPr>
            <w:tcW w:w="3015" w:type="dxa"/>
            <w:tcBorders>
              <w:top w:val="single" w:sz="2" w:space="0" w:color="000000"/>
              <w:left w:val="single" w:sz="2" w:space="0" w:color="000000"/>
              <w:bottom w:val="single" w:sz="2" w:space="0" w:color="000000"/>
              <w:right w:val="single" w:sz="2" w:space="0" w:color="000000"/>
            </w:tcBorders>
            <w:vAlign w:val="center"/>
          </w:tcPr>
          <w:p w14:paraId="4B0C7EE6" w14:textId="77777777" w:rsidR="0047170A" w:rsidRDefault="00000000">
            <w:pPr>
              <w:pStyle w:val="TableContents"/>
            </w:pPr>
            <w:r>
              <w:rPr>
                <w:rStyle w:val="Emphasis"/>
              </w:rPr>
              <w:t>Introduction</w:t>
            </w:r>
          </w:p>
          <w:p w14:paraId="396D1A51" w14:textId="77777777" w:rsidR="0047170A" w:rsidRDefault="0047170A">
            <w:pPr>
              <w:pStyle w:val="TableContents"/>
              <w:rPr>
                <w:rStyle w:val="Emphasis"/>
              </w:rPr>
            </w:pPr>
          </w:p>
        </w:tc>
      </w:tr>
      <w:tr w:rsidR="0047170A" w14:paraId="37C2FADC"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30D69DE9" w14:textId="77777777" w:rsidR="0047170A" w:rsidRDefault="00000000">
            <w:pPr>
              <w:pStyle w:val="TableContents"/>
            </w:pPr>
            <w:r>
              <w:rPr>
                <w:rStyle w:val="Strong"/>
              </w:rPr>
              <w:t>Week 2</w:t>
            </w:r>
          </w:p>
          <w:p w14:paraId="3474D07B" w14:textId="77777777" w:rsidR="0047170A" w:rsidRDefault="00000000">
            <w:pPr>
              <w:pStyle w:val="TableContents"/>
            </w:pPr>
            <w:r>
              <w:t>15/9</w:t>
            </w:r>
          </w:p>
        </w:tc>
        <w:tc>
          <w:tcPr>
            <w:tcW w:w="3015" w:type="dxa"/>
            <w:tcBorders>
              <w:top w:val="single" w:sz="2" w:space="0" w:color="000000"/>
              <w:left w:val="single" w:sz="2" w:space="0" w:color="000000"/>
              <w:bottom w:val="single" w:sz="2" w:space="0" w:color="000000"/>
              <w:right w:val="single" w:sz="2" w:space="0" w:color="000000"/>
            </w:tcBorders>
            <w:vAlign w:val="center"/>
          </w:tcPr>
          <w:p w14:paraId="006EDA8D" w14:textId="77777777" w:rsidR="0047170A" w:rsidRDefault="00000000">
            <w:pPr>
              <w:pStyle w:val="TableContents"/>
            </w:pPr>
            <w:r>
              <w:rPr>
                <w:rStyle w:val="Emphasis"/>
              </w:rPr>
              <w:t> Ethics </w:t>
            </w:r>
            <w:r>
              <w:rPr>
                <w:rStyle w:val="Emphasis"/>
              </w:rPr>
              <w:br/>
              <w:t xml:space="preserve">-readings on </w:t>
            </w:r>
            <w:proofErr w:type="spellStart"/>
            <w:r>
              <w:rPr>
                <w:rStyle w:val="Emphasis"/>
              </w:rPr>
              <w:t>quercus</w:t>
            </w:r>
            <w:proofErr w:type="spellEnd"/>
            <w:r>
              <w:rPr>
                <w:rStyle w:val="Emphasis"/>
              </w:rPr>
              <w:br/>
              <w:t>-group presentations</w:t>
            </w:r>
          </w:p>
        </w:tc>
      </w:tr>
      <w:tr w:rsidR="0047170A" w14:paraId="7FFD4086"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4E1EA722" w14:textId="77777777" w:rsidR="0047170A" w:rsidRDefault="00000000">
            <w:pPr>
              <w:pStyle w:val="TableContents"/>
            </w:pPr>
            <w:r>
              <w:rPr>
                <w:rStyle w:val="Strong"/>
              </w:rPr>
              <w:t>Week 3</w:t>
            </w:r>
          </w:p>
          <w:p w14:paraId="08FEA729" w14:textId="77777777" w:rsidR="0047170A" w:rsidRDefault="00000000">
            <w:pPr>
              <w:pStyle w:val="TableContents"/>
            </w:pPr>
            <w:r>
              <w:t>22/9</w:t>
            </w:r>
          </w:p>
        </w:tc>
        <w:tc>
          <w:tcPr>
            <w:tcW w:w="3015" w:type="dxa"/>
            <w:tcBorders>
              <w:top w:val="single" w:sz="2" w:space="0" w:color="000000"/>
              <w:left w:val="single" w:sz="2" w:space="0" w:color="000000"/>
              <w:bottom w:val="single" w:sz="2" w:space="0" w:color="000000"/>
              <w:right w:val="single" w:sz="2" w:space="0" w:color="000000"/>
            </w:tcBorders>
            <w:vAlign w:val="center"/>
          </w:tcPr>
          <w:p w14:paraId="2C5F8146" w14:textId="77777777" w:rsidR="0047170A" w:rsidRDefault="00000000">
            <w:pPr>
              <w:pStyle w:val="TableContents"/>
            </w:pPr>
            <w:r>
              <w:rPr>
                <w:rStyle w:val="Emphasis"/>
              </w:rPr>
              <w:t>Silicon Valley and Ethics</w:t>
            </w:r>
          </w:p>
          <w:p w14:paraId="66EF28CD" w14:textId="77777777" w:rsidR="0047170A" w:rsidRDefault="00000000">
            <w:pPr>
              <w:pStyle w:val="TableContents"/>
            </w:pPr>
            <w:r>
              <w:rPr>
                <w:rStyle w:val="Emphasis"/>
              </w:rPr>
              <w:t xml:space="preserve">-readings on </w:t>
            </w:r>
            <w:proofErr w:type="spellStart"/>
            <w:r>
              <w:rPr>
                <w:rStyle w:val="Emphasis"/>
              </w:rPr>
              <w:t>quercus</w:t>
            </w:r>
            <w:proofErr w:type="spellEnd"/>
            <w:r>
              <w:rPr>
                <w:rStyle w:val="Emphasis"/>
              </w:rPr>
              <w:br/>
              <w:t>-group presentations</w:t>
            </w:r>
          </w:p>
        </w:tc>
      </w:tr>
      <w:tr w:rsidR="0047170A" w14:paraId="28195B5B"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31A13EC8" w14:textId="77777777" w:rsidR="0047170A" w:rsidRDefault="00000000">
            <w:pPr>
              <w:pStyle w:val="TableContents"/>
            </w:pPr>
            <w:r>
              <w:rPr>
                <w:rStyle w:val="Strong"/>
              </w:rPr>
              <w:t>Week 4</w:t>
            </w:r>
          </w:p>
          <w:p w14:paraId="11F239ED" w14:textId="77777777" w:rsidR="0047170A" w:rsidRDefault="00000000">
            <w:pPr>
              <w:pStyle w:val="TableContents"/>
            </w:pPr>
            <w:r>
              <w:t>29/9</w:t>
            </w:r>
          </w:p>
        </w:tc>
        <w:tc>
          <w:tcPr>
            <w:tcW w:w="3015" w:type="dxa"/>
            <w:tcBorders>
              <w:top w:val="single" w:sz="2" w:space="0" w:color="000000"/>
              <w:left w:val="single" w:sz="2" w:space="0" w:color="000000"/>
              <w:bottom w:val="single" w:sz="2" w:space="0" w:color="000000"/>
              <w:right w:val="single" w:sz="2" w:space="0" w:color="000000"/>
            </w:tcBorders>
            <w:vAlign w:val="center"/>
          </w:tcPr>
          <w:p w14:paraId="14A50694" w14:textId="77777777" w:rsidR="0047170A" w:rsidRDefault="00000000">
            <w:pPr>
              <w:pStyle w:val="TableContents"/>
            </w:pPr>
            <w:r>
              <w:rPr>
                <w:rStyle w:val="Emphasis"/>
              </w:rPr>
              <w:t>Ethics of Profiling</w:t>
            </w:r>
          </w:p>
          <w:p w14:paraId="19FA0833" w14:textId="77777777" w:rsidR="0047170A" w:rsidRDefault="00000000">
            <w:pPr>
              <w:pStyle w:val="TableContents"/>
            </w:pPr>
            <w:r>
              <w:rPr>
                <w:rStyle w:val="Emphasis"/>
              </w:rPr>
              <w:t xml:space="preserve">-readings on </w:t>
            </w:r>
            <w:proofErr w:type="spellStart"/>
            <w:r>
              <w:rPr>
                <w:rStyle w:val="Emphasis"/>
              </w:rPr>
              <w:t>quercus</w:t>
            </w:r>
            <w:proofErr w:type="spellEnd"/>
            <w:r>
              <w:rPr>
                <w:rStyle w:val="Emphasis"/>
              </w:rPr>
              <w:br/>
              <w:t>-group presentations</w:t>
            </w:r>
          </w:p>
        </w:tc>
      </w:tr>
      <w:tr w:rsidR="0047170A" w14:paraId="033B36A8"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6FD268D4" w14:textId="77777777" w:rsidR="0047170A" w:rsidRDefault="00000000">
            <w:pPr>
              <w:pStyle w:val="TableContents"/>
            </w:pPr>
            <w:r>
              <w:rPr>
                <w:rStyle w:val="Strong"/>
              </w:rPr>
              <w:t>Week 5</w:t>
            </w:r>
          </w:p>
          <w:p w14:paraId="760C84C0" w14:textId="77777777" w:rsidR="0047170A" w:rsidRDefault="00000000">
            <w:pPr>
              <w:pStyle w:val="TableContents"/>
            </w:pPr>
            <w:r>
              <w:t>6/10</w:t>
            </w:r>
          </w:p>
        </w:tc>
        <w:tc>
          <w:tcPr>
            <w:tcW w:w="3015" w:type="dxa"/>
            <w:tcBorders>
              <w:top w:val="single" w:sz="2" w:space="0" w:color="000000"/>
              <w:left w:val="single" w:sz="2" w:space="0" w:color="000000"/>
              <w:bottom w:val="single" w:sz="2" w:space="0" w:color="000000"/>
              <w:right w:val="single" w:sz="2" w:space="0" w:color="000000"/>
            </w:tcBorders>
            <w:vAlign w:val="center"/>
          </w:tcPr>
          <w:p w14:paraId="594D9DA1" w14:textId="77777777" w:rsidR="0047170A" w:rsidRDefault="00000000">
            <w:pPr>
              <w:pStyle w:val="TableContents"/>
            </w:pPr>
            <w:r>
              <w:rPr>
                <w:rStyle w:val="Emphasis"/>
              </w:rPr>
              <w:t>Screening (online or in person)</w:t>
            </w:r>
          </w:p>
          <w:p w14:paraId="11A50847" w14:textId="77777777" w:rsidR="0047170A" w:rsidRDefault="00000000">
            <w:pPr>
              <w:pStyle w:val="TableContents"/>
            </w:pPr>
            <w:r>
              <w:rPr>
                <w:rStyle w:val="Emphasis"/>
              </w:rPr>
              <w:t xml:space="preserve">-readings on </w:t>
            </w:r>
            <w:proofErr w:type="spellStart"/>
            <w:r>
              <w:rPr>
                <w:rStyle w:val="Emphasis"/>
              </w:rPr>
              <w:t>quercus</w:t>
            </w:r>
            <w:proofErr w:type="spellEnd"/>
            <w:r>
              <w:rPr>
                <w:rStyle w:val="Emphasis"/>
              </w:rPr>
              <w:br/>
              <w:t>-see mid-term assignment</w:t>
            </w:r>
          </w:p>
        </w:tc>
      </w:tr>
      <w:tr w:rsidR="0047170A" w14:paraId="165A6FA3"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11AC7A9D" w14:textId="77777777" w:rsidR="0047170A" w:rsidRDefault="00000000">
            <w:pPr>
              <w:pStyle w:val="TableContents"/>
            </w:pPr>
            <w:r>
              <w:t>13/10</w:t>
            </w:r>
          </w:p>
        </w:tc>
        <w:tc>
          <w:tcPr>
            <w:tcW w:w="3015" w:type="dxa"/>
            <w:tcBorders>
              <w:top w:val="single" w:sz="2" w:space="0" w:color="000000"/>
              <w:left w:val="single" w:sz="2" w:space="0" w:color="000000"/>
              <w:bottom w:val="single" w:sz="2" w:space="0" w:color="000000"/>
              <w:right w:val="single" w:sz="2" w:space="0" w:color="000000"/>
            </w:tcBorders>
            <w:vAlign w:val="center"/>
          </w:tcPr>
          <w:p w14:paraId="20E899A1" w14:textId="77777777" w:rsidR="0047170A" w:rsidRDefault="00000000">
            <w:pPr>
              <w:pStyle w:val="TableContents"/>
            </w:pPr>
            <w:r>
              <w:rPr>
                <w:rStyle w:val="Emphasis"/>
              </w:rPr>
              <w:t>Thanksgiving no class</w:t>
            </w:r>
          </w:p>
        </w:tc>
      </w:tr>
      <w:tr w:rsidR="0047170A" w14:paraId="2E93C859"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267971E5" w14:textId="77777777" w:rsidR="0047170A" w:rsidRDefault="00000000">
            <w:pPr>
              <w:pStyle w:val="TableContents"/>
            </w:pPr>
            <w:r>
              <w:rPr>
                <w:rStyle w:val="Strong"/>
              </w:rPr>
              <w:t>Week 6</w:t>
            </w:r>
          </w:p>
          <w:p w14:paraId="1C132214" w14:textId="77777777" w:rsidR="0047170A" w:rsidRDefault="00000000">
            <w:pPr>
              <w:pStyle w:val="TableContents"/>
            </w:pPr>
            <w:r>
              <w:t>20/10</w:t>
            </w:r>
          </w:p>
        </w:tc>
        <w:tc>
          <w:tcPr>
            <w:tcW w:w="3015" w:type="dxa"/>
            <w:tcBorders>
              <w:top w:val="single" w:sz="2" w:space="0" w:color="000000"/>
              <w:left w:val="single" w:sz="2" w:space="0" w:color="000000"/>
              <w:bottom w:val="single" w:sz="2" w:space="0" w:color="000000"/>
              <w:right w:val="single" w:sz="2" w:space="0" w:color="000000"/>
            </w:tcBorders>
            <w:vAlign w:val="center"/>
          </w:tcPr>
          <w:p w14:paraId="28B597AE" w14:textId="77777777" w:rsidR="009A63A7" w:rsidRDefault="009A63A7" w:rsidP="009A63A7">
            <w:pPr>
              <w:pStyle w:val="TableContents"/>
            </w:pPr>
            <w:r>
              <w:rPr>
                <w:rStyle w:val="Emphasis"/>
              </w:rPr>
              <w:t>Social Robotics</w:t>
            </w:r>
          </w:p>
          <w:p w14:paraId="250F2279" w14:textId="7E612104" w:rsidR="009A63A7" w:rsidRDefault="009A63A7" w:rsidP="009A63A7">
            <w:pPr>
              <w:pStyle w:val="TableContents"/>
            </w:pPr>
            <w:r>
              <w:rPr>
                <w:rStyle w:val="Emphasis"/>
              </w:rPr>
              <w:t xml:space="preserve">-readings on </w:t>
            </w:r>
            <w:proofErr w:type="spellStart"/>
            <w:r>
              <w:rPr>
                <w:rStyle w:val="Emphasis"/>
              </w:rPr>
              <w:t>quercus</w:t>
            </w:r>
            <w:proofErr w:type="spellEnd"/>
            <w:r>
              <w:rPr>
                <w:rStyle w:val="Emphasis"/>
              </w:rPr>
              <w:br/>
              <w:t>-group presentations</w:t>
            </w:r>
            <w:r>
              <w:rPr>
                <w:rStyle w:val="Emphasis"/>
              </w:rPr>
              <w:t xml:space="preserve"> </w:t>
            </w:r>
          </w:p>
          <w:p w14:paraId="50AA4131" w14:textId="66383DC2" w:rsidR="0047170A" w:rsidRDefault="0047170A">
            <w:pPr>
              <w:pStyle w:val="TableContents"/>
            </w:pPr>
          </w:p>
        </w:tc>
      </w:tr>
      <w:tr w:rsidR="0047170A" w14:paraId="24A213D9"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7679C61C" w14:textId="77777777" w:rsidR="0047170A" w:rsidRDefault="00000000">
            <w:pPr>
              <w:pStyle w:val="TableContents"/>
            </w:pPr>
            <w:r>
              <w:t>27/10</w:t>
            </w:r>
          </w:p>
        </w:tc>
        <w:tc>
          <w:tcPr>
            <w:tcW w:w="3015" w:type="dxa"/>
            <w:tcBorders>
              <w:top w:val="single" w:sz="2" w:space="0" w:color="000000"/>
              <w:left w:val="single" w:sz="2" w:space="0" w:color="000000"/>
              <w:bottom w:val="single" w:sz="2" w:space="0" w:color="000000"/>
              <w:right w:val="single" w:sz="2" w:space="0" w:color="000000"/>
            </w:tcBorders>
            <w:vAlign w:val="center"/>
          </w:tcPr>
          <w:p w14:paraId="38B220D3" w14:textId="77777777" w:rsidR="0047170A" w:rsidRDefault="00000000">
            <w:pPr>
              <w:pStyle w:val="TableContents"/>
            </w:pPr>
            <w:r>
              <w:rPr>
                <w:rStyle w:val="Emphasis"/>
              </w:rPr>
              <w:t xml:space="preserve">Reading </w:t>
            </w:r>
            <w:proofErr w:type="gramStart"/>
            <w:r>
              <w:rPr>
                <w:rStyle w:val="Emphasis"/>
              </w:rPr>
              <w:t>week</w:t>
            </w:r>
            <w:proofErr w:type="gramEnd"/>
            <w:r>
              <w:rPr>
                <w:rStyle w:val="Emphasis"/>
              </w:rPr>
              <w:t xml:space="preserve"> no class</w:t>
            </w:r>
          </w:p>
        </w:tc>
      </w:tr>
      <w:tr w:rsidR="0047170A" w14:paraId="5A8F5F58"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78E03376" w14:textId="77777777" w:rsidR="0047170A" w:rsidRDefault="00000000">
            <w:pPr>
              <w:pStyle w:val="TableContents"/>
            </w:pPr>
            <w:r>
              <w:rPr>
                <w:rStyle w:val="Strong"/>
              </w:rPr>
              <w:t>Week 7</w:t>
            </w:r>
          </w:p>
          <w:p w14:paraId="4C232895" w14:textId="77777777" w:rsidR="0047170A" w:rsidRDefault="00000000">
            <w:pPr>
              <w:pStyle w:val="TableContents"/>
            </w:pPr>
            <w:r>
              <w:t>3/11</w:t>
            </w:r>
          </w:p>
        </w:tc>
        <w:tc>
          <w:tcPr>
            <w:tcW w:w="3015" w:type="dxa"/>
            <w:tcBorders>
              <w:top w:val="single" w:sz="2" w:space="0" w:color="000000"/>
              <w:left w:val="single" w:sz="2" w:space="0" w:color="000000"/>
              <w:bottom w:val="single" w:sz="2" w:space="0" w:color="000000"/>
              <w:right w:val="single" w:sz="2" w:space="0" w:color="000000"/>
            </w:tcBorders>
            <w:vAlign w:val="center"/>
          </w:tcPr>
          <w:p w14:paraId="16CCABB2" w14:textId="77777777" w:rsidR="009A63A7" w:rsidRDefault="009A63A7" w:rsidP="009A63A7">
            <w:pPr>
              <w:pStyle w:val="TableContents"/>
            </w:pPr>
            <w:r>
              <w:rPr>
                <w:rStyle w:val="Emphasis"/>
              </w:rPr>
              <w:t>AI and Ethics</w:t>
            </w:r>
          </w:p>
          <w:p w14:paraId="4453B68F" w14:textId="44E37CD1" w:rsidR="0047170A" w:rsidRDefault="009A63A7" w:rsidP="009A63A7">
            <w:pPr>
              <w:pStyle w:val="TableContents"/>
            </w:pPr>
            <w:r>
              <w:rPr>
                <w:rStyle w:val="Emphasis"/>
              </w:rPr>
              <w:t xml:space="preserve">-readings on </w:t>
            </w:r>
            <w:proofErr w:type="spellStart"/>
            <w:r>
              <w:rPr>
                <w:rStyle w:val="Emphasis"/>
              </w:rPr>
              <w:t>quercus</w:t>
            </w:r>
            <w:proofErr w:type="spellEnd"/>
            <w:r>
              <w:rPr>
                <w:rStyle w:val="Emphasis"/>
              </w:rPr>
              <w:br/>
              <w:t>-group presentations</w:t>
            </w:r>
          </w:p>
        </w:tc>
      </w:tr>
      <w:tr w:rsidR="0047170A" w14:paraId="29CF0F0F"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4949932D" w14:textId="77777777" w:rsidR="0047170A" w:rsidRDefault="00000000">
            <w:pPr>
              <w:pStyle w:val="TableContents"/>
            </w:pPr>
            <w:r>
              <w:rPr>
                <w:rStyle w:val="Strong"/>
              </w:rPr>
              <w:t>Week 8</w:t>
            </w:r>
          </w:p>
          <w:p w14:paraId="26A007E1" w14:textId="77777777" w:rsidR="0047170A" w:rsidRDefault="00000000">
            <w:pPr>
              <w:pStyle w:val="TableContents"/>
            </w:pPr>
            <w:r>
              <w:lastRenderedPageBreak/>
              <w:t>10/11</w:t>
            </w:r>
          </w:p>
        </w:tc>
        <w:tc>
          <w:tcPr>
            <w:tcW w:w="3015" w:type="dxa"/>
            <w:tcBorders>
              <w:top w:val="single" w:sz="2" w:space="0" w:color="000000"/>
              <w:left w:val="single" w:sz="2" w:space="0" w:color="000000"/>
              <w:bottom w:val="single" w:sz="2" w:space="0" w:color="000000"/>
              <w:right w:val="single" w:sz="2" w:space="0" w:color="000000"/>
            </w:tcBorders>
            <w:vAlign w:val="center"/>
          </w:tcPr>
          <w:p w14:paraId="645B171B" w14:textId="77777777" w:rsidR="0047170A" w:rsidRDefault="00000000">
            <w:pPr>
              <w:pStyle w:val="TableContents"/>
            </w:pPr>
            <w:r>
              <w:rPr>
                <w:rStyle w:val="Emphasis"/>
              </w:rPr>
              <w:lastRenderedPageBreak/>
              <w:t>Ethics of digital warfare</w:t>
            </w:r>
          </w:p>
          <w:p w14:paraId="159254E2" w14:textId="77777777" w:rsidR="0047170A" w:rsidRDefault="00000000">
            <w:pPr>
              <w:pStyle w:val="TableContents"/>
            </w:pPr>
            <w:r>
              <w:rPr>
                <w:rStyle w:val="Emphasis"/>
              </w:rPr>
              <w:t xml:space="preserve">-readings on </w:t>
            </w:r>
            <w:proofErr w:type="spellStart"/>
            <w:r>
              <w:rPr>
                <w:rStyle w:val="Emphasis"/>
              </w:rPr>
              <w:t>quercus</w:t>
            </w:r>
            <w:proofErr w:type="spellEnd"/>
            <w:r>
              <w:rPr>
                <w:rStyle w:val="Emphasis"/>
              </w:rPr>
              <w:br/>
            </w:r>
            <w:r>
              <w:rPr>
                <w:rStyle w:val="Emphasis"/>
              </w:rPr>
              <w:lastRenderedPageBreak/>
              <w:t>-group presentations</w:t>
            </w:r>
          </w:p>
        </w:tc>
      </w:tr>
      <w:tr w:rsidR="0047170A" w14:paraId="49C2E229"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07818BB1" w14:textId="77777777" w:rsidR="0047170A" w:rsidRDefault="00000000">
            <w:pPr>
              <w:pStyle w:val="TableContents"/>
            </w:pPr>
            <w:r>
              <w:rPr>
                <w:rStyle w:val="Strong"/>
              </w:rPr>
              <w:lastRenderedPageBreak/>
              <w:t>Week 9</w:t>
            </w:r>
          </w:p>
          <w:p w14:paraId="0FD8C598" w14:textId="77777777" w:rsidR="0047170A" w:rsidRDefault="00000000">
            <w:pPr>
              <w:pStyle w:val="TableContents"/>
            </w:pPr>
            <w:r>
              <w:t>17/11</w:t>
            </w:r>
          </w:p>
        </w:tc>
        <w:tc>
          <w:tcPr>
            <w:tcW w:w="3015" w:type="dxa"/>
            <w:tcBorders>
              <w:top w:val="single" w:sz="2" w:space="0" w:color="000000"/>
              <w:left w:val="single" w:sz="2" w:space="0" w:color="000000"/>
              <w:bottom w:val="single" w:sz="2" w:space="0" w:color="000000"/>
              <w:right w:val="single" w:sz="2" w:space="0" w:color="000000"/>
            </w:tcBorders>
            <w:vAlign w:val="center"/>
          </w:tcPr>
          <w:p w14:paraId="0A2105DB" w14:textId="77777777" w:rsidR="0047170A" w:rsidRDefault="00000000">
            <w:pPr>
              <w:pStyle w:val="TableContents"/>
            </w:pPr>
            <w:r>
              <w:rPr>
                <w:rStyle w:val="Emphasis"/>
              </w:rPr>
              <w:t>Digital Well-being</w:t>
            </w:r>
          </w:p>
          <w:p w14:paraId="2FEA476D" w14:textId="77777777" w:rsidR="0047170A" w:rsidRDefault="00000000">
            <w:pPr>
              <w:pStyle w:val="TableContents"/>
            </w:pPr>
            <w:r>
              <w:rPr>
                <w:rStyle w:val="Emphasis"/>
              </w:rPr>
              <w:t xml:space="preserve">-readings on </w:t>
            </w:r>
            <w:proofErr w:type="spellStart"/>
            <w:r>
              <w:rPr>
                <w:rStyle w:val="Emphasis"/>
              </w:rPr>
              <w:t>quercus</w:t>
            </w:r>
            <w:proofErr w:type="spellEnd"/>
            <w:r>
              <w:rPr>
                <w:rStyle w:val="Emphasis"/>
              </w:rPr>
              <w:br/>
              <w:t>-group presentations</w:t>
            </w:r>
          </w:p>
        </w:tc>
      </w:tr>
      <w:tr w:rsidR="0047170A" w14:paraId="5D7B6101"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546B1643" w14:textId="77777777" w:rsidR="0047170A" w:rsidRDefault="00000000">
            <w:pPr>
              <w:pStyle w:val="TableContents"/>
            </w:pPr>
            <w:r>
              <w:rPr>
                <w:rStyle w:val="Strong"/>
              </w:rPr>
              <w:t>Week 10</w:t>
            </w:r>
          </w:p>
          <w:p w14:paraId="2B41DA3D" w14:textId="77777777" w:rsidR="0047170A" w:rsidRDefault="00000000">
            <w:pPr>
              <w:pStyle w:val="TableContents"/>
            </w:pPr>
            <w:r>
              <w:t>24/11</w:t>
            </w:r>
          </w:p>
        </w:tc>
        <w:tc>
          <w:tcPr>
            <w:tcW w:w="3015" w:type="dxa"/>
            <w:tcBorders>
              <w:top w:val="single" w:sz="2" w:space="0" w:color="000000"/>
              <w:left w:val="single" w:sz="2" w:space="0" w:color="000000"/>
              <w:bottom w:val="single" w:sz="2" w:space="0" w:color="000000"/>
              <w:right w:val="single" w:sz="2" w:space="0" w:color="000000"/>
            </w:tcBorders>
            <w:vAlign w:val="center"/>
          </w:tcPr>
          <w:p w14:paraId="185E1E18" w14:textId="77777777" w:rsidR="0047170A" w:rsidRDefault="00000000">
            <w:pPr>
              <w:pStyle w:val="TableContents"/>
            </w:pPr>
            <w:r>
              <w:rPr>
                <w:rStyle w:val="Emphasis"/>
              </w:rPr>
              <w:t>TBA</w:t>
            </w:r>
          </w:p>
          <w:p w14:paraId="6DB54094" w14:textId="77777777" w:rsidR="0047170A" w:rsidRDefault="00000000">
            <w:pPr>
              <w:pStyle w:val="TableContents"/>
            </w:pPr>
            <w:r>
              <w:rPr>
                <w:rStyle w:val="Emphasis"/>
              </w:rPr>
              <w:t xml:space="preserve">-readings on </w:t>
            </w:r>
            <w:proofErr w:type="spellStart"/>
            <w:r>
              <w:rPr>
                <w:rStyle w:val="Emphasis"/>
              </w:rPr>
              <w:t>quercus</w:t>
            </w:r>
            <w:proofErr w:type="spellEnd"/>
          </w:p>
        </w:tc>
      </w:tr>
      <w:tr w:rsidR="0047170A" w14:paraId="56D7ACC8"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61454B23" w14:textId="77777777" w:rsidR="0047170A" w:rsidRDefault="00000000">
            <w:pPr>
              <w:pStyle w:val="TableContents"/>
            </w:pPr>
            <w:r>
              <w:rPr>
                <w:rStyle w:val="Strong"/>
              </w:rPr>
              <w:t>Week 11</w:t>
            </w:r>
          </w:p>
          <w:p w14:paraId="3A606D82" w14:textId="77777777" w:rsidR="0047170A" w:rsidRDefault="00000000">
            <w:pPr>
              <w:pStyle w:val="TableContents"/>
            </w:pPr>
            <w:r>
              <w:t>1/12</w:t>
            </w:r>
          </w:p>
        </w:tc>
        <w:tc>
          <w:tcPr>
            <w:tcW w:w="3015" w:type="dxa"/>
            <w:tcBorders>
              <w:top w:val="single" w:sz="2" w:space="0" w:color="000000"/>
              <w:left w:val="single" w:sz="2" w:space="0" w:color="000000"/>
              <w:bottom w:val="single" w:sz="2" w:space="0" w:color="000000"/>
              <w:right w:val="single" w:sz="2" w:space="0" w:color="000000"/>
            </w:tcBorders>
            <w:vAlign w:val="center"/>
          </w:tcPr>
          <w:p w14:paraId="2055EE5E" w14:textId="77777777" w:rsidR="0047170A" w:rsidRDefault="00000000">
            <w:pPr>
              <w:pStyle w:val="TableContents"/>
            </w:pPr>
            <w:r>
              <w:rPr>
                <w:rStyle w:val="Emphasis"/>
              </w:rPr>
              <w:t>Bioethics</w:t>
            </w:r>
          </w:p>
          <w:p w14:paraId="1BA65355" w14:textId="77777777" w:rsidR="0047170A" w:rsidRDefault="00000000">
            <w:pPr>
              <w:pStyle w:val="TableContents"/>
            </w:pPr>
            <w:r>
              <w:rPr>
                <w:rStyle w:val="Emphasis"/>
              </w:rPr>
              <w:t xml:space="preserve">-readings on </w:t>
            </w:r>
            <w:proofErr w:type="spellStart"/>
            <w:r>
              <w:rPr>
                <w:rStyle w:val="Emphasis"/>
              </w:rPr>
              <w:t>quercus</w:t>
            </w:r>
            <w:proofErr w:type="spellEnd"/>
            <w:r>
              <w:rPr>
                <w:rStyle w:val="Emphasis"/>
              </w:rPr>
              <w:br/>
              <w:t>-group presentations</w:t>
            </w:r>
          </w:p>
        </w:tc>
      </w:tr>
      <w:tr w:rsidR="0047170A" w14:paraId="7332A77D" w14:textId="77777777">
        <w:tc>
          <w:tcPr>
            <w:tcW w:w="913" w:type="dxa"/>
            <w:tcBorders>
              <w:top w:val="single" w:sz="2" w:space="0" w:color="000000"/>
              <w:left w:val="single" w:sz="2" w:space="0" w:color="000000"/>
              <w:bottom w:val="single" w:sz="2" w:space="0" w:color="000000"/>
              <w:right w:val="single" w:sz="2" w:space="0" w:color="000000"/>
            </w:tcBorders>
            <w:vAlign w:val="center"/>
          </w:tcPr>
          <w:p w14:paraId="2B0C6ABF" w14:textId="77777777" w:rsidR="0047170A" w:rsidRDefault="00000000">
            <w:pPr>
              <w:pStyle w:val="TableContents"/>
            </w:pPr>
            <w:r>
              <w:rPr>
                <w:rStyle w:val="Strong"/>
              </w:rPr>
              <w:t>Week 12</w:t>
            </w:r>
          </w:p>
          <w:p w14:paraId="1667DF0E" w14:textId="77777777" w:rsidR="0047170A" w:rsidRDefault="00000000">
            <w:pPr>
              <w:pStyle w:val="TableContents"/>
            </w:pPr>
            <w:r>
              <w:t>2/12 </w:t>
            </w:r>
          </w:p>
        </w:tc>
        <w:tc>
          <w:tcPr>
            <w:tcW w:w="3015" w:type="dxa"/>
            <w:tcBorders>
              <w:top w:val="single" w:sz="2" w:space="0" w:color="000000"/>
              <w:left w:val="single" w:sz="2" w:space="0" w:color="000000"/>
              <w:bottom w:val="single" w:sz="2" w:space="0" w:color="000000"/>
              <w:right w:val="single" w:sz="2" w:space="0" w:color="000000"/>
            </w:tcBorders>
            <w:vAlign w:val="center"/>
          </w:tcPr>
          <w:p w14:paraId="29E4E25F" w14:textId="77777777" w:rsidR="0047170A" w:rsidRDefault="00000000">
            <w:pPr>
              <w:pStyle w:val="TableContents"/>
            </w:pPr>
            <w:r>
              <w:rPr>
                <w:rStyle w:val="Emphasis"/>
              </w:rPr>
              <w:t>Conclusion: Future Ethics</w:t>
            </w:r>
          </w:p>
          <w:p w14:paraId="4CCD1886" w14:textId="77777777" w:rsidR="0047170A" w:rsidRDefault="00000000">
            <w:pPr>
              <w:pStyle w:val="TableContents"/>
            </w:pPr>
            <w:r>
              <w:rPr>
                <w:rStyle w:val="Emphasis"/>
              </w:rPr>
              <w:t xml:space="preserve">-readings on </w:t>
            </w:r>
            <w:proofErr w:type="spellStart"/>
            <w:r>
              <w:rPr>
                <w:rStyle w:val="Emphasis"/>
              </w:rPr>
              <w:t>quercus</w:t>
            </w:r>
            <w:proofErr w:type="spellEnd"/>
            <w:r>
              <w:rPr>
                <w:rStyle w:val="Emphasis"/>
              </w:rPr>
              <w:br/>
              <w:t>-group presentations (if needed)</w:t>
            </w:r>
          </w:p>
        </w:tc>
      </w:tr>
    </w:tbl>
    <w:p w14:paraId="79506C4E" w14:textId="77777777" w:rsidR="0047170A" w:rsidRDefault="0047170A">
      <w:pPr>
        <w:rPr>
          <w:rFonts w:ascii="Arial" w:eastAsia="Arial" w:hAnsi="Arial" w:cs="Arial"/>
          <w:kern w:val="0"/>
          <w:lang w:eastAsia="ja-JP"/>
        </w:rPr>
      </w:pPr>
    </w:p>
    <w:p w14:paraId="1D57DCF5" w14:textId="77777777" w:rsidR="0047170A" w:rsidRDefault="0047170A">
      <w:pPr>
        <w:rPr>
          <w:rFonts w:ascii="Arial" w:eastAsia="Arial" w:hAnsi="Arial" w:cs="Arial"/>
          <w:kern w:val="0"/>
          <w:lang w:eastAsia="ja-JP"/>
        </w:rPr>
      </w:pPr>
    </w:p>
    <w:p w14:paraId="4EC456C7" w14:textId="77777777" w:rsidR="0047170A" w:rsidRDefault="00000000">
      <w:pPr>
        <w:keepNext/>
        <w:keepLines/>
        <w:spacing w:before="400" w:after="360"/>
        <w:outlineLvl w:val="1"/>
        <w:rPr>
          <w:rFonts w:ascii="Arial" w:eastAsia="Arial" w:hAnsi="Arial" w:cs="Arial"/>
          <w:b/>
          <w:color w:val="262626"/>
          <w:kern w:val="0"/>
          <w:sz w:val="32"/>
          <w:szCs w:val="26"/>
          <w:lang w:eastAsia="ja-JP"/>
        </w:rPr>
      </w:pPr>
      <w:r>
        <w:rPr>
          <w:rFonts w:ascii="Arial" w:eastAsia="MS PGothic" w:hAnsi="Arial" w:cs="Arial"/>
          <w:b/>
          <w:color w:val="002A5C"/>
          <w:kern w:val="0"/>
          <w:sz w:val="28"/>
          <w:szCs w:val="26"/>
          <w:lang w:eastAsia="ja-JP"/>
        </w:rPr>
        <w:t>Policies &amp; Statements</w:t>
      </w:r>
    </w:p>
    <w:p w14:paraId="5D41FDD6"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Academic Integrity</w:t>
      </w:r>
    </w:p>
    <w:p w14:paraId="47B3EA03" w14:textId="77777777" w:rsidR="0047170A" w:rsidRDefault="00000000">
      <w:pPr>
        <w:pStyle w:val="BodyText"/>
      </w:pPr>
      <w:r>
        <w:t>The Code of Behaviour on Academic Matters states that:</w:t>
      </w:r>
      <w:r>
        <w:br/>
      </w:r>
      <w:r>
        <w:br/>
        <w:t>The University and its members have a responsibility to ensure that a climate that might encourage, or conditions that might enable, cheating, misrepresentation, or unfairness is not tolerated. To this end, all must acknowledge that seeking credit or other advantages by fraud or misrepresentation, or seeking to disadvantage others by disruptive behaviour, is unacceptable, as is any dishonesty or unfairness in dealing with the work or record of a student.</w:t>
      </w:r>
      <w:r>
        <w:br/>
      </w:r>
      <w:r>
        <w:br/>
        <w:t>It is your responsibility as a student at the University of Toronto to familiarize yourself with, and adhere to, both the Code of Student Conduct and the Code of Behaviour on Academic Matters.</w:t>
      </w:r>
      <w:r>
        <w:br/>
        <w:t>This means, first and foremost, that you should read them carefully.</w:t>
      </w:r>
      <w:r>
        <w:br/>
      </w:r>
      <w:r>
        <w:br/>
      </w:r>
      <w:hyperlink r:id="rId8" w:tgtFrame="_blank">
        <w:r w:rsidR="0047170A">
          <w:rPr>
            <w:rStyle w:val="Hyperlink"/>
          </w:rPr>
          <w:t>Code of Student Conduct</w:t>
        </w:r>
      </w:hyperlink>
      <w:r>
        <w:t xml:space="preserve"> and the </w:t>
      </w:r>
      <w:hyperlink r:id="rId9" w:tgtFrame="_blank">
        <w:r w:rsidR="0047170A">
          <w:rPr>
            <w:rStyle w:val="Hyperlink"/>
          </w:rPr>
          <w:t>Code of Behaviour on Academic Matters</w:t>
        </w:r>
      </w:hyperlink>
      <w:r>
        <w:t xml:space="preserve"> are available from the U of T website.</w:t>
      </w:r>
    </w:p>
    <w:p w14:paraId="5C2544D0"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Religious Accommodations</w:t>
      </w:r>
    </w:p>
    <w:p w14:paraId="1CCDC398" w14:textId="77777777" w:rsidR="0047170A" w:rsidRDefault="00000000">
      <w:pPr>
        <w:pStyle w:val="BodyText"/>
      </w:pPr>
      <w:r>
        <w:lastRenderedPageBreak/>
        <w:t xml:space="preserve">Information about the University's Policy on Scheduling of Classes and Examinations and Other Accommodations for Religious Observances is at </w:t>
      </w:r>
      <w:hyperlink r:id="rId10" w:tgtFrame="_blank">
        <w:r w:rsidR="0047170A">
          <w:rPr>
            <w:rStyle w:val="Hyperlink"/>
          </w:rPr>
          <w:t>https://www.viceprovoststudents.utoronto.ca/student-resources/rights-responsibilities/accommodation-religious/</w:t>
        </w:r>
      </w:hyperlink>
    </w:p>
    <w:p w14:paraId="1CD56481"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Declaration of Temporary Absence</w:t>
      </w:r>
    </w:p>
    <w:p w14:paraId="417D6AE0" w14:textId="77777777" w:rsidR="0047170A" w:rsidRDefault="00000000">
      <w:pPr>
        <w:pStyle w:val="BodyText"/>
      </w:pPr>
      <w:r>
        <w:t>Students who miss an academic obligation during the term (i.e., in-class assessment, quiz, paper or lab report) may use the ACORN Absence Declaration Tool to record an absence in one or more courses. Students may utilize this option once per term for a single absence period of up to seven consecutive days. The declaration period must include the day of declaration and may include past and/or future dates, for a total of up to 7 calendar days.</w:t>
      </w:r>
      <w:r>
        <w:br/>
      </w:r>
      <w:r>
        <w:br/>
        <w:t>Use of the ACORN Absence Declaration does not require supporting documentation and should be used in addition to the missed term work policy outlined in the course syllabus. It remains the student’s responsibility to initiate the process for missed academic obligations by following the instructions in the course syllabus.</w:t>
      </w:r>
    </w:p>
    <w:p w14:paraId="0379EE31"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Re-grading Term Work</w:t>
      </w:r>
    </w:p>
    <w:p w14:paraId="77B386F8" w14:textId="77777777" w:rsidR="0047170A" w:rsidRDefault="00000000">
      <w:pPr>
        <w:pStyle w:val="BodyText"/>
      </w:pPr>
      <w:r>
        <w:t xml:space="preserve">A student who believes that their written term work has been unfairly marked may ask the person who marked the work for re-evaluation. Students have up to one month from the date of return of an item of term work to inquire about the mark. If the student is not satisfied with this re-evaluation, they may appeal to the instructor in charge of the course if the work was not marked by the instructor (e.g., was marked by a TA). Such re-marking may involve the entire piece of work and may raise or lower the mark. For more information on policies regarding re-marking of term work, please refer to </w:t>
      </w:r>
      <w:hyperlink r:id="rId11" w:tgtFrame="_blank">
        <w:r w:rsidR="0047170A">
          <w:rPr>
            <w:rStyle w:val="Hyperlink"/>
          </w:rPr>
          <w:t>Re-marking Pieces of Term Work in the Academic Calendar</w:t>
        </w:r>
      </w:hyperlink>
      <w:r>
        <w:t>.</w:t>
      </w:r>
    </w:p>
    <w:p w14:paraId="3D4DC8A3"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Accommodation for Missed Tests and Late Assignments</w:t>
      </w:r>
    </w:p>
    <w:p w14:paraId="6C16E84F" w14:textId="77777777" w:rsidR="0047170A" w:rsidRDefault="00000000">
      <w:pPr>
        <w:pStyle w:val="BodyText"/>
      </w:pPr>
      <w:r>
        <w:rPr>
          <w:rStyle w:val="Strong"/>
          <w:b w:val="0"/>
        </w:rPr>
        <w:t xml:space="preserve">Accommodation for Missed Tests and Late Assignments </w:t>
      </w:r>
    </w:p>
    <w:p w14:paraId="45DB0966" w14:textId="77777777" w:rsidR="0047170A" w:rsidRDefault="00000000">
      <w:pPr>
        <w:pStyle w:val="BodyText"/>
      </w:pPr>
      <w:r>
        <w:rPr>
          <w:rStyle w:val="Strong"/>
          <w:b w:val="0"/>
        </w:rPr>
        <w:t xml:space="preserve">Students must use the new </w:t>
      </w:r>
      <w:hyperlink r:id="rId12">
        <w:r w:rsidR="0047170A">
          <w:rPr>
            <w:rStyle w:val="Hyperlink"/>
            <w:bCs/>
          </w:rPr>
          <w:t>UTM Special Consideration Request [Pilot] application</w:t>
        </w:r>
      </w:hyperlink>
      <w:r>
        <w:rPr>
          <w:rStyle w:val="Strong"/>
          <w:b w:val="0"/>
        </w:rPr>
        <w:t xml:space="preserve"> for all ICCIT courses. </w:t>
      </w:r>
    </w:p>
    <w:p w14:paraId="7F045AB4" w14:textId="77777777" w:rsidR="0047170A" w:rsidRDefault="00000000">
      <w:pPr>
        <w:pStyle w:val="BodyText"/>
      </w:pPr>
      <w:r>
        <w:t xml:space="preserve">Students in </w:t>
      </w:r>
      <w:r>
        <w:rPr>
          <w:rStyle w:val="Strong"/>
          <w:b w:val="0"/>
        </w:rPr>
        <w:t>CCT109H5, CCT110H5, CCT111H5, CCT112H5 and CCT208H5</w:t>
      </w:r>
      <w:r>
        <w:t xml:space="preserve"> should always follow the Special Consideration Request (SCR) process outlined below. Students in other classes should follow the process below only if they are seeking accommodation for tests or assignments worth 20% or more of the final grade. Students in other classes seeking accommodation for tests or assignments worth less than 20% should contact their instructors directly.</w:t>
      </w:r>
    </w:p>
    <w:p w14:paraId="6518A49F" w14:textId="77777777" w:rsidR="0047170A" w:rsidRDefault="00000000">
      <w:pPr>
        <w:pStyle w:val="BodyText"/>
      </w:pPr>
      <w:r>
        <w:t xml:space="preserve"> Reasons for special consideration could </w:t>
      </w:r>
      <w:r>
        <w:rPr>
          <w:rStyle w:val="Strong"/>
          <w:b w:val="0"/>
        </w:rPr>
        <w:t>include:</w:t>
      </w:r>
    </w:p>
    <w:p w14:paraId="7D7063EA" w14:textId="77777777" w:rsidR="0047170A" w:rsidRDefault="00000000">
      <w:pPr>
        <w:pStyle w:val="BodyText"/>
        <w:numPr>
          <w:ilvl w:val="0"/>
          <w:numId w:val="3"/>
        </w:numPr>
        <w:tabs>
          <w:tab w:val="clear" w:pos="709"/>
          <w:tab w:val="left" w:pos="0"/>
        </w:tabs>
        <w:spacing w:after="0"/>
      </w:pPr>
      <w:r>
        <w:t xml:space="preserve">Accident </w:t>
      </w:r>
    </w:p>
    <w:p w14:paraId="5BB60762" w14:textId="77777777" w:rsidR="0047170A" w:rsidRDefault="00000000">
      <w:pPr>
        <w:pStyle w:val="BodyText"/>
        <w:numPr>
          <w:ilvl w:val="0"/>
          <w:numId w:val="3"/>
        </w:numPr>
        <w:tabs>
          <w:tab w:val="clear" w:pos="709"/>
          <w:tab w:val="left" w:pos="0"/>
        </w:tabs>
        <w:spacing w:after="0"/>
      </w:pPr>
      <w:r>
        <w:t xml:space="preserve">Illness </w:t>
      </w:r>
    </w:p>
    <w:p w14:paraId="714632B5" w14:textId="77777777" w:rsidR="0047170A" w:rsidRDefault="00000000">
      <w:pPr>
        <w:pStyle w:val="BodyText"/>
        <w:numPr>
          <w:ilvl w:val="0"/>
          <w:numId w:val="3"/>
        </w:numPr>
        <w:tabs>
          <w:tab w:val="clear" w:pos="709"/>
          <w:tab w:val="left" w:pos="0"/>
        </w:tabs>
        <w:spacing w:after="0"/>
      </w:pPr>
      <w:r>
        <w:t xml:space="preserve">Emergency procedure </w:t>
      </w:r>
    </w:p>
    <w:p w14:paraId="2D14507A" w14:textId="77777777" w:rsidR="0047170A" w:rsidRDefault="00000000">
      <w:pPr>
        <w:pStyle w:val="BodyText"/>
        <w:numPr>
          <w:ilvl w:val="0"/>
          <w:numId w:val="3"/>
        </w:numPr>
        <w:tabs>
          <w:tab w:val="clear" w:pos="709"/>
          <w:tab w:val="left" w:pos="0"/>
        </w:tabs>
        <w:spacing w:after="0"/>
      </w:pPr>
      <w:r>
        <w:t xml:space="preserve">Bereavement </w:t>
      </w:r>
    </w:p>
    <w:p w14:paraId="7F60226C" w14:textId="77777777" w:rsidR="0047170A" w:rsidRDefault="00000000">
      <w:pPr>
        <w:pStyle w:val="BodyText"/>
        <w:numPr>
          <w:ilvl w:val="0"/>
          <w:numId w:val="3"/>
        </w:numPr>
        <w:tabs>
          <w:tab w:val="clear" w:pos="709"/>
          <w:tab w:val="left" w:pos="0"/>
        </w:tabs>
        <w:spacing w:after="0"/>
      </w:pPr>
      <w:r>
        <w:t xml:space="preserve">University-sponsored athletics/competitions </w:t>
      </w:r>
    </w:p>
    <w:p w14:paraId="26157BBA" w14:textId="77777777" w:rsidR="0047170A" w:rsidRDefault="00000000">
      <w:pPr>
        <w:pStyle w:val="BodyText"/>
        <w:numPr>
          <w:ilvl w:val="0"/>
          <w:numId w:val="3"/>
        </w:numPr>
        <w:tabs>
          <w:tab w:val="clear" w:pos="709"/>
          <w:tab w:val="left" w:pos="0"/>
        </w:tabs>
        <w:spacing w:after="0"/>
      </w:pPr>
      <w:r>
        <w:t xml:space="preserve">Compulsory legal duties e.g. (jury duty) </w:t>
      </w:r>
    </w:p>
    <w:p w14:paraId="21385707" w14:textId="77777777" w:rsidR="0047170A" w:rsidRDefault="00000000">
      <w:pPr>
        <w:pStyle w:val="BodyText"/>
        <w:numPr>
          <w:ilvl w:val="0"/>
          <w:numId w:val="3"/>
        </w:numPr>
        <w:tabs>
          <w:tab w:val="clear" w:pos="709"/>
          <w:tab w:val="left" w:pos="0"/>
        </w:tabs>
        <w:spacing w:after="0"/>
      </w:pPr>
      <w:r>
        <w:lastRenderedPageBreak/>
        <w:t xml:space="preserve">Religious accommodations </w:t>
      </w:r>
    </w:p>
    <w:p w14:paraId="096F73D3" w14:textId="77777777" w:rsidR="0047170A" w:rsidRDefault="00000000">
      <w:pPr>
        <w:pStyle w:val="BodyText"/>
        <w:numPr>
          <w:ilvl w:val="0"/>
          <w:numId w:val="3"/>
        </w:numPr>
        <w:tabs>
          <w:tab w:val="clear" w:pos="709"/>
          <w:tab w:val="left" w:pos="0"/>
        </w:tabs>
      </w:pPr>
      <w:r>
        <w:t xml:space="preserve">Disability accommodations </w:t>
      </w:r>
    </w:p>
    <w:p w14:paraId="13BB15AF" w14:textId="77777777" w:rsidR="0047170A" w:rsidRDefault="00000000">
      <w:pPr>
        <w:pStyle w:val="BodyText"/>
      </w:pPr>
      <w:r>
        <w:t xml:space="preserve">Reasons for special consideration </w:t>
      </w:r>
      <w:r>
        <w:rPr>
          <w:rStyle w:val="Strong"/>
          <w:b w:val="0"/>
        </w:rPr>
        <w:t>do not include*:</w:t>
      </w:r>
    </w:p>
    <w:p w14:paraId="0B3B9E9D" w14:textId="77777777" w:rsidR="0047170A" w:rsidRDefault="00000000">
      <w:pPr>
        <w:pStyle w:val="BodyText"/>
        <w:numPr>
          <w:ilvl w:val="0"/>
          <w:numId w:val="4"/>
        </w:numPr>
        <w:tabs>
          <w:tab w:val="clear" w:pos="709"/>
          <w:tab w:val="left" w:pos="0"/>
        </w:tabs>
        <w:spacing w:after="0"/>
      </w:pPr>
      <w:r>
        <w:t xml:space="preserve">Pre-planned vacations or social commitments </w:t>
      </w:r>
    </w:p>
    <w:p w14:paraId="09409DD1" w14:textId="77777777" w:rsidR="0047170A" w:rsidRDefault="00000000">
      <w:pPr>
        <w:pStyle w:val="BodyText"/>
        <w:numPr>
          <w:ilvl w:val="0"/>
          <w:numId w:val="4"/>
        </w:numPr>
        <w:tabs>
          <w:tab w:val="clear" w:pos="709"/>
          <w:tab w:val="left" w:pos="0"/>
        </w:tabs>
        <w:spacing w:after="0"/>
      </w:pPr>
      <w:r>
        <w:t xml:space="preserve">Transportation delays </w:t>
      </w:r>
    </w:p>
    <w:p w14:paraId="0EF317EC" w14:textId="77777777" w:rsidR="0047170A" w:rsidRDefault="00000000">
      <w:pPr>
        <w:pStyle w:val="BodyText"/>
        <w:numPr>
          <w:ilvl w:val="0"/>
          <w:numId w:val="4"/>
        </w:numPr>
        <w:tabs>
          <w:tab w:val="clear" w:pos="709"/>
          <w:tab w:val="left" w:pos="0"/>
        </w:tabs>
        <w:spacing w:after="0"/>
      </w:pPr>
      <w:r>
        <w:t xml:space="preserve">Technology malfunctions </w:t>
      </w:r>
    </w:p>
    <w:p w14:paraId="1EE966AB" w14:textId="77777777" w:rsidR="0047170A" w:rsidRDefault="00000000">
      <w:pPr>
        <w:pStyle w:val="BodyText"/>
        <w:numPr>
          <w:ilvl w:val="0"/>
          <w:numId w:val="4"/>
        </w:numPr>
        <w:tabs>
          <w:tab w:val="clear" w:pos="709"/>
          <w:tab w:val="left" w:pos="0"/>
        </w:tabs>
        <w:spacing w:after="0"/>
      </w:pPr>
      <w:r>
        <w:t xml:space="preserve">Time management, course loads Course conflicts, </w:t>
      </w:r>
      <w:proofErr w:type="gramStart"/>
      <w:r>
        <w:t>team work</w:t>
      </w:r>
      <w:proofErr w:type="gramEnd"/>
      <w:r>
        <w:t xml:space="preserve"> conflicts </w:t>
      </w:r>
    </w:p>
    <w:p w14:paraId="7B146EDB" w14:textId="77777777" w:rsidR="0047170A" w:rsidRDefault="00000000">
      <w:pPr>
        <w:pStyle w:val="BodyText"/>
        <w:numPr>
          <w:ilvl w:val="0"/>
          <w:numId w:val="4"/>
        </w:numPr>
        <w:tabs>
          <w:tab w:val="clear" w:pos="709"/>
          <w:tab w:val="left" w:pos="0"/>
        </w:tabs>
        <w:spacing w:after="0"/>
      </w:pPr>
      <w:r>
        <w:t xml:space="preserve">Misreading a deadline/timetable </w:t>
      </w:r>
    </w:p>
    <w:p w14:paraId="59EDC55D" w14:textId="77777777" w:rsidR="0047170A" w:rsidRDefault="00000000">
      <w:pPr>
        <w:pStyle w:val="BodyText"/>
        <w:numPr>
          <w:ilvl w:val="0"/>
          <w:numId w:val="4"/>
        </w:numPr>
        <w:tabs>
          <w:tab w:val="clear" w:pos="709"/>
          <w:tab w:val="left" w:pos="0"/>
        </w:tabs>
        <w:spacing w:after="0"/>
      </w:pPr>
      <w:r>
        <w:t xml:space="preserve">Late course enrolment </w:t>
      </w:r>
    </w:p>
    <w:p w14:paraId="11B959BA" w14:textId="77777777" w:rsidR="0047170A" w:rsidRDefault="00000000">
      <w:pPr>
        <w:pStyle w:val="BodyText"/>
        <w:numPr>
          <w:ilvl w:val="0"/>
          <w:numId w:val="4"/>
        </w:numPr>
        <w:tabs>
          <w:tab w:val="clear" w:pos="709"/>
          <w:tab w:val="left" w:pos="0"/>
        </w:tabs>
      </w:pPr>
      <w:r>
        <w:t xml:space="preserve">Scheduled elective medical appointments </w:t>
      </w:r>
    </w:p>
    <w:p w14:paraId="0EB3FF5A" w14:textId="77777777" w:rsidR="0047170A" w:rsidRDefault="00000000">
      <w:pPr>
        <w:pStyle w:val="BodyText"/>
      </w:pPr>
      <w:r>
        <w:t>* For these situations, refer to your course syllabus and speak directly with your instructor.</w:t>
      </w:r>
    </w:p>
    <w:p w14:paraId="2A57DDD0" w14:textId="77777777" w:rsidR="0047170A" w:rsidRDefault="00000000">
      <w:pPr>
        <w:pStyle w:val="BodyText"/>
      </w:pPr>
      <w:r>
        <w:t xml:space="preserve">You have </w:t>
      </w:r>
      <w:r>
        <w:rPr>
          <w:rStyle w:val="Strong"/>
          <w:b w:val="0"/>
        </w:rPr>
        <w:t>three days or 72 Hours (including weekends</w:t>
      </w:r>
      <w:r>
        <w:t xml:space="preserve">) from the assignment deadline or date of the missed test/quiz to </w:t>
      </w:r>
      <w:r>
        <w:rPr>
          <w:rStyle w:val="Strong"/>
          <w:b w:val="0"/>
        </w:rPr>
        <w:t xml:space="preserve">complete the SCR process in full. </w:t>
      </w:r>
    </w:p>
    <w:p w14:paraId="07E53E4C" w14:textId="77777777" w:rsidR="0047170A" w:rsidRDefault="00000000">
      <w:pPr>
        <w:pStyle w:val="BodyText"/>
      </w:pPr>
      <w:r>
        <w:t>The first time in the semester that you are seeking accommodation, please complete the following steps:</w:t>
      </w:r>
    </w:p>
    <w:p w14:paraId="009392E6" w14:textId="77777777" w:rsidR="0047170A" w:rsidRDefault="00000000">
      <w:pPr>
        <w:pStyle w:val="BodyText"/>
        <w:numPr>
          <w:ilvl w:val="0"/>
          <w:numId w:val="5"/>
        </w:numPr>
        <w:tabs>
          <w:tab w:val="clear" w:pos="709"/>
          <w:tab w:val="left" w:pos="0"/>
        </w:tabs>
        <w:spacing w:after="0"/>
      </w:pPr>
      <w:r>
        <w:t xml:space="preserve">Login to </w:t>
      </w:r>
      <w:hyperlink r:id="rId13">
        <w:r w:rsidR="0047170A">
          <w:rPr>
            <w:rStyle w:val="Hyperlink"/>
          </w:rPr>
          <w:t>ACORN</w:t>
        </w:r>
      </w:hyperlink>
      <w:r>
        <w:t xml:space="preserve">, and click on Profile &amp; Settings from the left-hand menu. </w:t>
      </w:r>
    </w:p>
    <w:p w14:paraId="38773841" w14:textId="77777777" w:rsidR="0047170A" w:rsidRDefault="00000000">
      <w:pPr>
        <w:pStyle w:val="BodyText"/>
        <w:numPr>
          <w:ilvl w:val="0"/>
          <w:numId w:val="5"/>
        </w:numPr>
        <w:tabs>
          <w:tab w:val="clear" w:pos="709"/>
          <w:tab w:val="left" w:pos="0"/>
        </w:tabs>
        <w:spacing w:after="0"/>
      </w:pPr>
      <w:r>
        <w:t xml:space="preserve">Click on Absence Declaration </w:t>
      </w:r>
    </w:p>
    <w:p w14:paraId="50B5E004" w14:textId="77777777" w:rsidR="0047170A" w:rsidRDefault="00000000">
      <w:pPr>
        <w:pStyle w:val="BodyText"/>
        <w:numPr>
          <w:ilvl w:val="0"/>
          <w:numId w:val="5"/>
        </w:numPr>
        <w:tabs>
          <w:tab w:val="clear" w:pos="709"/>
          <w:tab w:val="left" w:pos="0"/>
        </w:tabs>
        <w:spacing w:after="0"/>
      </w:pPr>
      <w:r>
        <w:t xml:space="preserve">Record each day that you are absent – as soon as it begins up until the day you return to campus for classes or other activities. </w:t>
      </w:r>
    </w:p>
    <w:p w14:paraId="6C5FECEA" w14:textId="77777777" w:rsidR="0047170A" w:rsidRDefault="00000000">
      <w:pPr>
        <w:pStyle w:val="BodyText"/>
        <w:numPr>
          <w:ilvl w:val="0"/>
          <w:numId w:val="5"/>
        </w:numPr>
        <w:tabs>
          <w:tab w:val="clear" w:pos="709"/>
          <w:tab w:val="left" w:pos="0"/>
        </w:tabs>
      </w:pPr>
      <w:r>
        <w:t xml:space="preserve">Login to the </w:t>
      </w:r>
      <w:hyperlink r:id="rId14">
        <w:r w:rsidR="0047170A">
          <w:rPr>
            <w:rStyle w:val="Hyperlink"/>
          </w:rPr>
          <w:t>UTM Special Consideration Request [Pilot] application system</w:t>
        </w:r>
      </w:hyperlink>
      <w:r>
        <w:t xml:space="preserve"> and complete the required steps. Documentation is not required. </w:t>
      </w:r>
    </w:p>
    <w:p w14:paraId="3710C9B0" w14:textId="77777777" w:rsidR="0047170A" w:rsidRDefault="00000000">
      <w:pPr>
        <w:pStyle w:val="BodyText"/>
      </w:pPr>
      <w:r>
        <w:t xml:space="preserve">For all subsequent times that you require an accommodation, you should only login to the </w:t>
      </w:r>
      <w:hyperlink r:id="rId15">
        <w:r w:rsidR="0047170A">
          <w:rPr>
            <w:rStyle w:val="Hyperlink"/>
          </w:rPr>
          <w:t>UTM Special Consideration Request [Pilot] application system</w:t>
        </w:r>
      </w:hyperlink>
      <w:r>
        <w:t xml:space="preserve"> and complete the required steps. Documentation is not </w:t>
      </w:r>
      <w:proofErr w:type="gramStart"/>
      <w:r>
        <w:t>required,</w:t>
      </w:r>
      <w:proofErr w:type="gramEnd"/>
      <w:r>
        <w:t xml:space="preserve"> however, it may be requested after the SCR has been reviewed. On your SCR form, please attach a screenshot from Quercus showing the assessment title and deadline. This will help us process your SCR accurately and avoid any misunderstandings.</w:t>
      </w:r>
    </w:p>
    <w:p w14:paraId="1A16485F" w14:textId="77777777" w:rsidR="0047170A" w:rsidRDefault="00000000">
      <w:pPr>
        <w:pStyle w:val="BodyText"/>
      </w:pPr>
      <w:r>
        <w:t xml:space="preserve">Important note about missed makeup tests: As stated in the </w:t>
      </w:r>
      <w:hyperlink r:id="rId16">
        <w:r w:rsidR="0047170A">
          <w:rPr>
            <w:rStyle w:val="Hyperlink"/>
          </w:rPr>
          <w:t>Academic Calendar</w:t>
        </w:r>
      </w:hyperlink>
      <w:r>
        <w:t>, "If the student is granted permission to take a makeup test and misses it, then they are assigned a mark of zero for the test unless the instructor is satisfied that missing the makeup test was unavoidable. Students are not automatically entitled to a second makeup test."</w:t>
      </w:r>
    </w:p>
    <w:p w14:paraId="63E31969" w14:textId="77777777" w:rsidR="0047170A" w:rsidRDefault="00000000">
      <w:pPr>
        <w:pStyle w:val="BodyText"/>
      </w:pPr>
      <w:r>
        <w:t>If you are registered with Accessibility Services, and the reason for missing a test or a deadline pertains to a disability, you are still required to submit an SCR at the link above. In such cases, the department will accept documentation supplied by Accessibility Services. If you require further information, please speak with your Accessibility Services advisor.</w:t>
      </w:r>
    </w:p>
    <w:p w14:paraId="1A52B421" w14:textId="77777777" w:rsidR="0047170A" w:rsidRDefault="00000000">
      <w:pPr>
        <w:pStyle w:val="BodyText"/>
      </w:pPr>
      <w:r>
        <w:t xml:space="preserve">Further details regarding SCR policy are available here: </w:t>
      </w:r>
      <w:hyperlink r:id="rId17">
        <w:r w:rsidR="0047170A">
          <w:rPr>
            <w:rStyle w:val="Hyperlink"/>
          </w:rPr>
          <w:t>https://www.utm.utoronto.ca/iccit/students/student-resources/policies-procedures/special-consideration-requests-scr-late-assignments</w:t>
        </w:r>
      </w:hyperlink>
    </w:p>
    <w:p w14:paraId="71D50770"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Accommodations for Students with Disabilities</w:t>
      </w:r>
    </w:p>
    <w:p w14:paraId="148B4F66" w14:textId="77777777" w:rsidR="0047170A" w:rsidRDefault="00000000">
      <w:pPr>
        <w:pStyle w:val="BodyText"/>
      </w:pPr>
      <w:r>
        <w:lastRenderedPageBreak/>
        <w:t xml:space="preserve">Students with diverse learning styles and needs are welcome in this course. </w:t>
      </w:r>
      <w:proofErr w:type="gramStart"/>
      <w:r>
        <w:t>In particular, if</w:t>
      </w:r>
      <w:proofErr w:type="gramEnd"/>
      <w:r>
        <w:t xml:space="preserve"> you have a disability/health consideration that may require accommodations, please feel free to approach me and/or Accessibility Services as soon as possible. Accessibility staff (located in room 2240, Student Services Hub, Davis Building) are available by appointment to assess specific needs, provide referrals, and arrange appropriate accommodations. Please call 905-569-4699 or email </w:t>
      </w:r>
      <w:hyperlink r:id="rId18" w:tgtFrame="_blank">
        <w:r w:rsidR="0047170A">
          <w:rPr>
            <w:rStyle w:val="Hyperlink"/>
          </w:rPr>
          <w:t>access.utm@utoronto.ca</w:t>
        </w:r>
      </w:hyperlink>
      <w:r>
        <w:t>. The sooner you let us know your needs the quicker we can assist you in achieving your learning goals in this course.</w:t>
      </w:r>
    </w:p>
    <w:p w14:paraId="3F71AB56"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Code of Student Conduct</w:t>
      </w:r>
    </w:p>
    <w:p w14:paraId="06C6CD53" w14:textId="77777777" w:rsidR="0047170A" w:rsidRDefault="00000000">
      <w:pPr>
        <w:pStyle w:val="BodyText"/>
      </w:pPr>
      <w:r>
        <w:t>All students are expected to adhere to the Code of Student Conduct (</w:t>
      </w:r>
      <w:hyperlink r:id="rId19" w:tgtFrame="_blank">
        <w:r w:rsidR="0047170A">
          <w:rPr>
            <w:rStyle w:val="Hyperlink"/>
          </w:rPr>
          <w:t>Code of Student Conduct [December 13, 2019] | The Office of the Governing Council, Secretariat</w:t>
        </w:r>
      </w:hyperlink>
      <w:r>
        <w:t>).</w:t>
      </w:r>
    </w:p>
    <w:p w14:paraId="13BF9CC8"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Robert Gillespie Academic Skills Centre (RGASC)</w:t>
      </w:r>
    </w:p>
    <w:p w14:paraId="38EE5DE7" w14:textId="77777777" w:rsidR="0047170A" w:rsidRDefault="00000000">
      <w:pPr>
        <w:pStyle w:val="BodyText"/>
      </w:pPr>
      <w:r>
        <w:t xml:space="preserve">The Robert Gillespie Academic Skills (RGASC) supports undergraduate and graduate students in their academic skill development (e.g., writing, note taking, time management, study planning, mathematics and numeracy, research). We offer a range of supports, including individual appointments, workshops, and programs (many CCR-accredited). Our programs are designed to help students identify and develop the academic skills they need for success in their studies. The RGASC </w:t>
      </w:r>
      <w:proofErr w:type="gramStart"/>
      <w:r>
        <w:t>is located in</w:t>
      </w:r>
      <w:proofErr w:type="gramEnd"/>
      <w:r>
        <w:t xml:space="preserve"> MN3251 (3rd floor, </w:t>
      </w:r>
      <w:proofErr w:type="spellStart"/>
      <w:r>
        <w:t>Maanjiwe</w:t>
      </w:r>
      <w:proofErr w:type="spellEnd"/>
      <w:r>
        <w:t xml:space="preserve"> </w:t>
      </w:r>
      <w:proofErr w:type="spellStart"/>
      <w:r>
        <w:t>nendamowinan</w:t>
      </w:r>
      <w:proofErr w:type="spellEnd"/>
      <w:r>
        <w:t xml:space="preserve"> building). Explore the RGASC's online resources, book an appointment, and register for one of our programs at </w:t>
      </w:r>
      <w:hyperlink r:id="rId20" w:tgtFrame="_blank">
        <w:r w:rsidR="0047170A">
          <w:rPr>
            <w:rStyle w:val="Hyperlink"/>
          </w:rPr>
          <w:t>https://www.utm.utoronto.ca/rgasc/</w:t>
        </w:r>
      </w:hyperlink>
      <w:r>
        <w:t>.</w:t>
      </w:r>
    </w:p>
    <w:p w14:paraId="2B953811" w14:textId="77777777" w:rsidR="0047170A" w:rsidRDefault="00000000">
      <w:pPr>
        <w:spacing w:before="280" w:after="120"/>
        <w:outlineLvl w:val="2"/>
        <w:rPr>
          <w:rFonts w:ascii="Arial" w:eastAsia="Arial" w:hAnsi="Arial" w:cs="Arial"/>
          <w:b/>
          <w:kern w:val="0"/>
          <w:sz w:val="24"/>
          <w:lang w:eastAsia="ja-JP"/>
        </w:rPr>
      </w:pPr>
      <w:r>
        <w:rPr>
          <w:rFonts w:ascii="Arial" w:eastAsia="Arial" w:hAnsi="Arial" w:cs="Arial"/>
          <w:b/>
          <w:kern w:val="0"/>
          <w:sz w:val="24"/>
          <w:lang w:eastAsia="ja-JP"/>
        </w:rPr>
        <w:t>University of Toronto Mississauga Library Statement</w:t>
      </w:r>
    </w:p>
    <w:p w14:paraId="1694B327" w14:textId="77777777" w:rsidR="0047170A" w:rsidRDefault="00000000">
      <w:pPr>
        <w:pStyle w:val="BodyText"/>
      </w:pPr>
      <w:r>
        <w:rPr>
          <w:rStyle w:val="Strong"/>
        </w:rPr>
        <w:t>University of Toronto Mississauga Library.</w:t>
      </w:r>
      <w:r>
        <w:t xml:space="preserve"> The UTM Library (UTML) </w:t>
      </w:r>
      <w:proofErr w:type="gramStart"/>
      <w:r>
        <w:t>is located in</w:t>
      </w:r>
      <w:proofErr w:type="gramEnd"/>
      <w:r>
        <w:t xml:space="preserve"> the Hazel McCallion Academic Learning Centre (HM). </w:t>
      </w:r>
      <w:hyperlink r:id="rId21" w:tgtFrame="_blank">
        <w:r w:rsidR="0047170A">
          <w:rPr>
            <w:rStyle w:val="Hyperlink"/>
          </w:rPr>
          <w:t>Open</w:t>
        </w:r>
      </w:hyperlink>
      <w:r>
        <w:t xml:space="preserve"> seven days a week, UTML welcomes you to the Information Commons where our public services staff and </w:t>
      </w:r>
      <w:hyperlink r:id="rId22" w:tgtFrame="_blank">
        <w:r w:rsidR="0047170A">
          <w:rPr>
            <w:rStyle w:val="Hyperlink"/>
          </w:rPr>
          <w:t>liaison librarians</w:t>
        </w:r>
      </w:hyperlink>
      <w:r>
        <w:t xml:space="preserve"> offer individual walk-in research assistance, in-person or virtual appointments, workshops, and programs such as the CCR-accredited Library 101 session series focused on helping you develop the information literacy skills you need to excel in your coursework. Visit the UTML </w:t>
      </w:r>
      <w:hyperlink r:id="rId23" w:tgtFrame="_blank">
        <w:r w:rsidR="0047170A">
          <w:rPr>
            <w:rStyle w:val="Hyperlink"/>
          </w:rPr>
          <w:t>website</w:t>
        </w:r>
      </w:hyperlink>
      <w:r>
        <w:t xml:space="preserve"> to find online books, journals, databases, </w:t>
      </w:r>
      <w:hyperlink r:id="rId24" w:tgtFrame="_blank">
        <w:r w:rsidR="0047170A">
          <w:rPr>
            <w:rStyle w:val="Hyperlink"/>
          </w:rPr>
          <w:t>research guides</w:t>
        </w:r>
      </w:hyperlink>
      <w:r>
        <w:t xml:space="preserve">, </w:t>
      </w:r>
      <w:hyperlink r:id="rId25" w:tgtFrame="_blank">
        <w:r w:rsidR="0047170A">
          <w:rPr>
            <w:rStyle w:val="Hyperlink"/>
          </w:rPr>
          <w:t>special collections</w:t>
        </w:r>
      </w:hyperlink>
      <w:r>
        <w:t xml:space="preserve"> and more information on </w:t>
      </w:r>
      <w:hyperlink r:id="rId26" w:tgtFrame="_blank">
        <w:proofErr w:type="spellStart"/>
        <w:r w:rsidR="0047170A">
          <w:rPr>
            <w:rStyle w:val="Hyperlink"/>
          </w:rPr>
          <w:t>on</w:t>
        </w:r>
        <w:proofErr w:type="spellEnd"/>
        <w:r w:rsidR="0047170A">
          <w:rPr>
            <w:rStyle w:val="Hyperlink"/>
          </w:rPr>
          <w:t xml:space="preserve"> technology-enriched library spaces</w:t>
        </w:r>
      </w:hyperlink>
      <w:r>
        <w:t xml:space="preserve"> such as the </w:t>
      </w:r>
      <w:hyperlink r:id="rId27" w:tgtFrame="_blank">
        <w:r w:rsidR="0047170A">
          <w:rPr>
            <w:rStyle w:val="Hyperlink"/>
          </w:rPr>
          <w:t>Digital Exploration Lab</w:t>
        </w:r>
      </w:hyperlink>
      <w:r>
        <w:t xml:space="preserve"> and the </w:t>
      </w:r>
      <w:hyperlink r:id="rId28" w:tgtFrame="_blank">
        <w:r w:rsidR="0047170A">
          <w:rPr>
            <w:rStyle w:val="Hyperlink"/>
          </w:rPr>
          <w:t>Outer Circle Recording Studio</w:t>
        </w:r>
      </w:hyperlink>
      <w:r>
        <w:t>.</w:t>
      </w:r>
    </w:p>
    <w:p w14:paraId="61A9A3E0" w14:textId="77777777" w:rsidR="0047170A" w:rsidRDefault="00000000">
      <w:pPr>
        <w:keepNext/>
        <w:keepLines/>
        <w:spacing w:before="400" w:after="360"/>
        <w:outlineLvl w:val="1"/>
        <w:rPr>
          <w:rFonts w:ascii="Arial" w:eastAsia="Arial" w:hAnsi="Arial" w:cs="Arial"/>
          <w:b/>
          <w:color w:val="262626"/>
          <w:kern w:val="0"/>
          <w:sz w:val="32"/>
          <w:szCs w:val="26"/>
          <w:lang w:eastAsia="ja-JP"/>
        </w:rPr>
      </w:pPr>
      <w:r>
        <w:rPr>
          <w:rFonts w:ascii="Arial" w:eastAsia="MS PGothic" w:hAnsi="Arial" w:cs="Arial"/>
          <w:b/>
          <w:color w:val="002A5C"/>
          <w:kern w:val="0"/>
          <w:sz w:val="28"/>
          <w:szCs w:val="26"/>
          <w:lang w:eastAsia="ja-JP"/>
        </w:rPr>
        <w:t>Additional Content</w:t>
      </w:r>
    </w:p>
    <w:p w14:paraId="4400B7DE" w14:textId="77777777" w:rsidR="0047170A" w:rsidRDefault="00000000">
      <w:pPr>
        <w:pStyle w:val="BodyText"/>
      </w:pPr>
      <w:r>
        <w:t xml:space="preserve">If a student wishes to tape-record, photograph, video-record or otherwise reproduce lecture presentations, course notes or other similar materials provided by instructors, he or she must obtain the instructor’s written consent beforehand. </w:t>
      </w:r>
      <w:proofErr w:type="gramStart"/>
      <w:r>
        <w:t>Otherwise</w:t>
      </w:r>
      <w:proofErr w:type="gramEnd"/>
      <w:r>
        <w:t xml:space="preserve"> all such reproduction is an infringement of copyright and is absolutely prohibited. </w:t>
      </w:r>
    </w:p>
    <w:p w14:paraId="6A9AA446" w14:textId="77777777" w:rsidR="0047170A" w:rsidRDefault="00000000">
      <w:pPr>
        <w:pStyle w:val="BodyText"/>
      </w:pPr>
      <w:r>
        <w:t>For more information on copyright and the University of Toronto, please visit https://onesearch.library.utoronto.ca/copyright/copyright-resources.</w:t>
      </w:r>
    </w:p>
    <w:p w14:paraId="499D0F75" w14:textId="77777777" w:rsidR="0047170A" w:rsidRDefault="00000000">
      <w:pPr>
        <w:pStyle w:val="BodyText"/>
      </w:pPr>
      <w:r>
        <w:t xml:space="preserve">The lectures may include materials that are copied and made available to the students under section 30.01 of Canada's Copyright Act. You may not distribute, e-mail or otherwise communicate these </w:t>
      </w:r>
      <w:r>
        <w:lastRenderedPageBreak/>
        <w:t>materials to any other person. You must delete all copies of these materials within 30 days of the end of the course to which they pertain.</w:t>
      </w:r>
    </w:p>
    <w:p w14:paraId="2966E947" w14:textId="77777777" w:rsidR="0047170A" w:rsidRDefault="00000000">
      <w:pPr>
        <w:pStyle w:val="BodyText"/>
        <w:rPr>
          <w:rFonts w:ascii="Arial" w:eastAsia="Arial" w:hAnsi="Arial" w:cs="Arial"/>
          <w:kern w:val="0"/>
          <w:lang w:eastAsia="ja-JP"/>
        </w:rPr>
      </w:pPr>
      <w:r>
        <w:t>Due to the theme of the course some of the materials may feel disturbing. Alternative materials will be provided if requested when possible.</w:t>
      </w:r>
    </w:p>
    <w:p w14:paraId="6C10003D" w14:textId="77777777" w:rsidR="0047170A" w:rsidRDefault="0047170A">
      <w:pPr>
        <w:rPr>
          <w:rFonts w:ascii="Arial" w:eastAsia="Arial" w:hAnsi="Arial" w:cs="Arial"/>
          <w:kern w:val="0"/>
          <w:lang w:eastAsia="ja-JP"/>
        </w:rPr>
      </w:pPr>
    </w:p>
    <w:p w14:paraId="3CE60DE2" w14:textId="77777777" w:rsidR="0047170A" w:rsidRDefault="0047170A"/>
    <w:sectPr w:rsidR="0047170A">
      <w:headerReference w:type="default" r:id="rId29"/>
      <w:footerReference w:type="default" r:id="rId30"/>
      <w:headerReference w:type="first" r:id="rId31"/>
      <w:footerReference w:type="first" r:id="rId32"/>
      <w:pgSz w:w="12240" w:h="15840"/>
      <w:pgMar w:top="777" w:right="1440" w:bottom="777" w:left="144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5EF6B" w14:textId="77777777" w:rsidR="006D5588" w:rsidRDefault="006D5588">
      <w:pPr>
        <w:spacing w:after="0" w:line="240" w:lineRule="auto"/>
      </w:pPr>
      <w:r>
        <w:separator/>
      </w:r>
    </w:p>
  </w:endnote>
  <w:endnote w:type="continuationSeparator" w:id="0">
    <w:p w14:paraId="503BF7D4" w14:textId="77777777" w:rsidR="006D5588" w:rsidRDefault="006D5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E6DE5" w14:textId="1935C24D" w:rsidR="0047170A" w:rsidRDefault="00000000">
    <w:pPr>
      <w:pStyle w:val="Footer"/>
      <w:tabs>
        <w:tab w:val="clear" w:pos="4680"/>
      </w:tabs>
    </w:pPr>
    <w:r>
      <w:rPr>
        <w:color w:val="808080"/>
        <w:sz w:val="20"/>
        <w:szCs w:val="20"/>
      </w:rPr>
      <w:t xml:space="preserve">CCT432H5 F Syllabus – Valid as of </w:t>
    </w:r>
    <w:r>
      <w:rPr>
        <w:color w:val="808080"/>
        <w:sz w:val="20"/>
        <w:szCs w:val="20"/>
      </w:rPr>
      <w:fldChar w:fldCharType="begin"/>
    </w:r>
    <w:r>
      <w:rPr>
        <w:color w:val="808080"/>
        <w:sz w:val="20"/>
        <w:szCs w:val="20"/>
      </w:rPr>
      <w:instrText xml:space="preserve"> DATE \@"yyyy-MM-dd" </w:instrText>
    </w:r>
    <w:r>
      <w:rPr>
        <w:color w:val="808080"/>
        <w:sz w:val="20"/>
        <w:szCs w:val="20"/>
      </w:rPr>
      <w:fldChar w:fldCharType="separate"/>
    </w:r>
    <w:r w:rsidR="009A63A7">
      <w:rPr>
        <w:noProof/>
        <w:color w:val="808080"/>
        <w:sz w:val="20"/>
        <w:szCs w:val="20"/>
      </w:rPr>
      <w:t>2025-09-09</w:t>
    </w:r>
    <w:r>
      <w:rPr>
        <w:color w:val="808080"/>
        <w:sz w:val="20"/>
        <w:szCs w:val="20"/>
      </w:rPr>
      <w:fldChar w:fldCharType="end"/>
    </w:r>
    <w:r>
      <w:rPr>
        <w:color w:val="808080"/>
        <w:sz w:val="20"/>
        <w:szCs w:val="20"/>
      </w:rPr>
      <w:tab/>
      <w:t xml:space="preserve">Page </w:t>
    </w:r>
    <w:r>
      <w:rPr>
        <w:color w:val="808080"/>
        <w:sz w:val="20"/>
        <w:szCs w:val="20"/>
      </w:rPr>
      <w:fldChar w:fldCharType="begin"/>
    </w:r>
    <w:r>
      <w:rPr>
        <w:color w:val="808080"/>
        <w:sz w:val="20"/>
        <w:szCs w:val="20"/>
      </w:rPr>
      <w:instrText xml:space="preserve"> PAGE </w:instrText>
    </w:r>
    <w:r>
      <w:rPr>
        <w:color w:val="808080"/>
        <w:sz w:val="20"/>
        <w:szCs w:val="20"/>
      </w:rPr>
      <w:fldChar w:fldCharType="separate"/>
    </w:r>
    <w:r>
      <w:rPr>
        <w:color w:val="808080"/>
        <w:sz w:val="20"/>
        <w:szCs w:val="20"/>
      </w:rPr>
      <w:t>8</w:t>
    </w:r>
    <w:r>
      <w:rPr>
        <w:color w:val="808080"/>
        <w:sz w:val="20"/>
        <w:szCs w:val="20"/>
      </w:rPr>
      <w:fldChar w:fldCharType="end"/>
    </w:r>
  </w:p>
  <w:p w14:paraId="2E7AAEC1" w14:textId="77777777" w:rsidR="0047170A" w:rsidRDefault="00471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EA46F" w14:textId="200AD524" w:rsidR="0047170A" w:rsidRDefault="00000000">
    <w:pPr>
      <w:pStyle w:val="Footer"/>
      <w:tabs>
        <w:tab w:val="clear" w:pos="4680"/>
      </w:tabs>
    </w:pPr>
    <w:r>
      <w:rPr>
        <w:color w:val="808080"/>
        <w:sz w:val="20"/>
        <w:szCs w:val="20"/>
      </w:rPr>
      <w:t xml:space="preserve">CCT432H5 F Syllabus – Valid as of </w:t>
    </w:r>
    <w:r>
      <w:rPr>
        <w:color w:val="808080"/>
        <w:sz w:val="20"/>
        <w:szCs w:val="20"/>
      </w:rPr>
      <w:fldChar w:fldCharType="begin"/>
    </w:r>
    <w:r>
      <w:rPr>
        <w:color w:val="808080"/>
        <w:sz w:val="20"/>
        <w:szCs w:val="20"/>
      </w:rPr>
      <w:instrText xml:space="preserve"> DATE \@"yyyy-MM-dd" </w:instrText>
    </w:r>
    <w:r>
      <w:rPr>
        <w:color w:val="808080"/>
        <w:sz w:val="20"/>
        <w:szCs w:val="20"/>
      </w:rPr>
      <w:fldChar w:fldCharType="separate"/>
    </w:r>
    <w:r w:rsidR="009A63A7">
      <w:rPr>
        <w:noProof/>
        <w:color w:val="808080"/>
        <w:sz w:val="20"/>
        <w:szCs w:val="20"/>
      </w:rPr>
      <w:t>2025-09-09</w:t>
    </w:r>
    <w:r>
      <w:rPr>
        <w:color w:val="808080"/>
        <w:sz w:val="20"/>
        <w:szCs w:val="20"/>
      </w:rPr>
      <w:fldChar w:fldCharType="end"/>
    </w:r>
    <w:r>
      <w:rPr>
        <w:color w:val="808080"/>
        <w:sz w:val="20"/>
        <w:szCs w:val="20"/>
      </w:rPr>
      <w:tab/>
      <w:t xml:space="preserve">Page </w:t>
    </w:r>
    <w:r>
      <w:rPr>
        <w:color w:val="808080"/>
        <w:sz w:val="20"/>
        <w:szCs w:val="20"/>
      </w:rPr>
      <w:fldChar w:fldCharType="begin"/>
    </w:r>
    <w:r>
      <w:rPr>
        <w:color w:val="808080"/>
        <w:sz w:val="20"/>
        <w:szCs w:val="20"/>
      </w:rPr>
      <w:instrText xml:space="preserve"> PAGE </w:instrText>
    </w:r>
    <w:r>
      <w:rPr>
        <w:color w:val="808080"/>
        <w:sz w:val="20"/>
        <w:szCs w:val="20"/>
      </w:rPr>
      <w:fldChar w:fldCharType="separate"/>
    </w:r>
    <w:r>
      <w:rPr>
        <w:color w:val="808080"/>
        <w:sz w:val="20"/>
        <w:szCs w:val="20"/>
      </w:rPr>
      <w:t>1</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B5C63" w14:textId="77777777" w:rsidR="006D5588" w:rsidRDefault="006D5588">
      <w:pPr>
        <w:spacing w:after="0" w:line="240" w:lineRule="auto"/>
      </w:pPr>
      <w:r>
        <w:separator/>
      </w:r>
    </w:p>
  </w:footnote>
  <w:footnote w:type="continuationSeparator" w:id="0">
    <w:p w14:paraId="73112A71" w14:textId="77777777" w:rsidR="006D5588" w:rsidRDefault="006D5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108" w:type="dxa"/>
      <w:tblLayout w:type="fixed"/>
      <w:tblLook w:val="04A0" w:firstRow="1" w:lastRow="0" w:firstColumn="1" w:lastColumn="0" w:noHBand="0" w:noVBand="1"/>
    </w:tblPr>
    <w:tblGrid>
      <w:gridCol w:w="3120"/>
      <w:gridCol w:w="3120"/>
      <w:gridCol w:w="3120"/>
    </w:tblGrid>
    <w:tr w:rsidR="0047170A" w14:paraId="744B6C39" w14:textId="77777777">
      <w:tc>
        <w:tcPr>
          <w:tcW w:w="3120" w:type="dxa"/>
        </w:tcPr>
        <w:p w14:paraId="2962399F" w14:textId="77777777" w:rsidR="0047170A" w:rsidRDefault="0047170A">
          <w:pPr>
            <w:pStyle w:val="Header"/>
            <w:widowControl w:val="0"/>
            <w:ind w:left="-115"/>
          </w:pPr>
        </w:p>
      </w:tc>
      <w:tc>
        <w:tcPr>
          <w:tcW w:w="3120" w:type="dxa"/>
        </w:tcPr>
        <w:p w14:paraId="38494169" w14:textId="77777777" w:rsidR="0047170A" w:rsidRDefault="0047170A">
          <w:pPr>
            <w:pStyle w:val="Header"/>
            <w:widowControl w:val="0"/>
            <w:jc w:val="center"/>
          </w:pPr>
        </w:p>
      </w:tc>
      <w:tc>
        <w:tcPr>
          <w:tcW w:w="3120" w:type="dxa"/>
        </w:tcPr>
        <w:p w14:paraId="6D5F18E8" w14:textId="77777777" w:rsidR="0047170A" w:rsidRDefault="0047170A">
          <w:pPr>
            <w:pStyle w:val="Header"/>
            <w:widowControl w:val="0"/>
            <w:ind w:right="-115"/>
            <w:jc w:val="right"/>
          </w:pPr>
        </w:p>
      </w:tc>
    </w:tr>
  </w:tbl>
  <w:p w14:paraId="0C83AEC9" w14:textId="77777777" w:rsidR="0047170A" w:rsidRDefault="00471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CE636" w14:textId="77777777" w:rsidR="0047170A" w:rsidRDefault="00000000">
    <w:pPr>
      <w:pStyle w:val="HTMLPreformatted"/>
      <w:shd w:val="clear" w:color="auto" w:fill="FFFFFF"/>
      <w:rPr>
        <w:rFonts w:ascii="Arial" w:hAnsi="Arial" w:cs="Arial"/>
      </w:rPr>
    </w:pPr>
    <w:r>
      <w:rPr>
        <w:rFonts w:ascii="Arial" w:hAnsi="Arial" w:cs="Arial"/>
      </w:rPr>
      <w:t>University of Toronto Mississauga - Institute of Communication and Culture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218E"/>
    <w:multiLevelType w:val="multilevel"/>
    <w:tmpl w:val="F91428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59C32AD"/>
    <w:multiLevelType w:val="multilevel"/>
    <w:tmpl w:val="B3762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B0925C8"/>
    <w:multiLevelType w:val="multilevel"/>
    <w:tmpl w:val="5EB0ED2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2E6524E6"/>
    <w:multiLevelType w:val="multilevel"/>
    <w:tmpl w:val="7F2A12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8166AD8"/>
    <w:multiLevelType w:val="multilevel"/>
    <w:tmpl w:val="60E0C5E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72F03310"/>
    <w:multiLevelType w:val="multilevel"/>
    <w:tmpl w:val="38686E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07182797">
    <w:abstractNumId w:val="3"/>
  </w:num>
  <w:num w:numId="2" w16cid:durableId="2146584795">
    <w:abstractNumId w:val="1"/>
  </w:num>
  <w:num w:numId="3" w16cid:durableId="960380381">
    <w:abstractNumId w:val="0"/>
  </w:num>
  <w:num w:numId="4" w16cid:durableId="774132973">
    <w:abstractNumId w:val="5"/>
  </w:num>
  <w:num w:numId="5" w16cid:durableId="114646151">
    <w:abstractNumId w:val="4"/>
  </w:num>
  <w:num w:numId="6" w16cid:durableId="17699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0A"/>
    <w:rsid w:val="0047170A"/>
    <w:rsid w:val="006D5588"/>
    <w:rsid w:val="007734B8"/>
    <w:rsid w:val="00831F53"/>
    <w:rsid w:val="009A63A7"/>
    <w:rsid w:val="00A32D16"/>
    <w:rsid w:val="00D028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7958FF"/>
  <w15:docId w15:val="{F009310D-BCD4-CF4C-A6A1-C28BD5C8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kern w:val="2"/>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qFormat/>
    <w:rPr>
      <w:rFonts w:ascii="Consolas" w:hAnsi="Consolas"/>
      <w:sz w:val="20"/>
      <w:szCs w:val="20"/>
    </w:rPr>
  </w:style>
  <w:style w:type="character" w:customStyle="1" w:styleId="HeaderChar">
    <w:name w:val="Header Char"/>
    <w:basedOn w:val="DefaultParagraphFont"/>
    <w:link w:val="Header"/>
    <w:qFormat/>
    <w:rPr>
      <w:kern w:val="0"/>
      <w:lang w:eastAsia="ja-JP"/>
    </w:rPr>
  </w:style>
  <w:style w:type="character" w:customStyle="1" w:styleId="FooterChar">
    <w:name w:val="Footer Char"/>
    <w:basedOn w:val="DefaultParagraphFont"/>
    <w:link w:val="Footer"/>
    <w:qFormat/>
    <w:rPr>
      <w:kern w:val="0"/>
      <w:lang w:eastAsia="ja-JP"/>
    </w:rPr>
  </w:style>
  <w:style w:type="character" w:styleId="PageNumber">
    <w:name w:val="page number"/>
    <w:basedOn w:val="DefaultParagraphFont"/>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TMLPreformatted">
    <w:name w:val="HTML Preformatted"/>
    <w:basedOn w:val="Normal"/>
    <w:qFormat/>
    <w:pPr>
      <w:spacing w:after="0" w:line="240" w:lineRule="auto"/>
    </w:pPr>
    <w:rPr>
      <w:rFonts w:ascii="Consolas" w:hAnsi="Consolas"/>
      <w:sz w:val="20"/>
      <w:szCs w:val="20"/>
    </w:rPr>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spacing w:after="0" w:line="240" w:lineRule="auto"/>
    </w:pPr>
    <w:rPr>
      <w:kern w:val="0"/>
      <w:lang w:eastAsia="ja-JP"/>
    </w:rPr>
  </w:style>
  <w:style w:type="paragraph" w:styleId="Footer">
    <w:name w:val="footer"/>
    <w:basedOn w:val="Normal"/>
    <w:link w:val="FooterChar"/>
    <w:pPr>
      <w:tabs>
        <w:tab w:val="center" w:pos="4680"/>
        <w:tab w:val="right" w:pos="9360"/>
      </w:tabs>
      <w:spacing w:after="0" w:line="240" w:lineRule="auto"/>
    </w:pPr>
    <w:rPr>
      <w:kern w:val="0"/>
      <w:lang w:eastAsia="ja-JP"/>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acorn.utoronto.ca/" TargetMode="External"/><Relationship Id="rId18" Type="http://schemas.openxmlformats.org/officeDocument/2006/relationships/hyperlink" Target="mailto:access.utm@utoronto.ca" TargetMode="External"/><Relationship Id="rId26" Type="http://schemas.openxmlformats.org/officeDocument/2006/relationships/hyperlink" Target="https://library.utm.utoronto.ca/visit/spaces-technology?type=All" TargetMode="External"/><Relationship Id="rId3" Type="http://schemas.openxmlformats.org/officeDocument/2006/relationships/settings" Target="settings.xml"/><Relationship Id="rId21" Type="http://schemas.openxmlformats.org/officeDocument/2006/relationships/hyperlink" Target="https://library.utm.utoronto.ca/hours" TargetMode="External"/><Relationship Id="rId34" Type="http://schemas.openxmlformats.org/officeDocument/2006/relationships/theme" Target="theme/theme1.xml"/><Relationship Id="rId7" Type="http://schemas.openxmlformats.org/officeDocument/2006/relationships/hyperlink" Target="mailto:tero.karppi@utoronto.ca" TargetMode="External"/><Relationship Id="rId12" Type="http://schemas.openxmlformats.org/officeDocument/2006/relationships/hyperlink" Target="https://uoft.service-now.com/utm_scr" TargetMode="External"/><Relationship Id="rId17" Type="http://schemas.openxmlformats.org/officeDocument/2006/relationships/hyperlink" Target="https://www.utm.utoronto.ca/iccit/students/student-resources/policies-procedures/special-consideration-requests-scr-late-assignments" TargetMode="External"/><Relationship Id="rId25" Type="http://schemas.openxmlformats.org/officeDocument/2006/relationships/hyperlink" Target="https://collections.utm.utoronto.c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tm.calendar.utoronto.ca/term-work-tests-and-appeals" TargetMode="External"/><Relationship Id="rId20" Type="http://schemas.openxmlformats.org/officeDocument/2006/relationships/hyperlink" Target="https://www.utm.utoronto.ca/rgas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tm.calendar.utoronto.ca/term-work-tests-and-appeals" TargetMode="External"/><Relationship Id="rId24" Type="http://schemas.openxmlformats.org/officeDocument/2006/relationships/hyperlink" Target="https://guides.library.utoronto.ca/ReferenceUTML/REFHandout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uoft.service-now.com/utm_scr" TargetMode="External"/><Relationship Id="rId23" Type="http://schemas.openxmlformats.org/officeDocument/2006/relationships/hyperlink" Target="https://library.utm.utoronto.ca/" TargetMode="External"/><Relationship Id="rId28" Type="http://schemas.openxmlformats.org/officeDocument/2006/relationships/hyperlink" Target="https://library.utm.utoronto.ca/spaces/ocrs" TargetMode="External"/><Relationship Id="rId10" Type="http://schemas.openxmlformats.org/officeDocument/2006/relationships/hyperlink" Target="https://www.viceprovoststudents.utoronto.ca/student-resources/rights-responsibilities/accommodation-religious/" TargetMode="External"/><Relationship Id="rId19" Type="http://schemas.openxmlformats.org/officeDocument/2006/relationships/hyperlink" Target="https://governingcouncil.utoronto.ca/secretariat/policies/code-student-conduct-december-13-201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overningcouncil.utoronto.ca/secretariat/policies/code-behaviour-academic-matters-july-1-2019" TargetMode="External"/><Relationship Id="rId14" Type="http://schemas.openxmlformats.org/officeDocument/2006/relationships/hyperlink" Target="https://uoft.service-now.com/utm_scr" TargetMode="External"/><Relationship Id="rId22" Type="http://schemas.openxmlformats.org/officeDocument/2006/relationships/hyperlink" Target="https://library.utm.utoronto.ca/librarians" TargetMode="External"/><Relationship Id="rId27" Type="http://schemas.openxmlformats.org/officeDocument/2006/relationships/hyperlink" Target="https://library.utm.utoronto.ca/spaces/del" TargetMode="External"/><Relationship Id="rId30" Type="http://schemas.openxmlformats.org/officeDocument/2006/relationships/footer" Target="footer1.xml"/><Relationship Id="rId8" Type="http://schemas.openxmlformats.org/officeDocument/2006/relationships/hyperlink" Target="https://governingcouncil.utoronto.ca/secretariat/policies/code-student-conduct-december-13-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Sriram</dc:creator>
  <cp:lastModifiedBy>Tero Karppi</cp:lastModifiedBy>
  <cp:revision>9</cp:revision>
  <dcterms:created xsi:type="dcterms:W3CDTF">2024-02-28T14:31:00Z</dcterms:created>
  <dcterms:modified xsi:type="dcterms:W3CDTF">2025-09-09T13:14:00Z</dcterms:modified>
  <dc:language>en-US</dc:language>
</cp:coreProperties>
</file>