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Gy-11 (s. 74–99). Totalt 41 poäng. Bedömningsstöd enligt kursplan Gy-11.</w:t>
      </w:r>
    </w:p>
    <w:p>
      <w:pPr>
        <w:keepNext w:val="0"/>
        <w:spacing w:before="0" w:after="120"/>
      </w:pPr>
      <w:r>
        <w:rPr>
          <w:b w:val="0"/>
          <w:sz w:val="20"/>
        </w:rPr>
        <w:t>Rättningsnyckel flerval (numrering som i Trelson-filen): 1 A   2 B   3 C   4 B   5 A   6 C   7 A   8 C   9 B   10 B   11 C   12 A   13 C   14 B   15 A</w:t>
      </w:r>
    </w:p>
    <w:p>
      <w:pPr>
        <w:keepNext/>
        <w:spacing w:before="160" w:after="40"/>
      </w:pPr>
      <w:r>
        <w:rPr>
          <w:b/>
          <w:sz w:val="22"/>
        </w:rPr>
        <w:t>Betygskriterier som prövas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Nr</w:t>
            </w:r>
          </w:p>
        </w:tc>
        <w:tc>
          <w:tcPr>
            <w:tcW w:type="dxa" w:w="7030"/>
          </w:tcPr>
          <w:p>
            <w:r>
              <w:rPr>
                <w:b/>
              </w:rPr>
              <w:t>Innehåll</w:t>
            </w:r>
          </w:p>
        </w:tc>
        <w:tc>
          <w:tcPr>
            <w:tcW w:type="dxa" w:w="1587"/>
          </w:tcPr>
          <w:p>
            <w:r>
              <w:rPr>
                <w:b/>
              </w:rPr>
              <w:t>Prövas i del</w:t>
            </w:r>
          </w:p>
        </w:tc>
      </w:tr>
      <w:tr>
        <w:tc>
          <w:tcPr>
            <w:tcW w:type="dxa" w:w="794"/>
          </w:tcPr>
          <w:p>
            <w:r>
              <w:rPr>
                <w:b/>
              </w:rPr>
              <w:t>K1</w:t>
            </w:r>
          </w:p>
        </w:tc>
        <w:tc>
          <w:tcPr>
            <w:tcW w:type="dxa" w:w="7030"/>
          </w:tcPr>
          <w:p>
            <w:r>
              <w:rPr>
                <w:sz w:val="20"/>
              </w:rPr>
              <w:t>Förändringsprocesser, händelser och personer samt olika tolkningar av dem</w:t>
            </w:r>
          </w:p>
        </w:tc>
        <w:tc>
          <w:tcPr>
            <w:tcW w:type="dxa" w:w="1587"/>
          </w:tcPr>
          <w:p>
            <w:r>
              <w:rPr>
                <w:sz w:val="20"/>
              </w:rPr>
              <w:t>1, 2, 4, 5</w:t>
            </w:r>
          </w:p>
        </w:tc>
      </w:tr>
      <w:tr>
        <w:tc>
          <w:tcPr>
            <w:tcW w:type="dxa" w:w="794"/>
          </w:tcPr>
          <w:p>
            <w:r>
              <w:rPr>
                <w:b/>
              </w:rPr>
              <w:t>K2</w:t>
            </w:r>
          </w:p>
        </w:tc>
        <w:tc>
          <w:tcPr>
            <w:tcW w:type="dxa" w:w="7030"/>
          </w:tcPr>
          <w:p>
            <w:r>
              <w:rPr>
                <w:sz w:val="20"/>
              </w:rPr>
              <w:t>Förlopp, orsaker och konsekvenser</w:t>
            </w:r>
          </w:p>
        </w:tc>
        <w:tc>
          <w:tcPr>
            <w:tcW w:type="dxa" w:w="1587"/>
          </w:tcPr>
          <w:p>
            <w:r>
              <w:rPr>
                <w:sz w:val="20"/>
              </w:rPr>
              <w:t>1, 4, 5</w:t>
            </w:r>
          </w:p>
        </w:tc>
      </w:tr>
      <w:tr>
        <w:tc>
          <w:tcPr>
            <w:tcW w:type="dxa" w:w="794"/>
          </w:tcPr>
          <w:p>
            <w:r>
              <w:rPr>
                <w:b/>
              </w:rPr>
              <w:t>K3</w:t>
            </w:r>
          </w:p>
        </w:tc>
        <w:tc>
          <w:tcPr>
            <w:tcW w:type="dxa" w:w="7030"/>
          </w:tcPr>
          <w:p>
            <w:r>
              <w:rPr>
                <w:sz w:val="20"/>
              </w:rPr>
              <w:t>Enskilda personers betydelse för skeenden</w:t>
            </w:r>
          </w:p>
        </w:tc>
        <w:tc>
          <w:tcPr>
            <w:tcW w:type="dxa" w:w="1587"/>
          </w:tcPr>
          <w:p>
            <w:r>
              <w:rPr>
                <w:sz w:val="20"/>
              </w:rPr>
              <w:t>5</w:t>
            </w:r>
          </w:p>
        </w:tc>
      </w:tr>
      <w:tr>
        <w:tc>
          <w:tcPr>
            <w:tcW w:type="dxa" w:w="794"/>
          </w:tcPr>
          <w:p>
            <w:r>
              <w:rPr>
                <w:b/>
              </w:rPr>
              <w:t>K4</w:t>
            </w:r>
          </w:p>
        </w:tc>
        <w:tc>
          <w:tcPr>
            <w:tcW w:type="dxa" w:w="7030"/>
          </w:tcPr>
          <w:p>
            <w:r>
              <w:rPr>
                <w:sz w:val="20"/>
              </w:rPr>
              <w:t>Samband mellan det förflutna och nutiden</w:t>
            </w:r>
          </w:p>
        </w:tc>
        <w:tc>
          <w:tcPr>
            <w:tcW w:type="dxa" w:w="1587"/>
          </w:tcPr>
          <w:p>
            <w:r>
              <w:rPr>
                <w:sz w:val="20"/>
              </w:rPr>
              <w:t>3, 4</w:t>
            </w:r>
          </w:p>
        </w:tc>
      </w:tr>
      <w:tr>
        <w:tc>
          <w:tcPr>
            <w:tcW w:type="dxa" w:w="794"/>
          </w:tcPr>
          <w:p>
            <w:r>
              <w:rPr>
                <w:b/>
                <w:color w:val="555555"/>
              </w:rPr>
              <w:t>K5</w:t>
            </w:r>
          </w:p>
        </w:tc>
        <w:tc>
          <w:tcPr>
            <w:tcW w:type="dxa" w:w="7030"/>
          </w:tcPr>
          <w:p>
            <w:r>
              <w:rPr>
                <w:color w:val="555555"/>
                <w:sz w:val="20"/>
              </w:rPr>
              <w:t>Slutsatser om betydelse för framtiden</w:t>
            </w:r>
          </w:p>
        </w:tc>
        <w:tc>
          <w:tcPr>
            <w:tcW w:type="dxa" w:w="1587"/>
          </w:tcPr>
          <w:p>
            <w:r>
              <w:rPr>
                <w:color w:val="555555"/>
                <w:sz w:val="20"/>
              </w:rPr>
              <w:t>–</w:t>
            </w:r>
          </w:p>
        </w:tc>
      </w:tr>
      <w:tr>
        <w:tc>
          <w:tcPr>
            <w:tcW w:type="dxa" w:w="794"/>
          </w:tcPr>
          <w:p>
            <w:r>
              <w:rPr>
                <w:b/>
              </w:rPr>
              <w:t>K6</w:t>
            </w:r>
          </w:p>
        </w:tc>
        <w:tc>
          <w:tcPr>
            <w:tcW w:type="dxa" w:w="7030"/>
          </w:tcPr>
          <w:p>
            <w:r>
              <w:rPr>
                <w:sz w:val="20"/>
              </w:rPr>
              <w:t>Historiska begrepp</w:t>
            </w:r>
          </w:p>
        </w:tc>
        <w:tc>
          <w:tcPr>
            <w:tcW w:type="dxa" w:w="1587"/>
          </w:tcPr>
          <w:p>
            <w:r>
              <w:rPr>
                <w:sz w:val="20"/>
              </w:rPr>
              <w:t>4, 5</w:t>
            </w:r>
          </w:p>
        </w:tc>
      </w:tr>
      <w:tr>
        <w:tc>
          <w:tcPr>
            <w:tcW w:type="dxa" w:w="794"/>
          </w:tcPr>
          <w:p>
            <w:r>
              <w:rPr>
                <w:b/>
                <w:color w:val="555555"/>
              </w:rPr>
              <w:t>K7</w:t>
            </w:r>
          </w:p>
        </w:tc>
        <w:tc>
          <w:tcPr>
            <w:tcW w:type="dxa" w:w="7030"/>
          </w:tcPr>
          <w:p>
            <w:r>
              <w:rPr>
                <w:color w:val="555555"/>
                <w:sz w:val="20"/>
              </w:rPr>
              <w:t>Källmaterial och källkritik</w:t>
            </w:r>
          </w:p>
        </w:tc>
        <w:tc>
          <w:tcPr>
            <w:tcW w:type="dxa" w:w="1587"/>
          </w:tcPr>
          <w:p>
            <w:r>
              <w:rPr>
                <w:color w:val="555555"/>
                <w:sz w:val="20"/>
              </w:rPr>
              <w:t>–</w:t>
            </w:r>
          </w:p>
        </w:tc>
      </w:tr>
      <w:tr>
        <w:tc>
          <w:tcPr>
            <w:tcW w:type="dxa" w:w="794"/>
          </w:tcPr>
          <w:p>
            <w:r>
              <w:rPr>
                <w:b/>
              </w:rPr>
              <w:t>K8</w:t>
            </w:r>
          </w:p>
        </w:tc>
        <w:tc>
          <w:tcPr>
            <w:tcW w:type="dxa" w:w="7030"/>
          </w:tcPr>
          <w:p>
            <w:r>
              <w:rPr>
                <w:sz w:val="20"/>
              </w:rPr>
              <w:t>Historiebruk</w:t>
            </w:r>
          </w:p>
        </w:tc>
        <w:tc>
          <w:tcPr>
            <w:tcW w:type="dxa" w:w="1587"/>
          </w:tcPr>
          <w:p>
            <w:r>
              <w:rPr>
                <w:sz w:val="20"/>
              </w:rPr>
              <w:t>3</w:t>
            </w:r>
          </w:p>
        </w:tc>
      </w:tr>
    </w:tbl>
    <w:p>
      <w:pPr>
        <w:keepNext/>
        <w:spacing w:before="160" w:after="40"/>
      </w:pPr>
      <w:r>
        <w:rPr>
          <w:b/>
          <w:sz w:val="22"/>
        </w:rPr>
        <w:t>Centralt innehåll som prövas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Nr</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demokratisering och globala förändringsprocesser; förändrade maktförhållanden och förklaringar till dem</w:t>
            </w:r>
          </w:p>
        </w:tc>
        <w:tc>
          <w:tcPr>
            <w:tcW w:type="dxa" w:w="1587"/>
          </w:tcPr>
          <w:p>
            <w:r>
              <w:rPr>
                <w:sz w:val="20"/>
              </w:rPr>
              <w:t>1, 2, 4, 5</w:t>
            </w:r>
          </w:p>
        </w:tc>
      </w:tr>
      <w:tr>
        <w:tc>
          <w:tcPr>
            <w:tcW w:type="dxa" w:w="794"/>
          </w:tcPr>
          <w:p>
            <w:r>
              <w:rPr>
                <w:b/>
              </w:rPr>
              <w:t>CI3</w:t>
            </w:r>
          </w:p>
        </w:tc>
        <w:tc>
          <w:tcPr>
            <w:tcW w:type="dxa" w:w="7030"/>
          </w:tcPr>
          <w:p>
            <w:r>
              <w:rPr>
                <w:sz w:val="20"/>
              </w:rPr>
              <w:t>Långsiktiga förändringsprocesser – kontinuitet och förändring</w:t>
            </w:r>
          </w:p>
        </w:tc>
        <w:tc>
          <w:tcPr>
            <w:tcW w:type="dxa" w:w="1587"/>
          </w:tcPr>
          <w:p>
            <w:r>
              <w:rPr>
                <w:sz w:val="20"/>
              </w:rPr>
              <w:t>2, 4, 5</w:t>
            </w:r>
          </w:p>
        </w:tc>
      </w:tr>
      <w:tr>
        <w:tc>
          <w:tcPr>
            <w:tcW w:type="dxa" w:w="794"/>
          </w:tcPr>
          <w:p>
            <w:r>
              <w:rPr>
                <w:b/>
                <w:color w:val="555555"/>
              </w:rPr>
              <w:t>CI4</w:t>
            </w:r>
          </w:p>
        </w:tc>
        <w:tc>
          <w:tcPr>
            <w:tcW w:type="dxa" w:w="7030"/>
          </w:tcPr>
          <w:p>
            <w:r>
              <w:rPr>
                <w:color w:val="555555"/>
                <w:sz w:val="20"/>
              </w:rPr>
              <w:t>Källmaterial om människors roll; olika perspektiv</w:t>
            </w:r>
          </w:p>
        </w:tc>
        <w:tc>
          <w:tcPr>
            <w:tcW w:type="dxa" w:w="1587"/>
          </w:tcPr>
          <w:p>
            <w:r>
              <w:rPr>
                <w:color w:val="555555"/>
                <w:sz w:val="20"/>
              </w:rPr>
              <w:t>–</w:t>
            </w:r>
          </w:p>
        </w:tc>
      </w:tr>
      <w:tr>
        <w:tc>
          <w:tcPr>
            <w:tcW w:type="dxa" w:w="794"/>
          </w:tcPr>
          <w:p>
            <w:r>
              <w:rPr>
                <w:b/>
                <w:color w:val="555555"/>
              </w:rPr>
              <w:t>CI5</w:t>
            </w:r>
          </w:p>
        </w:tc>
        <w:tc>
          <w:tcPr>
            <w:tcW w:type="dxa" w:w="7030"/>
          </w:tcPr>
          <w:p>
            <w:r>
              <w:rPr>
                <w:color w:val="555555"/>
                <w:sz w:val="20"/>
              </w:rPr>
              <w:t>Kritisk granskning av källmaterial</w:t>
            </w:r>
          </w:p>
        </w:tc>
        <w:tc>
          <w:tcPr>
            <w:tcW w:type="dxa" w:w="1587"/>
          </w:tcPr>
          <w:p>
            <w:r>
              <w:rPr>
                <w:color w:val="555555"/>
                <w:sz w:val="20"/>
              </w:rPr>
              <w:t>–</w:t>
            </w:r>
          </w:p>
        </w:tc>
      </w:tr>
      <w:tr>
        <w:tc>
          <w:tcPr>
            <w:tcW w:type="dxa" w:w="794"/>
          </w:tcPr>
          <w:p>
            <w:r>
              <w:rPr>
                <w:b/>
              </w:rPr>
              <w:t>CI6</w:t>
            </w:r>
          </w:p>
        </w:tc>
        <w:tc>
          <w:tcPr>
            <w:tcW w:type="dxa" w:w="7030"/>
          </w:tcPr>
          <w:p>
            <w:r>
              <w:rPr>
                <w:sz w:val="20"/>
              </w:rPr>
              <w:t>Historiebruk och identitet</w:t>
            </w:r>
          </w:p>
        </w:tc>
        <w:tc>
          <w:tcPr>
            <w:tcW w:type="dxa" w:w="1587"/>
          </w:tcPr>
          <w:p>
            <w:r>
              <w:rPr>
                <w:sz w:val="20"/>
              </w:rPr>
              <w:t>3</w:t>
            </w:r>
          </w:p>
        </w:tc>
      </w:tr>
    </w:tbl>
    <w:p>
      <w:pPr>
        <w:keepNext/>
        <w:spacing w:before="280" w:after="120"/>
      </w:pPr>
      <w:r>
        <w:rPr>
          <w:b/>
          <w:sz w:val="25"/>
        </w:rPr>
        <w:t>1. Välj rätt alternativ.  (15 p)</w:t>
      </w:r>
    </w:p>
    <w:p>
      <w:pPr>
        <w:keepNext w:val="0"/>
        <w:spacing w:before="0" w:after="40"/>
      </w:pPr>
      <w:r>
        <w:rPr>
          <w:b w:val="0"/>
          <w:color w:val="555555"/>
          <w:sz w:val="20"/>
        </w:rPr>
        <w:t>Betygskriterier: K1 Förändringsprocesser, händelser och personer samt olika tolkningar av dem; K2 Förlopp, orsaker och konsekvenser</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Betygskriterier: K1 Förändringsprocesser, händelser och personer samt olika tolkningar av dem</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Betygskriterier: K4 Samband mellan det förflutna och nutiden; K8 Historiebruk</w:t>
      </w:r>
    </w:p>
    <w:p>
      <w:pPr>
        <w:keepNext w:val="0"/>
        <w:spacing w:before="0" w:after="40"/>
      </w:pPr>
      <w:r>
        <w:rPr>
          <w:b w:val="0"/>
          <w:color w:val="555555"/>
          <w:sz w:val="20"/>
        </w:rPr>
        <w:t>Centralt innehåll: CI6 Historiebruk och identitet</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Betygskriterier: K1 Förändringsprocesser, händelser och personer samt olika tolkningar av dem; K2 Förlopp, orsaker och konsekvenser; K4 Samband mellan det förflutna och nutiden; K6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Betygskriterier: K1 Förändringsprocesser, händelser och personer samt olika tolkningar av dem; K2 Förlopp, orsaker och konsekvenser; K3 Enskilda personers betydelse för skeenden; K6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