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Gy-25 (s. 84–113). Totalt 41 poäng. Bedömningsstöd enligt kursplan Gy-25, Historia nivå 1b.</w:t>
      </w:r>
    </w:p>
    <w:p>
      <w:pPr>
        <w:keepNext w:val="0"/>
        <w:spacing w:before="0" w:after="120"/>
      </w:pPr>
      <w:r>
        <w:rPr>
          <w:b w:val="0"/>
          <w:sz w:val="20"/>
        </w:rPr>
        <w:t>Rättningsnyckel flerval (numrering som i Trelson-filen): 1 A   2 B   3 C   4 B   5 A   6 C   7 A   8 C   9 B   10 B   11 C   12 A   13 C   14 B   15 A</w:t>
      </w:r>
    </w:p>
    <w:p>
      <w:pPr>
        <w:keepNext/>
        <w:spacing w:before="160" w:after="40"/>
      </w:pPr>
      <w:r>
        <w:rPr>
          <w:b/>
          <w:sz w:val="22"/>
        </w:rPr>
        <w:t>Betygskriterier som prövas (kursplan Gy-25, Historia nivå 1b)</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Nr</w:t>
            </w:r>
          </w:p>
        </w:tc>
        <w:tc>
          <w:tcPr>
            <w:tcW w:type="dxa" w:w="7030"/>
          </w:tcPr>
          <w:p>
            <w:r>
              <w:rPr>
                <w:b/>
              </w:rPr>
              <w:t>Innehåll</w:t>
            </w:r>
          </w:p>
        </w:tc>
        <w:tc>
          <w:tcPr>
            <w:tcW w:type="dxa" w:w="1587"/>
          </w:tcPr>
          <w:p>
            <w:r>
              <w:rPr>
                <w:b/>
              </w:rPr>
              <w:t>Prövas i del</w:t>
            </w:r>
          </w:p>
        </w:tc>
      </w:tr>
      <w:tr>
        <w:tc>
          <w:tcPr>
            <w:tcW w:type="dxa" w:w="794"/>
          </w:tcPr>
          <w:p>
            <w:r>
              <w:rPr>
                <w:b/>
              </w:rPr>
              <w:t>K1</w:t>
            </w:r>
          </w:p>
        </w:tc>
        <w:tc>
          <w:tcPr>
            <w:tcW w:type="dxa" w:w="7030"/>
          </w:tcPr>
          <w:p>
            <w:r>
              <w:rPr>
                <w:sz w:val="20"/>
              </w:rPr>
              <w:t>Förändringsprocesser, händelser och aktörer utifrån olika tolkningar och perspektiv</w:t>
            </w:r>
          </w:p>
        </w:tc>
        <w:tc>
          <w:tcPr>
            <w:tcW w:type="dxa" w:w="1587"/>
          </w:tcPr>
          <w:p>
            <w:r>
              <w:rPr>
                <w:sz w:val="20"/>
              </w:rPr>
              <w:t>1, 2, 4, 5</w:t>
            </w:r>
          </w:p>
        </w:tc>
      </w:tr>
      <w:tr>
        <w:tc>
          <w:tcPr>
            <w:tcW w:type="dxa" w:w="794"/>
          </w:tcPr>
          <w:p>
            <w:r>
              <w:rPr>
                <w:b/>
              </w:rPr>
              <w:t>K2</w:t>
            </w:r>
          </w:p>
        </w:tc>
        <w:tc>
          <w:tcPr>
            <w:tcW w:type="dxa" w:w="7030"/>
          </w:tcPr>
          <w:p>
            <w:r>
              <w:rPr>
                <w:sz w:val="20"/>
              </w:rPr>
              <w:t>Samband mellan det förflutna och nutiden</w:t>
            </w:r>
          </w:p>
        </w:tc>
        <w:tc>
          <w:tcPr>
            <w:tcW w:type="dxa" w:w="1587"/>
          </w:tcPr>
          <w:p>
            <w:r>
              <w:rPr>
                <w:sz w:val="20"/>
              </w:rPr>
              <w:t>3, 4</w:t>
            </w:r>
          </w:p>
        </w:tc>
      </w:tr>
      <w:tr>
        <w:tc>
          <w:tcPr>
            <w:tcW w:type="dxa" w:w="794"/>
          </w:tcPr>
          <w:p>
            <w:r>
              <w:rPr>
                <w:b/>
              </w:rPr>
              <w:t>K3</w:t>
            </w:r>
          </w:p>
        </w:tc>
        <w:tc>
          <w:tcPr>
            <w:tcW w:type="dxa" w:w="7030"/>
          </w:tcPr>
          <w:p>
            <w:r>
              <w:rPr>
                <w:sz w:val="20"/>
              </w:rPr>
              <w:t>Resonemang utifrån historiska begrepp, förklaringsmodeller och teorier</w:t>
            </w:r>
          </w:p>
        </w:tc>
        <w:tc>
          <w:tcPr>
            <w:tcW w:type="dxa" w:w="1587"/>
          </w:tcPr>
          <w:p>
            <w:r>
              <w:rPr>
                <w:sz w:val="20"/>
              </w:rPr>
              <w:t>4, 5</w:t>
            </w:r>
          </w:p>
        </w:tc>
      </w:tr>
      <w:tr>
        <w:tc>
          <w:tcPr>
            <w:tcW w:type="dxa" w:w="794"/>
          </w:tcPr>
          <w:p>
            <w:r>
              <w:rPr>
                <w:b/>
                <w:color w:val="555555"/>
              </w:rPr>
              <w:t>K4</w:t>
            </w:r>
          </w:p>
        </w:tc>
        <w:tc>
          <w:tcPr>
            <w:tcW w:type="dxa" w:w="7030"/>
          </w:tcPr>
          <w:p>
            <w:r>
              <w:rPr>
                <w:color w:val="555555"/>
                <w:sz w:val="20"/>
              </w:rPr>
              <w:t>Frågor och historiska källor utifrån historisk metod</w:t>
            </w:r>
          </w:p>
        </w:tc>
        <w:tc>
          <w:tcPr>
            <w:tcW w:type="dxa" w:w="1587"/>
          </w:tcPr>
          <w:p>
            <w:r>
              <w:rPr>
                <w:color w:val="555555"/>
                <w:sz w:val="20"/>
              </w:rPr>
              <w:t>–</w:t>
            </w:r>
          </w:p>
        </w:tc>
      </w:tr>
      <w:tr>
        <w:tc>
          <w:tcPr>
            <w:tcW w:type="dxa" w:w="794"/>
          </w:tcPr>
          <w:p>
            <w:r>
              <w:rPr>
                <w:b/>
              </w:rPr>
              <w:t>K5</w:t>
            </w:r>
          </w:p>
        </w:tc>
        <w:tc>
          <w:tcPr>
            <w:tcW w:type="dxa" w:w="7030"/>
          </w:tcPr>
          <w:p>
            <w:r>
              <w:rPr>
                <w:sz w:val="20"/>
              </w:rPr>
              <w:t>Historiebruk</w:t>
            </w:r>
          </w:p>
        </w:tc>
        <w:tc>
          <w:tcPr>
            <w:tcW w:type="dxa" w:w="1587"/>
          </w:tcPr>
          <w:p>
            <w:r>
              <w:rPr>
                <w:sz w:val="20"/>
              </w:rPr>
              <w:t>3</w:t>
            </w:r>
          </w:p>
        </w:tc>
      </w:tr>
    </w:tbl>
    <w:p>
      <w:pPr>
        <w:keepNext/>
        <w:spacing w:before="160" w:after="40"/>
      </w:pPr>
      <w:r>
        <w:rPr>
          <w:b/>
          <w:sz w:val="22"/>
        </w:rPr>
        <w:t>Centralt innehåll som prövas (kursplan Gy-25, Historia nivå 1b)</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Nr</w:t>
            </w:r>
          </w:p>
        </w:tc>
        <w:tc>
          <w:tcPr>
            <w:tcW w:type="dxa" w:w="7030"/>
          </w:tcPr>
          <w:p>
            <w:r>
              <w:rPr>
                <w:b/>
              </w:rPr>
              <w:t>Innehåll</w:t>
            </w:r>
          </w:p>
        </w:tc>
        <w:tc>
          <w:tcPr>
            <w:tcW w:type="dxa" w:w="1587"/>
          </w:tcPr>
          <w:p>
            <w:r>
              <w:rPr>
                <w:b/>
              </w:rPr>
              <w:t>Prövas i del</w:t>
            </w:r>
          </w:p>
        </w:tc>
      </w:tr>
      <w:tr>
        <w:tc>
          <w:tcPr>
            <w:tcW w:type="dxa" w:w="794"/>
          </w:tcPr>
          <w:p>
            <w:r>
              <w:rPr>
                <w:b/>
                <w:color w:val="555555"/>
              </w:rPr>
              <w:t>CI1</w:t>
            </w:r>
          </w:p>
        </w:tc>
        <w:tc>
          <w:tcPr>
            <w:tcW w:type="dxa" w:w="7030"/>
          </w:tcPr>
          <w:p>
            <w:r>
              <w:rPr>
                <w:color w:val="555555"/>
                <w:sz w:val="20"/>
              </w:rPr>
              <w:t>Europeisk epokindelning och problematisering av tidsindelningar</w:t>
            </w:r>
          </w:p>
        </w:tc>
        <w:tc>
          <w:tcPr>
            <w:tcW w:type="dxa" w:w="1587"/>
          </w:tcPr>
          <w:p>
            <w:r>
              <w:rPr>
                <w:color w:val="555555"/>
                <w:sz w:val="20"/>
              </w:rPr>
              <w:t>–</w:t>
            </w:r>
          </w:p>
        </w:tc>
      </w:tr>
      <w:tr>
        <w:tc>
          <w:tcPr>
            <w:tcW w:type="dxa" w:w="794"/>
          </w:tcPr>
          <w:p>
            <w:r>
              <w:rPr>
                <w:b/>
              </w:rPr>
              <w:t>CI2</w:t>
            </w:r>
          </w:p>
        </w:tc>
        <w:tc>
          <w:tcPr>
            <w:tcW w:type="dxa" w:w="7030"/>
          </w:tcPr>
          <w:p>
            <w:r>
              <w:rPr>
                <w:sz w:val="20"/>
              </w:rPr>
              <w:t>Industrialisering samt framgångar och motgångar för demokratisering</w:t>
            </w:r>
          </w:p>
        </w:tc>
        <w:tc>
          <w:tcPr>
            <w:tcW w:type="dxa" w:w="1587"/>
          </w:tcPr>
          <w:p>
            <w:r>
              <w:rPr>
                <w:sz w:val="20"/>
              </w:rPr>
              <w:t>1, 2, 4</w:t>
            </w:r>
          </w:p>
        </w:tc>
      </w:tr>
      <w:tr>
        <w:tc>
          <w:tcPr>
            <w:tcW w:type="dxa" w:w="794"/>
          </w:tcPr>
          <w:p>
            <w:r>
              <w:rPr>
                <w:b/>
              </w:rPr>
              <w:t>CI3</w:t>
            </w:r>
          </w:p>
        </w:tc>
        <w:tc>
          <w:tcPr>
            <w:tcW w:type="dxa" w:w="7030"/>
          </w:tcPr>
          <w:p>
            <w:r>
              <w:rPr>
                <w:sz w:val="20"/>
              </w:rPr>
              <w:t>Globala förändringsprocesser och händelser; långa linjer med fokus på levnadsvillkor och makt</w:t>
            </w:r>
          </w:p>
        </w:tc>
        <w:tc>
          <w:tcPr>
            <w:tcW w:type="dxa" w:w="1587"/>
          </w:tcPr>
          <w:p>
            <w:r>
              <w:rPr>
                <w:sz w:val="20"/>
              </w:rPr>
              <w:t>1, 2, 5</w:t>
            </w:r>
          </w:p>
        </w:tc>
      </w:tr>
      <w:tr>
        <w:tc>
          <w:tcPr>
            <w:tcW w:type="dxa" w:w="794"/>
          </w:tcPr>
          <w:p>
            <w:r>
              <w:rPr>
                <w:b/>
                <w:color w:val="555555"/>
              </w:rPr>
              <w:t>CI4</w:t>
            </w:r>
          </w:p>
        </w:tc>
        <w:tc>
          <w:tcPr>
            <w:tcW w:type="dxa" w:w="7030"/>
          </w:tcPr>
          <w:p>
            <w:r>
              <w:rPr>
                <w:color w:val="555555"/>
                <w:sz w:val="20"/>
              </w:rPr>
              <w:t>De nationella minoriteternas historia; rasism, antisemitism och antiziganism</w:t>
            </w:r>
          </w:p>
        </w:tc>
        <w:tc>
          <w:tcPr>
            <w:tcW w:type="dxa" w:w="1587"/>
          </w:tcPr>
          <w:p>
            <w:r>
              <w:rPr>
                <w:color w:val="555555"/>
                <w:sz w:val="20"/>
              </w:rPr>
              <w:t>–</w:t>
            </w:r>
          </w:p>
        </w:tc>
      </w:tr>
      <w:tr>
        <w:tc>
          <w:tcPr>
            <w:tcW w:type="dxa" w:w="794"/>
          </w:tcPr>
          <w:p>
            <w:r>
              <w:rPr>
                <w:b/>
              </w:rPr>
              <w:t>CI5</w:t>
            </w:r>
          </w:p>
        </w:tc>
        <w:tc>
          <w:tcPr>
            <w:tcW w:type="dxa" w:w="7030"/>
          </w:tcPr>
          <w:p>
            <w:r>
              <w:rPr>
                <w:sz w:val="20"/>
              </w:rPr>
              <w:t>Samband mellan det förflutna och nutiden med relevans för framtiden</w:t>
            </w:r>
          </w:p>
        </w:tc>
        <w:tc>
          <w:tcPr>
            <w:tcW w:type="dxa" w:w="1587"/>
          </w:tcPr>
          <w:p>
            <w:r>
              <w:rPr>
                <w:sz w:val="20"/>
              </w:rPr>
              <w:t>3, 4</w:t>
            </w:r>
          </w:p>
        </w:tc>
      </w:tr>
      <w:tr>
        <w:tc>
          <w:tcPr>
            <w:tcW w:type="dxa" w:w="794"/>
          </w:tcPr>
          <w:p>
            <w:r>
              <w:rPr>
                <w:b/>
              </w:rPr>
              <w:t>CI6</w:t>
            </w:r>
          </w:p>
        </w:tc>
        <w:tc>
          <w:tcPr>
            <w:tcW w:type="dxa" w:w="7030"/>
          </w:tcPr>
          <w:p>
            <w:r>
              <w:rPr>
                <w:sz w:val="20"/>
              </w:rPr>
              <w:t>Historiska begrepp: aktör och struktur, orsak och konsekvens, kontinuitet och förändring</w:t>
            </w:r>
          </w:p>
        </w:tc>
        <w:tc>
          <w:tcPr>
            <w:tcW w:type="dxa" w:w="1587"/>
          </w:tcPr>
          <w:p>
            <w:r>
              <w:rPr>
                <w:sz w:val="20"/>
              </w:rPr>
              <w:t>4, 5</w:t>
            </w:r>
          </w:p>
        </w:tc>
      </w:tr>
      <w:tr>
        <w:tc>
          <w:tcPr>
            <w:tcW w:type="dxa" w:w="794"/>
          </w:tcPr>
          <w:p>
            <w:r>
              <w:rPr>
                <w:b/>
                <w:color w:val="555555"/>
              </w:rPr>
              <w:t>CI7</w:t>
            </w:r>
          </w:p>
        </w:tc>
        <w:tc>
          <w:tcPr>
            <w:tcW w:type="dxa" w:w="7030"/>
          </w:tcPr>
          <w:p>
            <w:r>
              <w:rPr>
                <w:color w:val="555555"/>
                <w:sz w:val="20"/>
              </w:rPr>
              <w:t>Tolkning, granskning och värdering av historiska källor</w:t>
            </w:r>
          </w:p>
        </w:tc>
        <w:tc>
          <w:tcPr>
            <w:tcW w:type="dxa" w:w="1587"/>
          </w:tcPr>
          <w:p>
            <w:r>
              <w:rPr>
                <w:color w:val="555555"/>
                <w:sz w:val="20"/>
              </w:rPr>
              <w:t>–</w:t>
            </w:r>
          </w:p>
        </w:tc>
      </w:tr>
      <w:tr>
        <w:tc>
          <w:tcPr>
            <w:tcW w:type="dxa" w:w="794"/>
          </w:tcPr>
          <w:p>
            <w:r>
              <w:rPr>
                <w:b/>
              </w:rPr>
              <w:t>CI8</w:t>
            </w:r>
          </w:p>
        </w:tc>
        <w:tc>
          <w:tcPr>
            <w:tcW w:type="dxa" w:w="7030"/>
          </w:tcPr>
          <w:p>
            <w:r>
              <w:rPr>
                <w:sz w:val="20"/>
              </w:rPr>
              <w:t>Historiebruk</w:t>
            </w:r>
          </w:p>
        </w:tc>
        <w:tc>
          <w:tcPr>
            <w:tcW w:type="dxa" w:w="1587"/>
          </w:tcPr>
          <w:p>
            <w:r>
              <w:rPr>
                <w:sz w:val="20"/>
              </w:rPr>
              <w:t>3</w:t>
            </w:r>
          </w:p>
        </w:tc>
      </w:tr>
    </w:tbl>
    <w:p>
      <w:pPr>
        <w:keepNext/>
        <w:spacing w:before="280" w:after="120"/>
      </w:pPr>
      <w:r>
        <w:rPr>
          <w:b/>
          <w:sz w:val="25"/>
        </w:rPr>
        <w:t>1. Välj rätt alternativ.  (15 p)</w:t>
      </w:r>
    </w:p>
    <w:p>
      <w:pPr>
        <w:keepNext w:val="0"/>
        <w:spacing w:before="0" w:after="40"/>
      </w:pPr>
      <w:r>
        <w:rPr>
          <w:b w:val="0"/>
          <w:color w:val="555555"/>
          <w:sz w:val="20"/>
        </w:rPr>
        <w:t>Betygskriterier: K1 Förändringsprocesser, händelser och aktörer utifrån olika tolkningar och perspektiv</w:t>
      </w:r>
    </w:p>
    <w:p>
      <w:pPr>
        <w:keepNext w:val="0"/>
        <w:spacing w:before="0" w:after="40"/>
      </w:pPr>
      <w:r>
        <w:rPr>
          <w:b w:val="0"/>
          <w:color w:val="555555"/>
          <w:sz w:val="20"/>
        </w:rPr>
        <w:t>Centralt innehåll: CI2 Industrialisering samt framgångar och motgångar för demokratisering; CI3 Globala förändringsprocesser och händelser; långa linjer med fokus på levnadsvillkor och makt</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val="0"/>
        <w:spacing w:before="0" w:after="40"/>
      </w:pPr>
      <w:r>
        <w:rPr>
          <w:b w:val="0"/>
          <w:color w:val="555555"/>
          <w:sz w:val="20"/>
        </w:rPr>
        <w:t>Betygskriterier: K1 Förändringsprocesser, händelser och aktörer utifrån olika tolkningar och perspektiv</w:t>
      </w:r>
    </w:p>
    <w:p>
      <w:pPr>
        <w:keepNext w:val="0"/>
        <w:spacing w:before="0" w:after="40"/>
      </w:pPr>
      <w:r>
        <w:rPr>
          <w:b w:val="0"/>
          <w:color w:val="555555"/>
          <w:sz w:val="20"/>
        </w:rPr>
        <w:t>Centralt innehåll: CI2 Industrialisering samt framgångar och motgångar för demokratisering; CI3 Globala förändringsprocesser och händelser; långa linjer med fokus på levnadsvillkor och makt</w:t>
      </w:r>
    </w:p>
    <w:p>
      <w:pPr>
        <w:keepNext/>
        <w:spacing w:before="120" w:after="0"/>
      </w:pPr>
      <w:r>
        <w:rPr>
          <w:b/>
          <w:sz w:val="22"/>
        </w:rPr>
        <w:t>L’ancien régime  (2 p)</w:t>
      </w:r>
    </w:p>
    <w:p>
      <w:pPr>
        <w:keepNext w:val="0"/>
        <w:spacing w:before="0" w:after="0"/>
      </w:pPr>
      <w:r>
        <w:rPr>
          <w:b w:val="0"/>
          <w:sz w:val="21"/>
        </w:rPr>
        <w:t>”Det gamla samhället” – Frankrike före revolutionen: enväldig kung och ett privilegiesamhälle där adel och präster hade förmåner, t.ex. slapp betala skatt.</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Konservatism  (2 p)</w:t>
      </w:r>
    </w:p>
    <w:p>
      <w:pPr>
        <w:keepNext w:val="0"/>
        <w:spacing w:before="0" w:after="0"/>
      </w:pPr>
      <w:r>
        <w:rPr>
          <w:b w:val="0"/>
          <w:sz w:val="21"/>
        </w:rPr>
        <w:t>Ideologi som ville bevara traditioner och den gamla samhällsordningen. Förändringar skulle ske långsamt och bygga på det som redan fanns.</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Klasskamp  (2 p)</w:t>
      </w:r>
    </w:p>
    <w:p>
      <w:pPr>
        <w:keepNext w:val="0"/>
        <w:spacing w:before="0" w:after="0"/>
      </w:pPr>
      <w:r>
        <w:rPr>
          <w:b w:val="0"/>
          <w:sz w:val="21"/>
        </w:rPr>
        <w:t>Marx idé att historien drivs av kampen mellan de som arbetar och de som äger och tjänar på andras arbete, t.ex. arbetare mot kapitalister.</w:t>
      </w:r>
    </w:p>
    <w:p>
      <w:pPr>
        <w:keepNext/>
        <w:spacing w:before="280" w:after="120"/>
      </w:pPr>
      <w:r>
        <w:rPr>
          <w:b/>
          <w:sz w:val="25"/>
        </w:rPr>
        <w:t>3.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0"/>
        </w:rPr>
        <w:t>Betygskriterier: K2 Samband mellan det förflutna och nutiden; K5 Historiebruk</w:t>
      </w:r>
    </w:p>
    <w:p>
      <w:pPr>
        <w:keepNext w:val="0"/>
        <w:spacing w:before="0" w:after="40"/>
      </w:pPr>
      <w:r>
        <w:rPr>
          <w:b w:val="0"/>
          <w:color w:val="555555"/>
          <w:sz w:val="20"/>
        </w:rPr>
        <w:t>Centralt innehåll: CI8 Historiebruk; CI5 Samband mellan det förflutna och nutiden med relevans för framtiden</w:t>
      </w:r>
    </w:p>
    <w:p>
      <w:pPr>
        <w:keepNext w:val="0"/>
        <w:spacing w:before="0" w:after="40"/>
      </w:pPr>
      <w:r>
        <w:rPr>
          <w:b w:val="0"/>
          <w:color w:val="555555"/>
          <w:sz w:val="21"/>
        </w:rPr>
        <w:t>Bygger på fördjupningen Historiebruk: Paris. Frågan ger själv den bakgrund som behövs.</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För enkla resonemang om varför Napoleon och hans segrar hyllas med gatunamn, t.ex. nationell stolthet eller att Napoleon själv ville fira sina segrar, och ger ett enkelt exempel på liknande historiebruk i dag.</w:t>
            </w:r>
          </w:p>
        </w:tc>
      </w:tr>
      <w:tr>
        <w:tc>
          <w:tcPr>
            <w:tcW w:type="dxa" w:w="680"/>
          </w:tcPr>
          <w:p>
            <w:r>
              <w:rPr>
                <w:b/>
              </w:rPr>
              <w:t>C</w:t>
            </w:r>
          </w:p>
        </w:tc>
        <w:tc>
          <w:tcPr>
            <w:tcW w:type="dxa" w:w="8731"/>
          </w:tcPr>
          <w:p>
            <w:r>
              <w:rPr>
                <w:sz w:val="21"/>
              </w:rPr>
              <w:t>För utvecklade resonemang om flera syften: att Napoleon själv använde historien för att stärka sin makt, att namnen skapar nationell identitet och att de i dag också används kommersiellt. Ger ett relevant nutida exempel och förklarar dess syfte.</w:t>
            </w:r>
          </w:p>
        </w:tc>
      </w:tr>
      <w:tr>
        <w:tc>
          <w:tcPr>
            <w:tcW w:type="dxa" w:w="680"/>
          </w:tcPr>
          <w:p>
            <w:r>
              <w:rPr>
                <w:b/>
              </w:rPr>
              <w:t>A</w:t>
            </w:r>
          </w:p>
        </w:tc>
        <w:tc>
          <w:tcPr>
            <w:tcW w:type="dxa" w:w="8731"/>
          </w:tcPr>
          <w:p>
            <w:r>
              <w:rPr>
                <w:sz w:val="21"/>
              </w:rPr>
              <w:t>För utvecklade och nyanserade resonemang, t.ex. om att samma historia kan användas på olika sätt och för olika syften – Napoleon som nationell hjälte eller som krigsherre och diktator – och om hur sådant historiebruk påverkar människors identitet och värderingar i dag.</w:t>
            </w:r>
          </w:p>
        </w:tc>
      </w:tr>
    </w:tbl>
    <w:p>
      <w:pPr>
        <w:keepNext/>
        <w:spacing w:before="280" w:after="120"/>
      </w:pPr>
      <w:r>
        <w:rPr>
          <w:b/>
          <w:sz w:val="25"/>
        </w:rPr>
        <w:t>4.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0"/>
        </w:rPr>
        <w:t>Historiska begrepp: orsak, konsekvens, kontinuitet, förändring</w:t>
      </w:r>
    </w:p>
    <w:p>
      <w:pPr>
        <w:keepNext w:val="0"/>
        <w:spacing w:before="0" w:after="40"/>
      </w:pPr>
      <w:r>
        <w:rPr>
          <w:b w:val="0"/>
          <w:color w:val="555555"/>
          <w:sz w:val="20"/>
        </w:rPr>
        <w:t>Betygskriterier: K1 Förändringsprocesser, händelser och aktörer utifrån olika tolkningar och perspektiv; K2 Samband mellan det förflutna och nutiden; K3 Resonemang utifrån historiska begrepp, förklaringsmodeller och teorier</w:t>
      </w:r>
    </w:p>
    <w:p>
      <w:pPr>
        <w:keepNext w:val="0"/>
        <w:spacing w:before="0" w:after="40"/>
      </w:pPr>
      <w:r>
        <w:rPr>
          <w:b w:val="0"/>
          <w:color w:val="555555"/>
          <w:sz w:val="20"/>
        </w:rPr>
        <w:t>Centralt innehåll: CI2 Industrialisering samt framgångar och motgångar för demokratisering; CI5 Samband mellan det förflutna och nutiden med relevans för framtiden; CI6 Historiska begrepp: aktör och struktur, orsak och konsekvens, kontinuitet och förändring</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liberalism, konservatism och socialism får sina rötter här,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Visar godtagbara kunskaper om några orsaker och konsekvenser, t.ex. det orättvisa skattesystemet och att privilegiesamhället avskaffades. För enkla resonemang med begreppen och ger exempel på och förklarar översiktligt något samband med i dag.</w:t>
            </w:r>
          </w:p>
        </w:tc>
      </w:tr>
      <w:tr>
        <w:tc>
          <w:tcPr>
            <w:tcW w:type="dxa" w:w="680"/>
          </w:tcPr>
          <w:p>
            <w:r>
              <w:rPr>
                <w:b/>
              </w:rPr>
              <w:t>C</w:t>
            </w:r>
          </w:p>
        </w:tc>
        <w:tc>
          <w:tcPr>
            <w:tcW w:type="dxa" w:w="8731"/>
          </w:tcPr>
          <w:p>
            <w:r>
              <w:rPr>
                <w:sz w:val="21"/>
              </w:rPr>
              <w:t>Visar goda kunskaper om flera orsaker (ekonomiska, sociala och idémässiga) och om konsekvenser på både kort och lång sikt. För utvecklade resonemang om vad som förändrades och vad som bestod, och förklarar utförligt samband med nutiden, t.ex. ideologierna eller mänskliga rättigheter.</w:t>
            </w:r>
          </w:p>
        </w:tc>
      </w:tr>
      <w:tr>
        <w:tc>
          <w:tcPr>
            <w:tcW w:type="dxa" w:w="680"/>
          </w:tcPr>
          <w:p>
            <w:r>
              <w:rPr>
                <w:b/>
              </w:rPr>
              <w:t>A</w:t>
            </w:r>
          </w:p>
        </w:tc>
        <w:tc>
          <w:tcPr>
            <w:tcW w:type="dxa" w:w="8731"/>
          </w:tcPr>
          <w:p>
            <w:r>
              <w:rPr>
                <w:sz w:val="21"/>
              </w:rPr>
              <w:t>Visar mycket goda kunskaper och för utvecklade och nyanserade resonemang om hur orsakerna samverkade och om att förändringen inte var rak: monarkin återkom, Wienkongressen och reaktionära krafter, kvinnorna uteslöts – framgångar och motgångar för demokratiseringen. Förklarar utförligt och nyanserat samband med i dag.</w:t>
            </w:r>
          </w:p>
        </w:tc>
      </w:tr>
    </w:tbl>
    <w:p>
      <w:pPr>
        <w:keepNext/>
        <w:spacing w:before="280" w:after="120"/>
      </w:pPr>
      <w:r>
        <w:rPr>
          <w:b/>
          <w:sz w:val="25"/>
        </w:rPr>
        <w:t>5.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0"/>
        </w:rPr>
        <w:t>Historiska begrepp: orsak, konsekvens, aktör, struktur</w:t>
      </w:r>
    </w:p>
    <w:p>
      <w:pPr>
        <w:keepNext w:val="0"/>
        <w:spacing w:before="0" w:after="40"/>
      </w:pPr>
      <w:r>
        <w:rPr>
          <w:b w:val="0"/>
          <w:color w:val="555555"/>
          <w:sz w:val="20"/>
        </w:rPr>
        <w:t>Betygskriterier: K1 Förändringsprocesser, händelser och aktörer utifrån olika tolkningar och perspektiv; K3 Resonemang utifrån historiska begrepp, förklaringsmodeller och teorier</w:t>
      </w:r>
    </w:p>
    <w:p>
      <w:pPr>
        <w:keepNext w:val="0"/>
        <w:spacing w:before="0" w:after="40"/>
      </w:pPr>
      <w:r>
        <w:rPr>
          <w:b w:val="0"/>
          <w:color w:val="555555"/>
          <w:sz w:val="20"/>
        </w:rPr>
        <w:t>Centralt innehåll: CI3 Globala förändringsprocesser och händelser; långa linjer med fokus på levnadsvillkor och makt; CI6 Historiska begrepp: aktör och struktur, orsak och konsekvens, kontinuitet och förändring</w:t>
      </w:r>
    </w:p>
    <w:p>
      <w:pPr>
        <w:keepNext w:val="0"/>
        <w:spacing w:before="0" w:after="40"/>
      </w:pPr>
      <w:r>
        <w:rPr>
          <w:b w:val="0"/>
          <w:color w:val="555555"/>
          <w:sz w:val="21"/>
        </w:rPr>
        <w:t>Bygger på fördjupningen Debatt: Aktör eller struktur? Fallet Tysklands enande. Frågan ger själv den bakgrund som behövs.</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Visar godtagbara kunskaper om hur Tyskland enades och om de två förklaringarna. För enkla resonemang med aktör och struktur, väljer en förklaring med en enkel motivering och nämner någon konsekvens för Europa.</w:t>
            </w:r>
          </w:p>
        </w:tc>
      </w:tr>
      <w:tr>
        <w:tc>
          <w:tcPr>
            <w:tcW w:type="dxa" w:w="680"/>
          </w:tcPr>
          <w:p>
            <w:r>
              <w:rPr>
                <w:b/>
              </w:rPr>
              <w:t>C</w:t>
            </w:r>
          </w:p>
        </w:tc>
        <w:tc>
          <w:tcPr>
            <w:tcW w:type="dxa" w:w="8731"/>
          </w:tcPr>
          <w:p>
            <w:r>
              <w:rPr>
                <w:sz w:val="21"/>
              </w:rPr>
              <w:t>Visar goda kunskaper om förloppet (de tre krigen, Bismarcks roll, Preussens styrka). För utvecklade resonemang där förklaringarna jämförs och valet motiveras, och förklarar flera konsekvenser, t.ex. rubbad maktbalans och ökade spänningar med Frankrike och England.</w:t>
            </w:r>
          </w:p>
        </w:tc>
      </w:tr>
      <w:tr>
        <w:tc>
          <w:tcPr>
            <w:tcW w:type="dxa" w:w="680"/>
          </w:tcPr>
          <w:p>
            <w:r>
              <w:rPr>
                <w:b/>
              </w:rPr>
              <w:t>A</w:t>
            </w:r>
          </w:p>
        </w:tc>
        <w:tc>
          <w:tcPr>
            <w:tcW w:type="dxa" w:w="8731"/>
          </w:tcPr>
          <w:p>
            <w:r>
              <w:rPr>
                <w:sz w:val="21"/>
              </w:rPr>
              <w:t>Visar mycket goda kunskaper och för utvecklade och nyanserade resonemang som visar hur aktör och struktur samverkade och väger förklaringarna mot varandra. Förklarar utförligt och nyanserat hur enandet bidrog till vägen mot första världskriget.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