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Gy-11 (s. 74–99). Totalt 41 poäng.</w:t>
      </w:r>
    </w:p>
    <w:p>
      <w:pPr>
        <w:keepNext w:val="0"/>
        <w:spacing w:before="0" w:after="120"/>
      </w:pPr>
      <w:r>
        <w:rPr>
          <w:b w:val="0"/>
          <w:sz w:val="20"/>
        </w:rPr>
        <w:t>Rättningsnyckel flerval (numrering som i Trelson-filen): 1 A   2 B   3 C   4 B   5 A   6 C   7 A   8 C   9 B   10 B   11 C   12 A   13 C   14 B   15 A</w:t>
      </w:r>
    </w:p>
    <w:p>
      <w:pPr>
        <w:keepNext/>
        <w:spacing w:before="280" w:after="120"/>
      </w:pPr>
      <w:r>
        <w:rPr>
          <w:b/>
          <w:sz w:val="25"/>
        </w:rPr>
        <w:t>1. Välj rätt alternativ.  (15 p)</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1"/>
        </w:rPr>
        <w:t>Betygskriterier som prövas: historiebruk, samband dåtid–nutid</w:t>
      </w:r>
    </w:p>
    <w:p>
      <w:pPr>
        <w:keepNext w:val="0"/>
        <w:spacing w:before="0" w:after="40"/>
      </w:pPr>
      <w:r>
        <w:rPr>
          <w:b w:val="0"/>
          <w:color w:val="555555"/>
          <w:sz w:val="21"/>
        </w:rPr>
        <w:t>Centralt innehåll: Hur individer och grupper använt historia i samhällsliv och politik, Historiens betydelse för identiteter och gemensamma kulturarv</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Napoleon hyllas (t.ex. segrarna, nationell stolthet) och ger ett enkelt exempel på liknande historiebruk i dag.</w:t>
            </w:r>
          </w:p>
        </w:tc>
      </w:tr>
      <w:tr>
        <w:tc>
          <w:tcPr>
            <w:tcW w:type="dxa" w:w="680"/>
          </w:tcPr>
          <w:p>
            <w:r>
              <w:rPr>
                <w:b/>
              </w:rPr>
              <w:t>C</w:t>
            </w:r>
          </w:p>
        </w:tc>
        <w:tc>
          <w:tcPr>
            <w:tcW w:type="dxa" w:w="8731"/>
          </w:tcPr>
          <w:p>
            <w:r>
              <w:rPr>
                <w:sz w:val="21"/>
              </w:rPr>
              <w:t>Förklarar utförligt flera skäl, t.ex. både Napoleons eget bruk av historien och dagens nationella och kommersiella bruk, och värderar med enkla omdömen vad namngivningen betyder i dag.</w:t>
            </w:r>
          </w:p>
        </w:tc>
      </w:tr>
      <w:tr>
        <w:tc>
          <w:tcPr>
            <w:tcW w:type="dxa" w:w="680"/>
          </w:tcPr>
          <w:p>
            <w:r>
              <w:rPr>
                <w:b/>
              </w:rPr>
              <w:t>A</w:t>
            </w:r>
          </w:p>
        </w:tc>
        <w:tc>
          <w:tcPr>
            <w:tcW w:type="dxa" w:w="8731"/>
          </w:tcPr>
          <w:p>
            <w:r>
              <w:rPr>
                <w:sz w:val="21"/>
              </w:rPr>
              <w:t>Förklarar utförligt och nyanserat varför historien används olika, t.ex. att samma person kan hyllas som nationell hjälte men också ses som krigsherre och diktator, och värderar med nyanserade omdömen betydelsen av sådant historiebruk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1"/>
        </w:rPr>
        <w:t>Historiska begrepp: orsak, konsekvens, kontinuitet, förändring</w:t>
      </w:r>
    </w:p>
    <w:p>
      <w:pPr>
        <w:keepNext w:val="0"/>
        <w:spacing w:before="0" w:after="40"/>
      </w:pPr>
      <w:r>
        <w:rPr>
          <w:b w:val="0"/>
          <w:color w:val="555555"/>
          <w:sz w:val="21"/>
        </w:rPr>
        <w:t>Betygskriterier som prövas: förändringsprocesser och händelser, orsaker och konsekvenser, samband dåtid–nutid, historiska begrepp</w:t>
      </w:r>
    </w:p>
    <w:p>
      <w:pPr>
        <w:keepNext w:val="0"/>
        <w:spacing w:before="0" w:after="40"/>
      </w:pPr>
      <w:r>
        <w:rPr>
          <w:b w:val="0"/>
          <w:color w:val="555555"/>
          <w:sz w:val="21"/>
        </w:rPr>
        <w:t>Centralt innehåll: Demokratisering under 1800- och 1900-talen, Långsiktiga förändringsprocesser – kontinuitet och förändring, Förändrade maktförhållanden</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några orsaker och några konsekvenser och ger något exempel på förändring. Använder begreppen med viss säkerhet.</w:t>
            </w:r>
          </w:p>
        </w:tc>
      </w:tr>
      <w:tr>
        <w:tc>
          <w:tcPr>
            <w:tcW w:type="dxa" w:w="680"/>
          </w:tcPr>
          <w:p>
            <w:r>
              <w:rPr>
                <w:b/>
              </w:rPr>
              <w:t>C</w:t>
            </w:r>
          </w:p>
        </w:tc>
        <w:tc>
          <w:tcPr>
            <w:tcW w:type="dxa" w:w="8731"/>
          </w:tcPr>
          <w:p>
            <w:r>
              <w:rPr>
                <w:sz w:val="21"/>
              </w:rPr>
              <w:t>Redogör utförligt för flera orsaker (ekonomiska, sociala och idémässiga) och för konsekvenser på både kort och lång sikt. Visar med exempel vad som förändrades och vad som bestod. Drar välgrundade slutsatser om revolutionens betydelse.</w:t>
            </w:r>
          </w:p>
        </w:tc>
      </w:tr>
      <w:tr>
        <w:tc>
          <w:tcPr>
            <w:tcW w:type="dxa" w:w="680"/>
          </w:tcPr>
          <w:p>
            <w:r>
              <w:rPr>
                <w:b/>
              </w:rPr>
              <w:t>A</w:t>
            </w:r>
          </w:p>
        </w:tc>
        <w:tc>
          <w:tcPr>
            <w:tcW w:type="dxa" w:w="8731"/>
          </w:tcPr>
          <w:p>
            <w:r>
              <w:rPr>
                <w:sz w:val="21"/>
              </w:rPr>
              <w:t>Redogör utförligt och nyanserat: visar hur orsakerna samverkade, skiljer tydligt mellan kort och lång sikt och resonerar om att förändringen inte var rak (monarkin återkom, reaktionära krafter, kvinnorna uteslöts). Förklarar sambandet med dagens samhälle, t.ex. ideologierna och mänskliga rättigheter, och använder begreppen med säkerhet.</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1"/>
        </w:rPr>
        <w:t>Historiska begrepp: orsak, konsekvens, aktör, struktur</w:t>
      </w:r>
    </w:p>
    <w:p>
      <w:pPr>
        <w:keepNext w:val="0"/>
        <w:spacing w:before="0" w:after="40"/>
      </w:pPr>
      <w:r>
        <w:rPr>
          <w:b w:val="0"/>
          <w:color w:val="555555"/>
          <w:sz w:val="21"/>
        </w:rPr>
        <w:t>Betygskriterier som prövas: olika tolkningar, personers betydelse, orsaker och konsekvenser, historiska begrepp</w:t>
      </w:r>
    </w:p>
    <w:p>
      <w:pPr>
        <w:keepNext w:val="0"/>
        <w:spacing w:before="0" w:after="40"/>
      </w:pPr>
      <w:r>
        <w:rPr>
          <w:b w:val="0"/>
          <w:color w:val="555555"/>
          <w:sz w:val="21"/>
        </w:rPr>
        <w:t>Centralt innehåll: Förändrade maktförhållanden och olika historiska förklaringar till dem, Statsbildning – långsiktiga förändringsprocesser</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hur enandet gick till och för de två förklaringarna, förordar en av dem och ger någon enkel motivering. Nämner någon konsekvens för Europa. Använder begreppen med viss säkerhet.</w:t>
            </w:r>
          </w:p>
        </w:tc>
      </w:tr>
      <w:tr>
        <w:tc>
          <w:tcPr>
            <w:tcW w:type="dxa" w:w="680"/>
          </w:tcPr>
          <w:p>
            <w:r>
              <w:rPr>
                <w:b/>
              </w:rPr>
              <w:t>C</w:t>
            </w:r>
          </w:p>
        </w:tc>
        <w:tc>
          <w:tcPr>
            <w:tcW w:type="dxa" w:w="8731"/>
          </w:tcPr>
          <w:p>
            <w:r>
              <w:rPr>
                <w:sz w:val="21"/>
              </w:rPr>
              <w:t>Redogör utförligt för förloppet och förklarar utförligt Bismarcks betydelse. Jämför förklaringarna, förordar en och motiverar med enkla omdömen. Förklarar flera konsekvenser, t.ex. rubbad maktbalans och ökade spänningar med Frankrike och England.</w:t>
            </w:r>
          </w:p>
        </w:tc>
      </w:tr>
      <w:tr>
        <w:tc>
          <w:tcPr>
            <w:tcW w:type="dxa" w:w="680"/>
          </w:tcPr>
          <w:p>
            <w:r>
              <w:rPr>
                <w:b/>
              </w:rPr>
              <w:t>A</w:t>
            </w:r>
          </w:p>
        </w:tc>
        <w:tc>
          <w:tcPr>
            <w:tcW w:type="dxa" w:w="8731"/>
          </w:tcPr>
          <w:p>
            <w:r>
              <w:rPr>
                <w:sz w:val="21"/>
              </w:rPr>
              <w:t>Redogör utförligt och nyanserat, jämför förklaringarna och motiverar sitt val med nyanserade omdömen, t.ex. genom att visa hur aktör och struktur samverkade. Förklarar utförligt och nyanserat hur enandet bidrog till vägen mot första världskriget och drar välgrundade och nyanserade slutsatser. Använder begreppen med säkerhet.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