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142744"/>
          <w:sz w:val="40"/>
        </w:rPr>
        <w:t>ERIC REYNA</w:t>
      </w:r>
    </w:p>
    <w:p>
      <w:pPr>
        <w:spacing w:after="20"/>
        <w:jc w:val="center"/>
      </w:pPr>
      <w:r>
        <w:rPr>
          <w:b/>
          <w:color w:val="2F74B5"/>
          <w:sz w:val="18"/>
        </w:rPr>
        <w:t>TECHNICAL SUPPORT  |  CUSTOMER EXPERIENCE  |  FULL-STACK DEVELOPMENT</w:t>
      </w:r>
    </w:p>
    <w:p>
      <w:pPr>
        <w:spacing w:after="80"/>
        <w:jc w:val="center"/>
      </w:pPr>
      <w:r>
        <w:rPr>
          <w:color w:val="4B5563"/>
          <w:sz w:val="15"/>
        </w:rPr>
        <w:t>Harlingen, TX  |  956-893-3429  |  E_reyna2107@yahoo.com  |  linkedin.com/in/eric-reyna-3a7269147  |  github.com/Ereyna21</w:t>
      </w:r>
    </w:p>
    <w:p>
      <w:pPr>
        <w:spacing w:before="80" w:after="60"/>
      </w:pPr>
      <w:r>
        <w:rPr>
          <w:rFonts w:ascii="Arial" w:hAnsi="Arial"/>
          <w:b/>
          <w:color w:val="2F74B5"/>
          <w:sz w:val="19"/>
        </w:rPr>
        <w:t>PROFESSIONAL SUMMARY</w:t>
      </w:r>
    </w:p>
    <w:p>
      <w:pPr>
        <w:spacing w:after="60"/>
      </w:pPr>
      <w:r>
        <w:t>Bilingual technology and customer experience professional with 16 years of problem-solving experience across financial services, insurance, field service, and full-stack web development. Skilled at troubleshooting, translating complex information into clear next steps, documenting accurately, and supporting customers within regulated environments. Seeking technical support, IT support, application support, product support, customer success, or junior development opportunities.</w:t>
      </w:r>
    </w:p>
    <w:p>
      <w:pPr>
        <w:spacing w:before="80" w:after="60"/>
      </w:pPr>
      <w:r>
        <w:rPr>
          <w:rFonts w:ascii="Arial" w:hAnsi="Arial"/>
          <w:b/>
          <w:color w:val="2F74B5"/>
          <w:sz w:val="19"/>
        </w:rPr>
        <w:t>CORE SKILLS</w:t>
      </w:r>
    </w:p>
    <w:tbl>
      <w:tblPr>
        <w:tblW w:type="auto" w:w="0"/>
        <w:jc w:val="center"/>
        <w:tblLayout w:type="autofit"/>
        <w:tblLook w:firstColumn="1" w:firstRow="1" w:lastColumn="0" w:lastRow="0" w:noHBand="0" w:noVBand="1" w:val="04A0"/>
      </w:tblPr>
      <w:tblGrid>
        <w:gridCol w:w="5328"/>
        <w:gridCol w:w="5328"/>
      </w:tblGrid>
      <w:tr>
        <w:tc>
          <w:tcPr>
            <w:tcW w:type="dxa" w:w="5328"/>
            <w:shd w:fill="EEF4FB"/>
            <w:vAlign w:val="center"/>
          </w:tcPr>
          <w:p>
            <w:pPr>
              <w:spacing w:after="0" w:before="0"/>
            </w:pPr>
            <w:r>
              <w:rPr>
                <w:color w:val="142744"/>
                <w:sz w:val="15"/>
              </w:rPr>
              <w:t>Technical Support | Troubleshooting | Windows | Networking Fundamentals | IP Addressing | DNS/DHCP | Documentation | Bilingual Support</w:t>
            </w:r>
          </w:p>
        </w:tc>
        <w:tc>
          <w:tcPr>
            <w:tcW w:type="dxa" w:w="5328"/>
            <w:shd w:fill="EEF4FB"/>
            <w:vAlign w:val="center"/>
          </w:tcPr>
          <w:p>
            <w:pPr>
              <w:spacing w:after="0" w:before="0"/>
            </w:pPr>
            <w:r>
              <w:rPr>
                <w:color w:val="142744"/>
                <w:sz w:val="15"/>
              </w:rPr>
              <w:t>React | JavaScript | HTML/CSS | Node.js | Express | REST APIs | MySQL | MongoDB | Git/GitHub | Postman | Netlify</w:t>
            </w:r>
          </w:p>
        </w:tc>
      </w:tr>
    </w:tbl>
    <w:p>
      <w:pPr>
        <w:spacing w:before="80" w:after="60"/>
      </w:pPr>
      <w:r>
        <w:rPr>
          <w:rFonts w:ascii="Arial" w:hAnsi="Arial"/>
          <w:b/>
          <w:color w:val="2F74B5"/>
          <w:sz w:val="19"/>
        </w:rPr>
        <w:t>PROFESSIONAL EXPERIENCE</w:t>
      </w:r>
    </w:p>
    <w:tbl>
      <w:tblPr>
        <w:tblW w:type="auto" w:w="0"/>
        <w:jc w:val="center"/>
        <w:tblLayout w:type="fixed"/>
        <w:tblLook w:firstColumn="1" w:firstRow="1" w:lastColumn="0" w:lastRow="0" w:noHBand="0" w:noVBand="1" w:val="04A0"/>
      </w:tblPr>
      <w:tblGrid>
        <w:gridCol w:w="8136"/>
        <w:gridCol w:w="2376"/>
      </w:tblGrid>
      <w:tr>
        <w:tc>
          <w:tcPr>
            <w:tcW w:type="dxa" w:w="5328"/>
            <w:vAlign w:val="center"/>
            <w:tcMar>
              <w:top w:w="0" w:type="dxa"/>
              <w:left w:w="0" w:type="dxa"/>
              <w:bottom w:w="0" w:type="dxa"/>
              <w:right w:w="0" w:type="dxa"/>
            </w:tcMar>
          </w:tcPr>
          <w:p>
            <w:pPr>
              <w:spacing w:after="0"/>
            </w:pPr>
            <w:r>
              <w:rPr>
                <w:b/>
                <w:color w:val="142744"/>
                <w:sz w:val="18"/>
              </w:rPr>
              <w:t>Associate II, Customer Experience - Care</w:t>
            </w:r>
            <w:r>
              <w:rPr>
                <w:b/>
                <w:color w:val="4B5563"/>
                <w:sz w:val="17"/>
              </w:rPr>
              <w:t xml:space="preserve">  |  Qualfon | USAA Credit Card Services</w:t>
            </w:r>
          </w:p>
        </w:tc>
        <w:tc>
          <w:tcPr>
            <w:tcW w:type="dxa" w:w="5328"/>
            <w:vAlign w:val="center"/>
            <w:tcMar>
              <w:top w:w="0" w:type="dxa"/>
              <w:left w:w="0" w:type="dxa"/>
              <w:bottom w:w="0" w:type="dxa"/>
              <w:right w:w="0" w:type="dxa"/>
            </w:tcMar>
          </w:tcPr>
          <w:p>
            <w:pPr>
              <w:spacing w:after="0"/>
              <w:jc w:val="right"/>
            </w:pPr>
            <w:r>
              <w:rPr>
                <w:b/>
                <w:color w:val="4B5563"/>
                <w:sz w:val="16"/>
              </w:rPr>
              <w:t>2026 - Present</w:t>
            </w:r>
          </w:p>
        </w:tc>
      </w:tr>
    </w:tbl>
    <w:p>
      <w:pPr>
        <w:spacing w:after="24"/>
        <w:ind w:left="202" w:hanging="144"/>
      </w:pPr>
      <w:r>
        <w:rPr>
          <w:color w:val="2F74B5"/>
        </w:rPr>
        <w:t xml:space="preserve">• </w:t>
      </w:r>
      <w:r>
        <w:t>Support customers with credit-card servicing questions using internal systems, authentication procedures, regulated workflows, and accurate documentation.</w:t>
      </w:r>
    </w:p>
    <w:p>
      <w:pPr>
        <w:spacing w:after="24"/>
        <w:ind w:left="202" w:hanging="144"/>
      </w:pPr>
      <w:r>
        <w:rPr>
          <w:color w:val="2F74B5"/>
        </w:rPr>
        <w:t xml:space="preserve">• </w:t>
      </w:r>
      <w:r>
        <w:t>Explain account information and next steps clearly, troubleshoot service issues, protect customer data, and resolve concerns professionally.</w:t>
      </w:r>
    </w:p>
    <w:tbl>
      <w:tblPr>
        <w:tblW w:type="auto" w:w="0"/>
        <w:jc w:val="center"/>
        <w:tblLayout w:type="fixed"/>
        <w:tblLook w:firstColumn="1" w:firstRow="1" w:lastColumn="0" w:lastRow="0" w:noHBand="0" w:noVBand="1" w:val="04A0"/>
      </w:tblPr>
      <w:tblGrid>
        <w:gridCol w:w="8136"/>
        <w:gridCol w:w="2376"/>
      </w:tblGrid>
      <w:tr>
        <w:tc>
          <w:tcPr>
            <w:tcW w:type="dxa" w:w="5328"/>
            <w:vAlign w:val="center"/>
            <w:tcMar>
              <w:top w:w="0" w:type="dxa"/>
              <w:left w:w="0" w:type="dxa"/>
              <w:bottom w:w="0" w:type="dxa"/>
              <w:right w:w="0" w:type="dxa"/>
            </w:tcMar>
          </w:tcPr>
          <w:p>
            <w:pPr>
              <w:spacing w:after="0"/>
            </w:pPr>
            <w:r>
              <w:rPr>
                <w:b/>
                <w:color w:val="142744"/>
                <w:sz w:val="18"/>
              </w:rPr>
              <w:t>Licensed Life Insurance Agent</w:t>
            </w:r>
            <w:r>
              <w:rPr>
                <w:b/>
                <w:color w:val="4B5563"/>
                <w:sz w:val="17"/>
              </w:rPr>
              <w:t xml:space="preserve">  |  Quility Insurance</w:t>
            </w:r>
          </w:p>
        </w:tc>
        <w:tc>
          <w:tcPr>
            <w:tcW w:type="dxa" w:w="5328"/>
            <w:vAlign w:val="center"/>
            <w:tcMar>
              <w:top w:w="0" w:type="dxa"/>
              <w:left w:w="0" w:type="dxa"/>
              <w:bottom w:w="0" w:type="dxa"/>
              <w:right w:w="0" w:type="dxa"/>
            </w:tcMar>
          </w:tcPr>
          <w:p>
            <w:pPr>
              <w:spacing w:after="0"/>
              <w:jc w:val="right"/>
            </w:pPr>
            <w:r>
              <w:rPr>
                <w:b/>
                <w:color w:val="4B5563"/>
                <w:sz w:val="16"/>
              </w:rPr>
              <w:t>2025 - Present</w:t>
            </w:r>
          </w:p>
        </w:tc>
      </w:tr>
    </w:tbl>
    <w:p>
      <w:pPr>
        <w:spacing w:after="24"/>
        <w:ind w:left="202" w:hanging="144"/>
      </w:pPr>
      <w:r>
        <w:rPr>
          <w:color w:val="2F74B5"/>
        </w:rPr>
        <w:t xml:space="preserve">• </w:t>
      </w:r>
      <w:r>
        <w:t>Guide clients through coverage options, collect sensitive information accurately, and maintain compliant application documentation.</w:t>
      </w:r>
    </w:p>
    <w:p>
      <w:pPr>
        <w:spacing w:after="24"/>
        <w:ind w:left="202" w:hanging="144"/>
      </w:pPr>
      <w:r>
        <w:rPr>
          <w:color w:val="2F74B5"/>
        </w:rPr>
        <w:t xml:space="preserve">• </w:t>
      </w:r>
      <w:r>
        <w:t>Use carrier systems, CRM workflows, and digital tools to manage applications, follow-up, and customer communication.</w:t>
      </w:r>
    </w:p>
    <w:tbl>
      <w:tblPr>
        <w:tblW w:type="auto" w:w="0"/>
        <w:jc w:val="center"/>
        <w:tblLayout w:type="fixed"/>
        <w:tblLook w:firstColumn="1" w:firstRow="1" w:lastColumn="0" w:lastRow="0" w:noHBand="0" w:noVBand="1" w:val="04A0"/>
      </w:tblPr>
      <w:tblGrid>
        <w:gridCol w:w="8136"/>
        <w:gridCol w:w="2376"/>
      </w:tblGrid>
      <w:tr>
        <w:tc>
          <w:tcPr>
            <w:tcW w:type="dxa" w:w="5328"/>
            <w:vAlign w:val="center"/>
            <w:tcMar>
              <w:top w:w="0" w:type="dxa"/>
              <w:left w:w="0" w:type="dxa"/>
              <w:bottom w:w="0" w:type="dxa"/>
              <w:right w:w="0" w:type="dxa"/>
            </w:tcMar>
          </w:tcPr>
          <w:p>
            <w:pPr>
              <w:spacing w:after="0"/>
            </w:pPr>
            <w:r>
              <w:rPr>
                <w:b/>
                <w:color w:val="142744"/>
                <w:sz w:val="18"/>
              </w:rPr>
              <w:t>Licensed Health Plan Advisor</w:t>
            </w:r>
            <w:r>
              <w:rPr>
                <w:b/>
                <w:color w:val="4B5563"/>
                <w:sz w:val="17"/>
              </w:rPr>
              <w:t xml:space="preserve">  |  Bloom Insurance</w:t>
            </w:r>
          </w:p>
        </w:tc>
        <w:tc>
          <w:tcPr>
            <w:tcW w:type="dxa" w:w="5328"/>
            <w:vAlign w:val="center"/>
            <w:tcMar>
              <w:top w:w="0" w:type="dxa"/>
              <w:left w:w="0" w:type="dxa"/>
              <w:bottom w:w="0" w:type="dxa"/>
              <w:right w:w="0" w:type="dxa"/>
            </w:tcMar>
          </w:tcPr>
          <w:p>
            <w:pPr>
              <w:jc w:val="right"/>
            </w:pPr>
            <w:r>
              <w:t>2024 - 2025</w:t>
            </w:r>
          </w:p>
        </w:tc>
      </w:tr>
    </w:tbl>
    <w:p>
      <w:pPr>
        <w:spacing w:after="24"/>
        <w:ind w:left="202" w:hanging="144"/>
      </w:pPr>
      <w:r>
        <w:rPr>
          <w:color w:val="2F74B5"/>
        </w:rPr>
        <w:t xml:space="preserve">• </w:t>
      </w:r>
      <w:r>
        <w:t>Guided customers through health-plan information using clear, consultative communication in a regulated environment.</w:t>
      </w:r>
    </w:p>
    <w:p>
      <w:pPr>
        <w:spacing w:after="24"/>
        <w:ind w:left="202" w:hanging="144"/>
      </w:pPr>
      <w:r>
        <w:rPr>
          <w:color w:val="2F74B5"/>
        </w:rPr>
        <w:t xml:space="preserve">• </w:t>
      </w:r>
      <w:r>
        <w:t>Used internal systems and structured workflows to document interactions accurately and support compliant customer service.</w:t>
      </w:r>
    </w:p>
    <w:tbl>
      <w:tblPr>
        <w:tblW w:type="auto" w:w="0"/>
        <w:jc w:val="center"/>
        <w:tblLayout w:type="fixed"/>
        <w:tblLook w:firstColumn="1" w:firstRow="1" w:lastColumn="0" w:lastRow="0" w:noHBand="0" w:noVBand="1" w:val="04A0"/>
      </w:tblPr>
      <w:tblGrid>
        <w:gridCol w:w="8136"/>
        <w:gridCol w:w="2376"/>
      </w:tblGrid>
      <w:tr>
        <w:tc>
          <w:tcPr>
            <w:tcW w:type="dxa" w:w="5328"/>
            <w:vAlign w:val="center"/>
            <w:tcMar>
              <w:top w:w="0" w:type="dxa"/>
              <w:left w:w="0" w:type="dxa"/>
              <w:bottom w:w="0" w:type="dxa"/>
              <w:right w:w="0" w:type="dxa"/>
            </w:tcMar>
          </w:tcPr>
          <w:p>
            <w:pPr>
              <w:spacing w:after="0"/>
            </w:pPr>
            <w:r>
              <w:rPr>
                <w:b/>
                <w:color w:val="142744"/>
                <w:sz w:val="18"/>
              </w:rPr>
              <w:t>Pest Control Technician</w:t>
            </w:r>
            <w:r>
              <w:rPr>
                <w:b/>
                <w:color w:val="4B5563"/>
                <w:sz w:val="17"/>
              </w:rPr>
              <w:t xml:space="preserve">  |  Orkin Pest Control</w:t>
            </w:r>
          </w:p>
        </w:tc>
        <w:tc>
          <w:tcPr>
            <w:tcW w:type="dxa" w:w="5328"/>
            <w:vAlign w:val="center"/>
            <w:tcMar>
              <w:top w:w="0" w:type="dxa"/>
              <w:left w:w="0" w:type="dxa"/>
              <w:bottom w:w="0" w:type="dxa"/>
              <w:right w:w="0" w:type="dxa"/>
            </w:tcMar>
          </w:tcPr>
          <w:p>
            <w:pPr>
              <w:spacing w:after="0"/>
              <w:jc w:val="right"/>
            </w:pPr>
            <w:r>
              <w:rPr>
                <w:b/>
                <w:color w:val="4B5563"/>
                <w:sz w:val="16"/>
              </w:rPr>
              <w:t>2014 - 2023</w:t>
            </w:r>
          </w:p>
        </w:tc>
      </w:tr>
    </w:tbl>
    <w:p>
      <w:pPr>
        <w:spacing w:after="24"/>
        <w:ind w:left="202" w:hanging="144"/>
      </w:pPr>
      <w:r>
        <w:rPr>
          <w:color w:val="2F74B5"/>
        </w:rPr>
        <w:t xml:space="preserve">• </w:t>
      </w:r>
      <w:r>
        <w:t>Diagnosed property issues, created tailored service plans, and explained technical findings to residential and commercial customers.</w:t>
      </w:r>
    </w:p>
    <w:p>
      <w:pPr>
        <w:spacing w:after="24"/>
        <w:ind w:left="202" w:hanging="144"/>
      </w:pPr>
      <w:r>
        <w:rPr>
          <w:color w:val="2F74B5"/>
        </w:rPr>
        <w:t xml:space="preserve">• </w:t>
      </w:r>
      <w:r>
        <w:t>Managed a recurring route, maintained detailed service records, and built long-term relationships through dependable support.</w:t>
      </w:r>
    </w:p>
    <w:p>
      <w:pPr>
        <w:spacing w:before="80" w:after="60"/>
      </w:pPr>
      <w:r>
        <w:rPr>
          <w:rFonts w:ascii="Arial" w:hAnsi="Arial"/>
          <w:b/>
          <w:color w:val="2F74B5"/>
          <w:sz w:val="19"/>
        </w:rPr>
        <w:t>EDUCATION &amp; CREDENTIALS</w:t>
      </w:r>
    </w:p>
    <w:tbl>
      <w:tblPr>
        <w:tblW w:type="auto" w:w="0"/>
        <w:jc w:val="center"/>
        <w:tblLook w:firstColumn="1" w:firstRow="1" w:lastColumn="0" w:lastRow="0" w:noHBand="0" w:noVBand="1" w:val="04A0"/>
      </w:tblPr>
      <w:tblGrid>
        <w:gridCol w:w="5328"/>
        <w:gridCol w:w="5328"/>
      </w:tblGrid>
      <w:tr>
        <w:tc>
          <w:tcPr>
            <w:tcW w:type="dxa" w:w="5328"/>
          </w:tcPr>
          <w:p>
            <w:pPr>
              <w:spacing w:after="0"/>
            </w:pPr>
            <w:r>
              <w:rPr>
                <w:b/>
                <w:color w:val="142744"/>
                <w:sz w:val="17"/>
              </w:rPr>
              <w:t>Full-Stack Web Development Certificate</w:t>
            </w:r>
            <w:r>
              <w:rPr>
                <w:color w:val="4B5563"/>
                <w:sz w:val="16"/>
              </w:rPr>
              <w:br/>
              <w:t>The University of Texas at Austin</w:t>
            </w:r>
          </w:p>
        </w:tc>
        <w:tc>
          <w:tcPr>
            <w:tcW w:type="dxa" w:w="5328"/>
          </w:tcPr>
          <w:p>
            <w:pPr>
              <w:spacing w:after="0"/>
            </w:pPr>
            <w:r>
              <w:rPr>
                <w:b/>
                <w:color w:val="142744"/>
                <w:sz w:val="17"/>
              </w:rPr>
              <w:t>Texas General Lines Agent License</w:t>
            </w:r>
            <w:r>
              <w:rPr>
                <w:color w:val="4B5563"/>
                <w:sz w:val="16"/>
              </w:rPr>
              <w:br/>
              <w:t>Life, Accident, Health &amp; HMO | Active through 2028</w:t>
            </w:r>
          </w:p>
        </w:tc>
      </w:tr>
    </w:tbl>
    <w:p>
      <w:pPr>
        <w:spacing w:before="80" w:after="60"/>
      </w:pPr>
      <w:r>
        <w:rPr>
          <w:rFonts w:ascii="Arial" w:hAnsi="Arial"/>
          <w:b/>
          <w:color w:val="2F74B5"/>
          <w:sz w:val="19"/>
        </w:rPr>
        <w:t>CURRENT TECHNICAL DEVELOPMENT</w:t>
      </w:r>
    </w:p>
    <w:p>
      <w:pPr>
        <w:spacing w:after="0"/>
      </w:pPr>
      <w:r>
        <w:rPr>
          <w:color w:val="4B5563"/>
          <w:sz w:val="16"/>
        </w:rPr>
        <w:t>CompTIA A+ studies | AWS Cloud Practitioner coursework | IP Addressing &amp; Subnetting | MySQL | Hands-on React and full-stack portfolio projects</w:t>
      </w:r>
    </w:p>
    <w:sectPr w:rsidR="00FC693F" w:rsidRPr="0006063C"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6"/>
    </w:pPr>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