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709bf76bbcee5030ba9d8448a2503bdc9ce279a3.png"/>
            <a:graphic>
              <a:graphicData uri="http://schemas.openxmlformats.org/drawingml/2006/picture">
                <pic:pic>
                  <pic:nvPicPr>
                    <pic:cNvPr id="1" name="image-709bf76bbcee5030ba9d8448a2503bdc9ce279a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perform_a_deep_strategic_analysis_b8f43a"/>
      <w:r>
        <w:rPr>
          <w:rFonts w:eastAsia="inter" w:cs="inter" w:ascii="inter" w:hAnsi="inter"/>
          <w:b/>
          <w:color w:val="000000"/>
          <w:sz w:val="39"/>
        </w:rPr>
        <w:t xml:space="preserve">Perform a deep strategic analysis of Accenture's AI offering, focusing on how they differentiate from standard IT integrators like Matrix/Elad.</w:t>
      </w:r>
      <w:bookmarkEnd w:id="0"/>
    </w:p>
    <w:p>
      <w:pPr>
        <w:spacing w:line="360" w:after="210" w:lineRule="auto"/>
      </w:pPr>
      <w:r>
        <w:rPr>
          <w:rFonts w:eastAsia="inter" w:cs="inter" w:ascii="inter" w:hAnsi="inter"/>
          <w:b/>
          <w:color w:val="000000"/>
        </w:rPr>
        <w:t xml:space="preserve">1. The "Packaging" (The Reinvention Strategy):</w:t>
      </w:r>
    </w:p>
    <w:p>
      <w:pPr>
        <w:numPr>
          <w:ilvl w:val="0"/>
          <w:numId w:val="1"/>
        </w:numPr>
        <w:spacing w:line="360" w:before="105" w:after="105" w:lineRule="auto"/>
      </w:pPr>
      <w:r>
        <w:rPr>
          <w:rFonts w:eastAsia="inter" w:cs="inter" w:ascii="inter" w:hAnsi="inter"/>
          <w:color w:val="000000"/>
          <w:sz w:val="21"/>
        </w:rPr>
        <w:t xml:space="preserve">Search for: "Accenture Total Enterprise Reinvention", "Accenture AI Navigator".</w:t>
      </w:r>
    </w:p>
    <w:p>
      <w:pPr>
        <w:numPr>
          <w:ilvl w:val="0"/>
          <w:numId w:val="1"/>
        </w:numPr>
        <w:spacing w:line="360" w:before="105" w:after="105" w:lineRule="auto"/>
      </w:pPr>
      <w:r>
        <w:rPr>
          <w:rFonts w:eastAsia="inter" w:cs="inter" w:ascii="inter" w:hAnsi="inter"/>
          <w:color w:val="000000"/>
          <w:sz w:val="21"/>
        </w:rPr>
        <w:t xml:space="preserve">Goal: Find the </w:t>
      </w:r>
      <w:r>
        <w:rPr>
          <w:rFonts w:eastAsia="inter" w:cs="inter" w:ascii="inter" w:hAnsi="inter"/>
          <w:i/>
          <w:color w:val="000000"/>
          <w:sz w:val="21"/>
        </w:rPr>
        <w:t xml:space="preserve">methodology</w:t>
      </w:r>
      <w:r>
        <w:rPr>
          <w:rFonts w:eastAsia="inter" w:cs="inter" w:ascii="inter" w:hAnsi="inter"/>
          <w:color w:val="000000"/>
          <w:sz w:val="21"/>
        </w:rPr>
        <w:t xml:space="preserve"> names. They don't sell "projects", they sell a journey. What are the steps?</w:t>
      </w:r>
    </w:p>
    <w:p>
      <w:pPr>
        <w:numPr>
          <w:ilvl w:val="0"/>
          <w:numId w:val="1"/>
        </w:numPr>
        <w:spacing w:line="360" w:before="105" w:after="105" w:lineRule="auto"/>
      </w:pPr>
      <w:r>
        <w:rPr>
          <w:rFonts w:eastAsia="inter" w:cs="inter" w:ascii="inter" w:hAnsi="inter"/>
          <w:color w:val="000000"/>
          <w:sz w:val="21"/>
        </w:rPr>
        <w:t xml:space="preserve">Key Asset: Investigate "Accenture AI Refinery". Is it a software platform? A framework? How does it connect to NVIDIA?</w:t>
      </w:r>
    </w:p>
    <w:p>
      <w:pPr>
        <w:spacing w:line="360" w:after="210" w:lineRule="auto"/>
      </w:pPr>
      <w:r>
        <w:rPr>
          <w:rFonts w:eastAsia="inter" w:cs="inter" w:ascii="inter" w:hAnsi="inter"/>
          <w:b/>
          <w:color w:val="000000"/>
        </w:rPr>
        <w:t xml:space="preserve">2. The "Industrialized" AI (Product vs. Service):</w:t>
      </w:r>
    </w:p>
    <w:p>
      <w:pPr>
        <w:numPr>
          <w:ilvl w:val="0"/>
          <w:numId w:val="2"/>
        </w:numPr>
        <w:spacing w:line="360" w:before="105" w:after="105" w:lineRule="auto"/>
      </w:pPr>
      <w:r>
        <w:rPr>
          <w:rFonts w:eastAsia="inter" w:cs="inter" w:ascii="inter" w:hAnsi="inter"/>
          <w:color w:val="000000"/>
          <w:sz w:val="21"/>
        </w:rPr>
        <w:t xml:space="preserve">Search for: "Accenture SynOps", "Accenture myWizard AI".</w:t>
      </w:r>
    </w:p>
    <w:p>
      <w:pPr>
        <w:numPr>
          <w:ilvl w:val="0"/>
          <w:numId w:val="2"/>
        </w:numPr>
        <w:spacing w:line="360" w:before="105" w:after="105" w:lineRule="auto"/>
      </w:pPr>
      <w:r>
        <w:rPr>
          <w:rFonts w:eastAsia="inter" w:cs="inter" w:ascii="inter" w:hAnsi="inter"/>
          <w:color w:val="000000"/>
          <w:sz w:val="21"/>
        </w:rPr>
        <w:t xml:space="preserve">Hypothesis: Accenture uses proprietary platforms to automate their own work. Find evidence of these tools being used to deliver AI faster/cheaper.</w:t>
      </w:r>
    </w:p>
    <w:p>
      <w:pPr>
        <w:numPr>
          <w:ilvl w:val="0"/>
          <w:numId w:val="2"/>
        </w:numPr>
        <w:spacing w:line="360" w:before="105" w:after="105" w:lineRule="auto"/>
      </w:pPr>
      <w:r>
        <w:rPr>
          <w:rFonts w:eastAsia="inter" w:cs="inter" w:ascii="inter" w:hAnsi="inter"/>
          <w:color w:val="000000"/>
          <w:sz w:val="21"/>
        </w:rPr>
        <w:t xml:space="preserve">The "Julie Sweet" Angle: Look for quotes from the CEO about "AI as the Digital Core".</w:t>
      </w:r>
    </w:p>
    <w:p>
      <w:pPr>
        <w:spacing w:line="360" w:after="210" w:lineRule="auto"/>
      </w:pPr>
      <w:r>
        <w:rPr>
          <w:rFonts w:eastAsia="inter" w:cs="inter" w:ascii="inter" w:hAnsi="inter"/>
          <w:b/>
          <w:color w:val="000000"/>
        </w:rPr>
        <w:t xml:space="preserve">3. The Israeli Footprint (Local Relevance):</w:t>
      </w:r>
    </w:p>
    <w:p>
      <w:pPr>
        <w:numPr>
          <w:ilvl w:val="0"/>
          <w:numId w:val="3"/>
        </w:numPr>
        <w:spacing w:line="360" w:before="105" w:after="105" w:lineRule="auto"/>
      </w:pPr>
      <w:r>
        <w:rPr>
          <w:rFonts w:eastAsia="inter" w:cs="inter" w:ascii="inter" w:hAnsi="inter"/>
          <w:color w:val="000000"/>
          <w:sz w:val="21"/>
        </w:rPr>
        <w:t xml:space="preserve">Search for: "Accenture Israel AI projects", "Accenture Israel acquisitions" (e.g., Maglan, big data firms).</w:t>
      </w:r>
    </w:p>
    <w:p>
      <w:pPr>
        <w:numPr>
          <w:ilvl w:val="0"/>
          <w:numId w:val="3"/>
        </w:numPr>
        <w:spacing w:line="360" w:before="105" w:after="105" w:lineRule="auto"/>
      </w:pPr>
      <w:r>
        <w:rPr>
          <w:rFonts w:eastAsia="inter" w:cs="inter" w:ascii="inter" w:hAnsi="inter"/>
          <w:color w:val="000000"/>
          <w:sz w:val="21"/>
        </w:rPr>
        <w:t xml:space="preserve">The Challenge: They are expensive. How do they justify the price in the Israeli market? (Global expertise brought locally?).</w:t>
      </w:r>
    </w:p>
    <w:p>
      <w:pPr>
        <w:spacing w:line="360" w:after="210" w:lineRule="auto"/>
      </w:pPr>
      <w:r>
        <w:rPr>
          <w:rFonts w:eastAsia="inter" w:cs="inter" w:ascii="inter" w:hAnsi="inter"/>
          <w:b/>
          <w:color w:val="000000"/>
        </w:rPr>
        <w:t xml:space="preserve">4. Case Studies (The Proof):</w:t>
      </w:r>
    </w:p>
    <w:p>
      <w:pPr>
        <w:numPr>
          <w:ilvl w:val="0"/>
          <w:numId w:val="4"/>
        </w:numPr>
        <w:spacing w:line="360" w:before="105" w:after="105" w:lineRule="auto"/>
      </w:pPr>
      <w:r>
        <w:rPr>
          <w:rFonts w:eastAsia="inter" w:cs="inter" w:ascii="inter" w:hAnsi="inter"/>
          <w:color w:val="000000"/>
          <w:sz w:val="21"/>
        </w:rPr>
        <w:t xml:space="preserve">Find 1-2 major enterprise case studies (Global or Israeli) where Accenture transformed a company using GenAI.</w:t>
      </w:r>
    </w:p>
    <w:p>
      <w:pPr>
        <w:numPr>
          <w:ilvl w:val="0"/>
          <w:numId w:val="4"/>
        </w:numPr>
        <w:spacing w:line="360" w:before="105" w:after="105" w:lineRule="auto"/>
      </w:pPr>
      <w:r>
        <w:rPr>
          <w:rFonts w:eastAsia="inter" w:cs="inter" w:ascii="inter" w:hAnsi="inter"/>
          <w:color w:val="000000"/>
          <w:sz w:val="21"/>
        </w:rPr>
        <w:t xml:space="preserve">Focus on: Banks, Telco, or Gov.</w:t>
      </w:r>
    </w:p>
    <w:p>
      <w:pPr>
        <w:spacing w:line="360" w:after="210" w:lineRule="auto"/>
      </w:pPr>
      <w:r>
        <w:rPr>
          <w:rFonts w:eastAsia="inter" w:cs="inter" w:ascii="inter" w:hAnsi="inter"/>
          <w:b/>
          <w:color w:val="000000"/>
        </w:rPr>
        <w:t xml:space="preserve">Output Requirement:</w:t>
      </w:r>
      <w:r>
        <w:rPr>
          <w:rFonts w:eastAsia="inter" w:cs="inter" w:ascii="inter" w:hAnsi="inter"/>
          <w:color w:val="000000"/>
        </w:rPr>
        <w:br w:type="textWrapping"/>
      </w:r>
      <w:r>
        <w:rPr>
          <w:rFonts w:eastAsia="inter" w:cs="inter" w:ascii="inter" w:hAnsi="inter"/>
          <w:color w:val="000000"/>
        </w:rPr>
        <w:t xml:space="preserve">A structured report highlighting:</w:t>
      </w:r>
    </w:p>
    <w:p>
      <w:pPr>
        <w:numPr>
          <w:ilvl w:val="0"/>
          <w:numId w:val="5"/>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"Reinvention" Framework</w:t>
      </w:r>
      <w:r>
        <w:rPr>
          <w:rFonts w:eastAsia="inter" w:cs="inter" w:ascii="inter" w:hAnsi="inter"/>
          <w:color w:val="000000"/>
          <w:sz w:val="21"/>
        </w:rPr>
        <w:t xml:space="preserve"> (How they sell).</w:t>
      </w:r>
    </w:p>
    <w:p>
      <w:pPr>
        <w:numPr>
          <w:ilvl w:val="0"/>
          <w:numId w:val="5"/>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"Refinery" Asset</w:t>
      </w:r>
      <w:r>
        <w:rPr>
          <w:rFonts w:eastAsia="inter" w:cs="inter" w:ascii="inter" w:hAnsi="inter"/>
          <w:color w:val="000000"/>
          <w:sz w:val="21"/>
        </w:rPr>
        <w:t xml:space="preserve"> (What they have that others don't).</w:t>
      </w:r>
    </w:p>
    <w:p>
      <w:pPr>
        <w:numPr>
          <w:ilvl w:val="0"/>
          <w:numId w:val="5"/>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Israeli Strategy</w:t>
      </w:r>
      <w:r>
        <w:rPr>
          <w:rFonts w:eastAsia="inter" w:cs="inter" w:ascii="inter" w:hAnsi="inter"/>
          <w:color w:val="000000"/>
          <w:sz w:val="21"/>
        </w:rPr>
        <w:t xml:space="preserve"> (How they compete here).</w:t>
      </w:r>
    </w:p>
    <w:p>
      <w:pPr>
        <w:spacing w:line="360" w:after="210" w:lineRule="auto"/>
      </w:pPr>
      <w:r>
        <w:rPr>
          <w:rFonts w:eastAsia="inter" w:cs="inter" w:ascii="inter" w:hAnsi="inter"/>
          <w:color w:val="000000"/>
        </w:rPr>
        <w:t xml:space="preserve">Now let me create a comprehensive professional report.</w:t>
      </w:r>
    </w:p>
    <w:p>
      <w:pPr>
        <w:spacing w:line="270" w:before="157.5" w:after="157.5" w:lineRule="auto"/>
        <w:jc w:val="left"/>
      </w:pPr>
      <w:bookmarkStart w:id="1" w:name="accenture_s_ai_strategy_how_enter_ffb2ce"/>
      <w:r>
        <w:rPr>
          <w:rFonts w:eastAsia="inter" w:cs="inter" w:ascii="inter" w:hAnsi="inter"/>
          <w:b/>
          <w:color w:val="000000"/>
          <w:sz w:val="39"/>
        </w:rPr>
        <w:t xml:space="preserve">Accenture's AI Strategy: How Enterprise Reinvention Redefines Consulting</w:t>
      </w:r>
      <w:bookmarkEnd w:id="1"/>
    </w:p>
    <w:p>
      <w:pPr>
        <w:spacing w:line="360" w:before="315" w:after="105" w:lineRule="auto"/>
        <w:ind w:left="-30"/>
        <w:jc w:val="left"/>
      </w:pPr>
      <w:bookmarkStart w:id="2" w:name="executive_summary"/>
      <w:r>
        <w:rPr>
          <w:rFonts w:eastAsia="inter" w:cs="inter" w:ascii="inter" w:hAnsi="inter"/>
          <w:b/>
          <w:color w:val="000000"/>
          <w:sz w:val="24"/>
        </w:rPr>
        <w:t xml:space="preserve">Executive Summary</w:t>
      </w:r>
      <w:bookmarkEnd w:id="2"/>
    </w:p>
    <w:p>
      <w:pPr>
        <w:spacing w:line="360" w:after="210" w:lineRule="auto"/>
      </w:pPr>
      <w:r>
        <w:rPr>
          <w:rFonts w:eastAsia="inter" w:cs="inter" w:ascii="inter" w:hAnsi="inter"/>
          <w:color w:val="000000"/>
        </w:rPr>
        <w:t xml:space="preserve">Accenture has fundamentally repositioned the consulting industry by rebranding enterprise transformation as </w:t>
      </w:r>
      <w:r>
        <w:rPr>
          <w:rFonts w:eastAsia="inter" w:cs="inter" w:ascii="inter" w:hAnsi="inter"/>
          <w:b/>
          <w:color w:val="000000"/>
        </w:rPr>
        <w:t xml:space="preserve">"Total Enterprise Reinvention"</w:t>
      </w:r>
      <w:r>
        <w:rPr>
          <w:rFonts w:eastAsia="inter" w:cs="inter" w:ascii="inter" w:hAnsi="inter"/>
          <w:color w:val="000000"/>
        </w:rPr>
        <w:t xml:space="preserve">—a methodology-driven, continuous journey powered by generative AI. Rather than competing with IT integrators like Matrix or Elad on project delivery costs, Accenture has built a premium positioning strategy anchored on three pillars: (1) a proprietary </w:t>
      </w:r>
      <w:r>
        <w:rPr>
          <w:rFonts w:eastAsia="inter" w:cs="inter" w:ascii="inter" w:hAnsi="inter"/>
          <w:b/>
          <w:color w:val="000000"/>
        </w:rPr>
        <w:t xml:space="preserve">reinvention framework</w:t>
      </w:r>
      <w:r>
        <w:rPr>
          <w:rFonts w:eastAsia="inter" w:cs="inter" w:ascii="inter" w:hAnsi="inter"/>
          <w:color w:val="000000"/>
        </w:rPr>
        <w:t xml:space="preserve"> that sells CEO-level strategic guidance over traditional IT projects; (2) </w:t>
      </w:r>
      <w:r>
        <w:rPr>
          <w:rFonts w:eastAsia="inter" w:cs="inter" w:ascii="inter" w:hAnsi="inter"/>
          <w:b/>
          <w:color w:val="000000"/>
        </w:rPr>
        <w:t xml:space="preserve">AI Refinery</w:t>
      </w:r>
      <w:r>
        <w:rPr>
          <w:rFonts w:eastAsia="inter" w:cs="inter" w:ascii="inter" w:hAnsi="inter"/>
          <w:color w:val="000000"/>
        </w:rPr>
        <w:t xml:space="preserve">, a NVIDIA-powered platform for scaling AI across enterprise workflows; and (3) a </w:t>
      </w:r>
      <w:r>
        <w:rPr>
          <w:rFonts w:eastAsia="inter" w:cs="inter" w:ascii="inter" w:hAnsi="inter"/>
          <w:b/>
          <w:color w:val="000000"/>
        </w:rPr>
        <w:t xml:space="preserve">high-touch Israeli strategy</w:t>
      </w:r>
      <w:r>
        <w:rPr>
          <w:rFonts w:eastAsia="inter" w:cs="inter" w:ascii="inter" w:hAnsi="inter"/>
          <w:color w:val="000000"/>
        </w:rPr>
        <w:t xml:space="preserve"> that combines global capabilities with local credibility through the Maglan cybersecurity acquisition.</w:t>
      </w:r>
    </w:p>
    <w:p>
      <w:pPr>
        <w:spacing w:line="360" w:after="210" w:lineRule="auto"/>
      </w:pPr>
      <w:r>
        <w:rPr>
          <w:rFonts w:eastAsia="inter" w:cs="inter" w:ascii="inter" w:hAnsi="inter"/>
          <w:color w:val="000000"/>
        </w:rPr>
        <w:t xml:space="preserve">This analysis reveals how Accenture has leveraged $3 billion in AI investment and 700,000 trained professionals to create a "moat" that traditional IT services companies cannot easily replicate. Their differentiation is not technical superiority but rather </w:t>
      </w:r>
      <w:r>
        <w:rPr>
          <w:rFonts w:eastAsia="inter" w:cs="inter" w:ascii="inter" w:hAnsi="inter"/>
          <w:b/>
          <w:color w:val="000000"/>
        </w:rPr>
        <w:t xml:space="preserve">strategic framing</w:t>
      </w:r>
      <w:r>
        <w:rPr>
          <w:rFonts w:eastAsia="inter" w:cs="inter" w:ascii="inter" w:hAnsi="inter"/>
          <w:color w:val="000000"/>
        </w:rPr>
        <w:t xml:space="preserve">—positioning AI as an operating system that must inform market selection, pricing, and organizational design, not as a tactical tool.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part_1_the_reinvention_framework_31270a"/>
      <w:r>
        <w:rPr>
          <w:rFonts w:eastAsia="inter" w:cs="inter" w:ascii="inter" w:hAnsi="inter"/>
          <w:b/>
          <w:color w:val="000000"/>
          <w:sz w:val="24"/>
        </w:rPr>
        <w:t xml:space="preserve">Part 1: The Reinvention Framework – The Packaging Strategy</w:t>
      </w:r>
      <w:bookmarkEnd w:id="3"/>
    </w:p>
    <w:p>
      <w:pPr>
        <w:spacing w:line="360" w:before="315" w:after="105" w:lineRule="auto"/>
        <w:ind w:left="-30"/>
        <w:jc w:val="left"/>
      </w:pPr>
      <w:bookmarkStart w:id="4" w:name="how_accenture_sells_transformation"/>
      <w:r>
        <w:rPr>
          <w:rFonts w:eastAsia="inter" w:cs="inter" w:ascii="inter" w:hAnsi="inter"/>
          <w:b/>
          <w:color w:val="000000"/>
          <w:sz w:val="24"/>
        </w:rPr>
        <w:t xml:space="preserve">How Accenture Sells Transformation</w:t>
      </w:r>
      <w:bookmarkEnd w:id="4"/>
    </w:p>
    <w:p>
      <w:pPr>
        <w:spacing w:line="360" w:after="210" w:lineRule="auto"/>
      </w:pPr>
      <w:r>
        <w:rPr>
          <w:rFonts w:eastAsia="inter" w:cs="inter" w:ascii="inter" w:hAnsi="inter"/>
          <w:color w:val="000000"/>
        </w:rPr>
        <w:t xml:space="preserve">Accenture's core offering is not a set of discrete projects but a </w:t>
      </w:r>
      <w:r>
        <w:rPr>
          <w:rFonts w:eastAsia="inter" w:cs="inter" w:ascii="inter" w:hAnsi="inter"/>
          <w:b/>
          <w:color w:val="000000"/>
        </w:rPr>
        <w:t xml:space="preserve">branded strategic framework</w:t>
      </w:r>
      <w:r>
        <w:rPr>
          <w:rFonts w:eastAsia="inter" w:cs="inter" w:ascii="inter" w:hAnsi="inter"/>
          <w:color w:val="000000"/>
        </w:rPr>
        <w:t xml:space="preserve"> called </w:t>
      </w:r>
      <w:r>
        <w:rPr>
          <w:rFonts w:eastAsia="inter" w:cs="inter" w:ascii="inter" w:hAnsi="inter"/>
          <w:b/>
          <w:color w:val="000000"/>
        </w:rPr>
        <w:t xml:space="preserve">Total Enterprise Reinvention</w:t>
      </w:r>
      <w:r>
        <w:rPr>
          <w:rFonts w:eastAsia="inter" w:cs="inter" w:ascii="inter" w:hAnsi="inter"/>
          <w:color w:val="000000"/>
        </w:rPr>
        <w:t xml:space="preserve">. This framework represents a deliberate pivot away from the language of "digital transformation"—a term now seen as insufficient—toward "reinvention," suggesting that generative AI requires companies to fundamentally rethink their value proposition, talent models, and operating systems.</w:t>
      </w:r>
      <w:bookmarkStart w:id="5" w:name="fnref1"/>
      <w:bookmarkEnd w:id="5"/>
      <w:hyperlink w:anchor="fn1">
        <w:r>
          <w:rPr>
            <w:rFonts w:eastAsia="inter" w:cs="inter" w:ascii="inter" w:hAnsi="inter"/>
            <w:color w:val="#000"/>
            <w:u w:val="single"/>
            <w:vertAlign w:val="superscript"/>
          </w:rPr>
          <w:t xml:space="preserve">[1]</w:t>
        </w:r>
      </w:hyperlink>
      <w:bookmarkStart w:id="6" w:name="fnref2"/>
      <w:bookmarkEnd w:id="6"/>
      <w:hyperlink w:anchor="fn2">
        <w:r>
          <w:rPr>
            <w:rFonts w:eastAsia="inter" w:cs="inter" w:ascii="inter" w:hAnsi="inter"/>
            <w:color w:val="#000"/>
            <w:u w:val="single"/>
            <w:vertAlign w:val="superscript"/>
          </w:rPr>
          <w:t xml:space="preserve">[2]</w:t>
        </w:r>
      </w:hyperlink>
      <w:bookmarkStart w:id="7" w:name="fnref3"/>
      <w:bookmarkEnd w:id="7"/>
      <w:hyperlink w:anchor="fn3">
        <w:r>
          <w:rPr>
            <w:rFonts w:eastAsia="inter" w:cs="inter" w:ascii="inter" w:hAnsi="inter"/>
            <w:color w:val="#000"/>
            <w:u w:val="single"/>
            <w:vertAlign w:val="superscript"/>
          </w:rPr>
          <w:t xml:space="preserve">[3]</w:t>
        </w:r>
      </w:hyperlink>
      <w:bookmarkStart w:id="8" w:name="fnref4"/>
      <w:bookmarkEnd w:id="8"/>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The framework consists of six key characteristics that form the methodology:</w:t>
      </w:r>
      <w:bookmarkStart w:id="9" w:name="fnref2_1"/>
      <w:bookmarkEnd w:id="9"/>
      <w:hyperlink w:anchor="fn2">
        <w:r>
          <w:rPr>
            <w:rFonts w:eastAsia="inter" w:cs="inter" w:ascii="inter" w:hAnsi="inter"/>
            <w:color w:val="#000"/>
            <w:u w:val="single"/>
            <w:vertAlign w:val="superscript"/>
          </w:rPr>
          <w:t xml:space="preserve">[2]</w:t>
        </w:r>
      </w:hyperlink>
      <w:bookmarkStart w:id="10" w:name="fnref3_1"/>
      <w:bookmarkEnd w:id="10"/>
      <w:hyperlink w:anchor="fn3">
        <w:r>
          <w:rPr>
            <w:rFonts w:eastAsia="inter" w:cs="inter" w:ascii="inter" w:hAnsi="inter"/>
            <w:color w:val="#000"/>
            <w:u w:val="single"/>
            <w:vertAlign w:val="superscript"/>
          </w:rPr>
          <w:t xml:space="preserve">[3]</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Characteristic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Definition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Competitive Implication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Reinvention is the Strategy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 longer an execution lever but the core business strategy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Elevates Accenture from IT delivery partner to strategic advisor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Digital Core as Competitive Advantage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Cloud, data, and AI integrated across interoperable systems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Justifies premium pricing for architecture (not implementation)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Beyond Benchmarks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Companies set new industry performance frontiers, not match competitors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Positions clients as market leaders, not followers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Talent &amp; People Central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Change management becomes a core competency, not an afterthought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Differentiates from technology-first integrators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Boundaryless Execution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Breaks down silos across all functions (finance, supply chain, sales, HR)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Enables cross-functional value capture integrators miss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Continuous Reinvention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Dynamic reprioritization quarterly; not a one-time program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Creates ongoing engagement model (vs. project-based)</w:t>
            </w:r>
          </w:p>
        </w:tc>
      </w:tr>
    </w:tbl>
    <w:p>
      <w:pPr>
        <w:spacing w:lineRule="auto"/>
      </w:pPr>
    </w:p>
    <w:p>
      <w:pPr>
        <w:spacing w:line="360" w:after="210" w:lineRule="auto"/>
      </w:pPr>
      <w:r>
        <w:rPr>
          <w:rFonts w:eastAsia="inter" w:cs="inter" w:ascii="inter" w:hAnsi="inter"/>
          <w:b/>
          <w:color w:val="000000"/>
        </w:rPr>
        <w:t xml:space="preserve">Financial Impact of Adoption:</w:t>
      </w:r>
      <w:r>
        <w:rPr>
          <w:rFonts w:eastAsia="inter" w:cs="inter" w:ascii="inter" w:hAnsi="inter"/>
          <w:color w:val="000000"/>
        </w:rPr>
        <w:t xml:space="preserve"> Companies embracing Total Enterprise Reinvention (called "Reinventors" in Accenture's taxonomy) achieve:</w:t>
      </w:r>
      <w:bookmarkStart w:id="11" w:name="fnref3_2"/>
      <w:bookmarkEnd w:id="11"/>
      <w:hyperlink w:anchor="fn3">
        <w:r>
          <w:rPr>
            <w:rFonts w:eastAsia="inter" w:cs="inter" w:ascii="inter" w:hAnsi="inter"/>
            <w:color w:val="#000"/>
            <w:u w:val="single"/>
            <w:vertAlign w:val="superscript"/>
          </w:rPr>
          <w:t xml:space="preserve">[3]</w:t>
        </w:r>
      </w:hyperlink>
      <w:bookmarkStart w:id="12" w:name="fnref4_1"/>
      <w:bookmarkEnd w:id="12"/>
      <w:hyperlink w:anchor="fn4">
        <w:r>
          <w:rPr>
            <w:rFonts w:eastAsia="inter" w:cs="inter" w:ascii="inter" w:hAnsi="inter"/>
            <w:color w:val="#000"/>
            <w:u w:val="single"/>
            <w:vertAlign w:val="superscript"/>
          </w:rPr>
          <w:t xml:space="preserve">[4]</w:t>
        </w:r>
      </w:hyperlink>
    </w:p>
    <w:p>
      <w:pPr>
        <w:numPr>
          <w:ilvl w:val="0"/>
          <w:numId w:val="6"/>
        </w:numPr>
        <w:spacing w:line="360" w:before="105" w:after="105" w:lineRule="auto"/>
      </w:pPr>
      <w:r>
        <w:rPr>
          <w:rFonts w:eastAsia="inter" w:cs="inter" w:ascii="inter" w:hAnsi="inter"/>
          <w:b/>
          <w:color w:val="000000"/>
          <w:sz w:val="21"/>
        </w:rPr>
        <w:t xml:space="preserve">10% higher incremental revenue growth</w:t>
      </w:r>
      <w:r>
        <w:rPr>
          <w:rFonts w:eastAsia="inter" w:cs="inter" w:ascii="inter" w:hAnsi="inter"/>
          <w:color w:val="000000"/>
          <w:sz w:val="21"/>
        </w:rPr>
        <w:t xml:space="preserve"> than Transformers</w:t>
      </w:r>
    </w:p>
    <w:p>
      <w:pPr>
        <w:numPr>
          <w:ilvl w:val="0"/>
          <w:numId w:val="6"/>
        </w:numPr>
        <w:spacing w:line="360" w:before="105" w:after="105" w:lineRule="auto"/>
      </w:pPr>
      <w:r>
        <w:rPr>
          <w:rFonts w:eastAsia="inter" w:cs="inter" w:ascii="inter" w:hAnsi="inter"/>
          <w:b/>
          <w:color w:val="000000"/>
          <w:sz w:val="21"/>
        </w:rPr>
        <w:t xml:space="preserve">13% higher cost-reduction improvements</w:t>
      </w:r>
    </w:p>
    <w:p>
      <w:pPr>
        <w:numPr>
          <w:ilvl w:val="0"/>
          <w:numId w:val="6"/>
        </w:numPr>
        <w:spacing w:line="360" w:before="105" w:after="105" w:lineRule="auto"/>
      </w:pPr>
      <w:r>
        <w:rPr>
          <w:rFonts w:eastAsia="inter" w:cs="inter" w:ascii="inter" w:hAnsi="inter"/>
          <w:b/>
          <w:color w:val="000000"/>
          <w:sz w:val="21"/>
        </w:rPr>
        <w:t xml:space="preserve">17% higher balance-sheet improvements</w:t>
      </w:r>
    </w:p>
    <w:p>
      <w:pPr>
        <w:numPr>
          <w:ilvl w:val="0"/>
          <w:numId w:val="6"/>
        </w:numPr>
        <w:spacing w:line="360" w:before="105" w:after="105" w:lineRule="auto"/>
      </w:pPr>
      <w:r>
        <w:rPr>
          <w:rFonts w:eastAsia="inter" w:cs="inter" w:ascii="inter" w:hAnsi="inter"/>
          <w:b/>
          <w:color w:val="000000"/>
          <w:sz w:val="21"/>
        </w:rPr>
        <w:t xml:space="preserve">1.3x more financial value in first 6 months</w:t>
      </w:r>
      <w:r>
        <w:rPr>
          <w:rFonts w:eastAsia="inter" w:cs="inter" w:ascii="inter" w:hAnsi="inter"/>
          <w:color w:val="000000"/>
          <w:sz w:val="21"/>
        </w:rPr>
        <w:t xml:space="preserve"> than Transformers</w:t>
      </w:r>
    </w:p>
    <w:p>
      <w:pPr>
        <w:numPr>
          <w:ilvl w:val="0"/>
          <w:numId w:val="6"/>
        </w:numPr>
        <w:spacing w:line="360" w:before="105" w:after="105" w:lineRule="auto"/>
      </w:pPr>
      <w:r>
        <w:rPr>
          <w:rFonts w:eastAsia="inter" w:cs="inter" w:ascii="inter" w:hAnsi="inter"/>
          <w:b/>
          <w:color w:val="000000"/>
          <w:sz w:val="21"/>
        </w:rPr>
        <w:t xml:space="preserve">66% report faster delivery</w:t>
      </w:r>
      <w:r>
        <w:rPr>
          <w:rFonts w:eastAsia="inter" w:cs="inter" w:ascii="inter" w:hAnsi="inter"/>
          <w:color w:val="000000"/>
          <w:sz w:val="21"/>
        </w:rPr>
        <w:t xml:space="preserve"> of reinvention strategy versus historical norms</w:t>
      </w:r>
    </w:p>
    <w:p>
      <w:pPr>
        <w:spacing w:line="360" w:before="315" w:after="105" w:lineRule="auto"/>
        <w:ind w:left="-30"/>
        <w:jc w:val="left"/>
      </w:pPr>
      <w:bookmarkStart w:id="13" w:name="accenture_s_research_validation"/>
      <w:r>
        <w:rPr>
          <w:rFonts w:eastAsia="inter" w:cs="inter" w:ascii="inter" w:hAnsi="inter"/>
          <w:b/>
          <w:color w:val="000000"/>
          <w:sz w:val="24"/>
        </w:rPr>
        <w:t xml:space="preserve">Accenture's Research Validation</w:t>
      </w:r>
      <w:bookmarkEnd w:id="13"/>
    </w:p>
    <w:p>
      <w:pPr>
        <w:spacing w:line="360" w:after="210" w:lineRule="auto"/>
      </w:pPr>
      <w:r>
        <w:rPr>
          <w:rFonts w:eastAsia="inter" w:cs="inter" w:ascii="inter" w:hAnsi="inter"/>
          <w:color w:val="000000"/>
        </w:rPr>
        <w:t xml:space="preserve">The framework is underpinned by quantitative research:</w:t>
      </w:r>
      <w:bookmarkStart w:id="14" w:name="fnref2_2"/>
      <w:bookmarkEnd w:id="14"/>
      <w:hyperlink w:anchor="fn2">
        <w:r>
          <w:rPr>
            <w:rFonts w:eastAsia="inter" w:cs="inter" w:ascii="inter" w:hAnsi="inter"/>
            <w:color w:val="#000"/>
            <w:u w:val="single"/>
            <w:vertAlign w:val="superscript"/>
          </w:rPr>
          <w:t xml:space="preserve">[2]</w:t>
        </w:r>
      </w:hyperlink>
      <w:bookmarkStart w:id="15" w:name="fnref3_3"/>
      <w:bookmarkEnd w:id="15"/>
      <w:hyperlink w:anchor="fn3">
        <w:r>
          <w:rPr>
            <w:rFonts w:eastAsia="inter" w:cs="inter" w:ascii="inter" w:hAnsi="inter"/>
            <w:color w:val="#000"/>
            <w:u w:val="single"/>
            <w:vertAlign w:val="superscript"/>
          </w:rPr>
          <w:t xml:space="preserve">[3]</w:t>
        </w:r>
      </w:hyperlink>
    </w:p>
    <w:p>
      <w:pPr>
        <w:numPr>
          <w:ilvl w:val="0"/>
          <w:numId w:val="7"/>
        </w:numPr>
        <w:spacing w:line="360" w:before="105" w:after="105" w:lineRule="auto"/>
      </w:pPr>
      <w:r>
        <w:rPr>
          <w:rFonts w:eastAsia="inter" w:cs="inter" w:ascii="inter" w:hAnsi="inter"/>
          <w:b/>
          <w:color w:val="000000"/>
          <w:sz w:val="21"/>
        </w:rPr>
        <w:t xml:space="preserve">1,516 C-suite executives</w:t>
      </w:r>
      <w:r>
        <w:rPr>
          <w:rFonts w:eastAsia="inter" w:cs="inter" w:ascii="inter" w:hAnsi="inter"/>
          <w:color w:val="000000"/>
          <w:sz w:val="21"/>
        </w:rPr>
        <w:t xml:space="preserve"> surveyed globally across 19 industries</w:t>
      </w:r>
    </w:p>
    <w:p>
      <w:pPr>
        <w:numPr>
          <w:ilvl w:val="0"/>
          <w:numId w:val="7"/>
        </w:numPr>
        <w:spacing w:line="360" w:before="105" w:after="105" w:lineRule="auto"/>
      </w:pPr>
      <w:r>
        <w:rPr>
          <w:rFonts w:eastAsia="inter" w:cs="inter" w:ascii="inter" w:hAnsi="inter"/>
          <w:b/>
          <w:color w:val="000000"/>
          <w:sz w:val="21"/>
        </w:rPr>
        <w:t xml:space="preserve">3 company archetypes identified</w:t>
      </w:r>
      <w:r>
        <w:rPr>
          <w:rFonts w:eastAsia="inter" w:cs="inter" w:ascii="inter" w:hAnsi="inter"/>
          <w:color w:val="000000"/>
          <w:sz w:val="21"/>
        </w:rPr>
        <w:t xml:space="preserve">: Reinventors (8%), Transformers (86%), Optimizers (6%)</w:t>
      </w:r>
    </w:p>
    <w:p>
      <w:pPr>
        <w:numPr>
          <w:ilvl w:val="0"/>
          <w:numId w:val="7"/>
        </w:numPr>
        <w:spacing w:line="360" w:before="105" w:after="105" w:lineRule="auto"/>
      </w:pPr>
      <w:r>
        <w:rPr>
          <w:rFonts w:eastAsia="inter" w:cs="inter" w:ascii="inter" w:hAnsi="inter"/>
          <w:b/>
          <w:color w:val="000000"/>
          <w:sz w:val="21"/>
        </w:rPr>
        <w:t xml:space="preserve">Global Disruption Index</w:t>
      </w:r>
      <w:r>
        <w:rPr>
          <w:rFonts w:eastAsia="inter" w:cs="inter" w:ascii="inter" w:hAnsi="inter"/>
          <w:color w:val="000000"/>
          <w:sz w:val="21"/>
        </w:rPr>
        <w:t xml:space="preserve">: Disruption increased </w:t>
      </w:r>
      <w:r>
        <w:rPr>
          <w:rFonts w:eastAsia="inter" w:cs="inter" w:ascii="inter" w:hAnsi="inter"/>
          <w:b/>
          <w:color w:val="000000"/>
          <w:sz w:val="21"/>
        </w:rPr>
        <w:t xml:space="preserve">200% from 2017-2022</w:t>
      </w:r>
      <w:r>
        <w:rPr>
          <w:rFonts w:eastAsia="inter" w:cs="inter" w:ascii="inter" w:hAnsi="inter"/>
          <w:color w:val="000000"/>
          <w:sz w:val="21"/>
        </w:rPr>
        <w:t xml:space="preserve"> (vs. only 4% from 2011-2016)</w:t>
      </w:r>
    </w:p>
    <w:p>
      <w:pPr>
        <w:numPr>
          <w:ilvl w:val="0"/>
          <w:numId w:val="7"/>
        </w:numPr>
        <w:spacing w:line="360" w:before="105" w:after="105" w:lineRule="auto"/>
      </w:pPr>
      <w:r>
        <w:rPr>
          <w:rFonts w:eastAsia="inter" w:cs="inter" w:ascii="inter" w:hAnsi="inter"/>
          <w:b/>
          <w:color w:val="000000"/>
          <w:sz w:val="21"/>
        </w:rPr>
        <w:t xml:space="preserve">Task reinvention potential</w:t>
      </w:r>
      <w:r>
        <w:rPr>
          <w:rFonts w:eastAsia="inter" w:cs="inter" w:ascii="inter" w:hAnsi="inter"/>
          <w:color w:val="000000"/>
          <w:sz w:val="21"/>
        </w:rPr>
        <w:t xml:space="preserve">: Average of 76% of US worker tasks could be reinvented via automation or augmentation</w:t>
      </w:r>
    </w:p>
    <w:p>
      <w:pPr>
        <w:spacing w:line="360" w:after="210" w:lineRule="auto"/>
      </w:pPr>
      <w:r>
        <w:rPr>
          <w:rFonts w:eastAsia="inter" w:cs="inter" w:ascii="inter" w:hAnsi="inter"/>
          <w:color w:val="000000"/>
        </w:rPr>
        <w:t xml:space="preserve">This research is deployed as proof, not just positioning. Clients see themselves in the taxonomy and aspire to move from "Transformer" to "Reinventor" status—a migration that requires Accenture's methodology and sustained engagement.</w:t>
      </w:r>
    </w:p>
    <w:p>
      <w:pPr>
        <w:spacing w:line="360" w:before="315" w:after="105" w:lineRule="auto"/>
        <w:ind w:left="-30"/>
        <w:jc w:val="left"/>
      </w:pPr>
      <w:bookmarkStart w:id="16" w:name="engagement_model_shift"/>
      <w:r>
        <w:rPr>
          <w:rFonts w:eastAsia="inter" w:cs="inter" w:ascii="inter" w:hAnsi="inter"/>
          <w:b/>
          <w:color w:val="000000"/>
          <w:sz w:val="24"/>
        </w:rPr>
        <w:t xml:space="preserve">Engagement Model Shift</w:t>
      </w:r>
      <w:bookmarkEnd w:id="16"/>
    </w:p>
    <w:p>
      <w:pPr>
        <w:spacing w:line="360" w:after="210" w:lineRule="auto"/>
      </w:pPr>
      <w:r>
        <w:rPr>
          <w:rFonts w:eastAsia="inter" w:cs="inter" w:ascii="inter" w:hAnsi="inter"/>
          <w:color w:val="000000"/>
        </w:rPr>
        <w:t xml:space="preserve">The framework enables a </w:t>
      </w:r>
      <w:r>
        <w:rPr>
          <w:rFonts w:eastAsia="inter" w:cs="inter" w:ascii="inter" w:hAnsi="inter"/>
          <w:b/>
          <w:color w:val="000000"/>
        </w:rPr>
        <w:t xml:space="preserve">continuous engagement model</w:t>
      </w:r>
      <w:r>
        <w:rPr>
          <w:rFonts w:eastAsia="inter" w:cs="inter" w:ascii="inter" w:hAnsi="inter"/>
          <w:color w:val="000000"/>
        </w:rPr>
        <w:t xml:space="preserve"> rather than project-based delivery:</w:t>
      </w:r>
      <w:bookmarkStart w:id="17" w:name="fnref4_2"/>
      <w:bookmarkEnd w:id="17"/>
      <w:hyperlink w:anchor="fn4">
        <w:r>
          <w:rPr>
            <w:rFonts w:eastAsia="inter" w:cs="inter" w:ascii="inter" w:hAnsi="inter"/>
            <w:color w:val="#000"/>
            <w:u w:val="single"/>
            <w:vertAlign w:val="superscript"/>
          </w:rPr>
          <w:t xml:space="preserve">[4]</w:t>
        </w:r>
      </w:hyperlink>
    </w:p>
    <w:p>
      <w:pPr>
        <w:numPr>
          <w:ilvl w:val="0"/>
          <w:numId w:val="8"/>
        </w:numPr>
        <w:spacing w:line="360" w:before="105" w:after="105" w:lineRule="auto"/>
      </w:pPr>
      <w:r>
        <w:rPr>
          <w:rFonts w:eastAsia="inter" w:cs="inter" w:ascii="inter" w:hAnsi="inter"/>
          <w:b/>
          <w:color w:val="000000"/>
          <w:sz w:val="21"/>
        </w:rPr>
        <w:t xml:space="preserve">Strategy phase</w:t>
      </w:r>
      <w:r>
        <w:rPr>
          <w:rFonts w:eastAsia="inter" w:cs="inter" w:ascii="inter" w:hAnsi="inter"/>
          <w:color w:val="000000"/>
          <w:sz w:val="21"/>
        </w:rPr>
        <w:t xml:space="preserve"> defines the reinvention roadmap across all enterprise functions</w:t>
      </w:r>
    </w:p>
    <w:p>
      <w:pPr>
        <w:numPr>
          <w:ilvl w:val="0"/>
          <w:numId w:val="8"/>
        </w:numPr>
        <w:spacing w:line="360" w:before="105" w:after="105" w:lineRule="auto"/>
      </w:pPr>
      <w:r>
        <w:rPr>
          <w:rFonts w:eastAsia="inter" w:cs="inter" w:ascii="inter" w:hAnsi="inter"/>
          <w:b/>
          <w:color w:val="000000"/>
          <w:sz w:val="21"/>
        </w:rPr>
        <w:t xml:space="preserve">Implementation phase</w:t>
      </w:r>
      <w:r>
        <w:rPr>
          <w:rFonts w:eastAsia="inter" w:cs="inter" w:ascii="inter" w:hAnsi="inter"/>
          <w:color w:val="000000"/>
          <w:sz w:val="21"/>
        </w:rPr>
        <w:t xml:space="preserve"> deploys changes across multiple functions simultaneously (not sequentially)</w:t>
      </w:r>
    </w:p>
    <w:p>
      <w:pPr>
        <w:numPr>
          <w:ilvl w:val="0"/>
          <w:numId w:val="8"/>
        </w:numPr>
        <w:spacing w:line="360" w:before="105" w:after="105" w:lineRule="auto"/>
      </w:pPr>
      <w:r>
        <w:rPr>
          <w:rFonts w:eastAsia="inter" w:cs="inter" w:ascii="inter" w:hAnsi="inter"/>
          <w:b/>
          <w:color w:val="000000"/>
          <w:sz w:val="21"/>
        </w:rPr>
        <w:t xml:space="preserve">Continuous monitoring</w:t>
      </w:r>
      <w:r>
        <w:rPr>
          <w:rFonts w:eastAsia="inter" w:cs="inter" w:ascii="inter" w:hAnsi="inter"/>
          <w:color w:val="000000"/>
          <w:sz w:val="21"/>
        </w:rPr>
        <w:t xml:space="preserve"> quarterly adjusts priorities based on emerging technologies and market shifts</w:t>
      </w:r>
    </w:p>
    <w:p>
      <w:pPr>
        <w:numPr>
          <w:ilvl w:val="0"/>
          <w:numId w:val="8"/>
        </w:numPr>
        <w:spacing w:line="360" w:before="105" w:after="105" w:lineRule="auto"/>
      </w:pPr>
      <w:r>
        <w:rPr>
          <w:rFonts w:eastAsia="inter" w:cs="inter" w:ascii="inter" w:hAnsi="inter"/>
          <w:b/>
          <w:color w:val="000000"/>
          <w:sz w:val="21"/>
        </w:rPr>
        <w:t xml:space="preserve">Change management integration</w:t>
      </w:r>
      <w:r>
        <w:rPr>
          <w:rFonts w:eastAsia="inter" w:cs="inter" w:ascii="inter" w:hAnsi="inter"/>
          <w:color w:val="000000"/>
          <w:sz w:val="21"/>
        </w:rPr>
        <w:t xml:space="preserve"> standardizes approaches across all programs (not ad-hoc per project)</w:t>
      </w:r>
    </w:p>
    <w:p>
      <w:pPr>
        <w:spacing w:line="360" w:after="210" w:lineRule="auto"/>
      </w:pPr>
      <w:r>
        <w:rPr>
          <w:rFonts w:eastAsia="inter" w:cs="inter" w:ascii="inter" w:hAnsi="inter"/>
          <w:color w:val="000000"/>
        </w:rPr>
        <w:t xml:space="preserve">This mirrors how consulting firms (McKinsey, BCG) command premiums over IT integrators—by positioning themselves as ongoing strategic partners whose insights inform decisions across the enterprise, not execution vendors.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part_2_ai_refinery_the_industrial_4054ef"/>
      <w:r>
        <w:rPr>
          <w:rFonts w:eastAsia="inter" w:cs="inter" w:ascii="inter" w:hAnsi="inter"/>
          <w:b/>
          <w:color w:val="000000"/>
          <w:sz w:val="24"/>
        </w:rPr>
        <w:t xml:space="preserve">Part 2: AI Refinery – The Industrialized Platform Asset</w:t>
      </w:r>
      <w:bookmarkEnd w:id="18"/>
    </w:p>
    <w:p>
      <w:pPr>
        <w:spacing w:line="360" w:before="315" w:after="105" w:lineRule="auto"/>
        <w:ind w:left="-30"/>
        <w:jc w:val="left"/>
      </w:pPr>
      <w:bookmarkStart w:id="19" w:name="what_is_ai_refinery"/>
      <w:r>
        <w:rPr>
          <w:rFonts w:eastAsia="inter" w:cs="inter" w:ascii="inter" w:hAnsi="inter"/>
          <w:b/>
          <w:color w:val="000000"/>
          <w:sz w:val="24"/>
        </w:rPr>
        <w:t xml:space="preserve">What Is AI Refinery?</w:t>
      </w:r>
      <w:bookmarkEnd w:id="19"/>
    </w:p>
    <w:p>
      <w:pPr>
        <w:spacing w:line="360" w:after="210" w:lineRule="auto"/>
      </w:pPr>
      <w:r>
        <w:rPr>
          <w:rFonts w:eastAsia="inter" w:cs="inter" w:ascii="inter" w:hAnsi="inter"/>
          <w:b/>
          <w:color w:val="000000"/>
        </w:rPr>
        <w:t xml:space="preserve">AI Refinery</w:t>
      </w:r>
      <w:r>
        <w:rPr>
          <w:rFonts w:eastAsia="inter" w:cs="inter" w:ascii="inter" w:hAnsi="inter"/>
          <w:color w:val="000000"/>
        </w:rPr>
        <w:t xml:space="preserve"> is Accenture's proprietary </w:t>
      </w:r>
      <w:r>
        <w:rPr>
          <w:rFonts w:eastAsia="inter" w:cs="inter" w:ascii="inter" w:hAnsi="inter"/>
          <w:b/>
          <w:color w:val="000000"/>
        </w:rPr>
        <w:t xml:space="preserve">AI foundation platform</w:t>
      </w:r>
      <w:r>
        <w:rPr>
          <w:rFonts w:eastAsia="inter" w:cs="inter" w:ascii="inter" w:hAnsi="inter"/>
          <w:color w:val="000000"/>
        </w:rPr>
        <w:t xml:space="preserve"> built on NVIDIA technology. Unlike marketing collateral, it is an actual software platform designed to help organizations "turn raw AI technology into useful, tangible business outcomes at scale."</w:t>
      </w:r>
      <w:bookmarkStart w:id="20" w:name="fnref5"/>
      <w:bookmarkEnd w:id="20"/>
      <w:hyperlink w:anchor="fn5">
        <w:r>
          <w:rPr>
            <w:rFonts w:eastAsia="inter" w:cs="inter" w:ascii="inter" w:hAnsi="inter"/>
            <w:color w:val="#000"/>
            <w:u w:val="single"/>
            <w:vertAlign w:val="superscript"/>
          </w:rPr>
          <w:t xml:space="preserve">[5]</w:t>
        </w:r>
      </w:hyperlink>
      <w:bookmarkStart w:id="21" w:name="fnref6"/>
      <w:bookmarkEnd w:id="21"/>
      <w:hyperlink w:anchor="fn6">
        <w:r>
          <w:rPr>
            <w:rFonts w:eastAsia="inter" w:cs="inter" w:ascii="inter" w:hAnsi="inter"/>
            <w:color w:val="#000"/>
            <w:u w:val="single"/>
            <w:vertAlign w:val="superscript"/>
          </w:rPr>
          <w:t xml:space="preserve">[6]</w:t>
        </w:r>
      </w:hyperlink>
      <w:bookmarkStart w:id="22" w:name="fnref7"/>
      <w:bookmarkEnd w:id="22"/>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b/>
          <w:color w:val="000000"/>
        </w:rPr>
        <w:t xml:space="preserve">Core Purpose:</w:t>
      </w:r>
      <w:r>
        <w:rPr>
          <w:rFonts w:eastAsia="inter" w:cs="inter" w:ascii="inter" w:hAnsi="inter"/>
          <w:color w:val="000000"/>
        </w:rPr>
        <w:t xml:space="preserve"> Solve the enterprise AI adoption problem:</w:t>
      </w:r>
    </w:p>
    <w:p>
      <w:pPr>
        <w:numPr>
          <w:ilvl w:val="0"/>
          <w:numId w:val="9"/>
        </w:numPr>
        <w:spacing w:line="360" w:before="105" w:after="105" w:lineRule="auto"/>
      </w:pPr>
      <w:r>
        <w:rPr>
          <w:rFonts w:eastAsia="inter" w:cs="inter" w:ascii="inter" w:hAnsi="inter"/>
          <w:b/>
          <w:color w:val="000000"/>
          <w:sz w:val="21"/>
        </w:rPr>
        <w:t xml:space="preserve">Problem</w:t>
      </w:r>
      <w:r>
        <w:rPr>
          <w:rFonts w:eastAsia="inter" w:cs="inter" w:ascii="inter" w:hAnsi="inter"/>
          <w:color w:val="000000"/>
          <w:sz w:val="21"/>
        </w:rPr>
        <w:t xml:space="preserve">: Organizations struggle to move from AI pilots to scaled operations due to cost, accuracy, model risk, and governance complexity</w:t>
      </w:r>
    </w:p>
    <w:p>
      <w:pPr>
        <w:numPr>
          <w:ilvl w:val="0"/>
          <w:numId w:val="9"/>
        </w:numPr>
        <w:spacing w:line="360" w:before="105" w:after="105" w:lineRule="auto"/>
      </w:pPr>
      <w:r>
        <w:rPr>
          <w:rFonts w:eastAsia="inter" w:cs="inter" w:ascii="inter" w:hAnsi="inter"/>
          <w:b/>
          <w:color w:val="000000"/>
          <w:sz w:val="21"/>
        </w:rPr>
        <w:t xml:space="preserve">Accenture's Solution</w:t>
      </w:r>
      <w:r>
        <w:rPr>
          <w:rFonts w:eastAsia="inter" w:cs="inter" w:ascii="inter" w:hAnsi="inter"/>
          <w:color w:val="000000"/>
          <w:sz w:val="21"/>
        </w:rPr>
        <w:t xml:space="preserve">: A pre-built, industry-configured platform that packages Accenture's 1,000+ client learnings into a single technology stack</w:t>
      </w:r>
    </w:p>
    <w:p>
      <w:pPr>
        <w:spacing w:line="360" w:before="315" w:after="105" w:lineRule="auto"/>
        <w:ind w:left="-30"/>
        <w:jc w:val="left"/>
      </w:pPr>
      <w:bookmarkStart w:id="23" w:name="platform_architecture_capabilities"/>
      <w:r>
        <w:rPr>
          <w:rFonts w:eastAsia="inter" w:cs="inter" w:ascii="inter" w:hAnsi="inter"/>
          <w:b/>
          <w:color w:val="000000"/>
          <w:sz w:val="24"/>
        </w:rPr>
        <w:t xml:space="preserve">Platform Architecture &amp; Capabilities</w:t>
      </w:r>
      <w:hyperlink w:anchor="fn8">
        <w:r>
          <w:rPr>
            <w:rFonts w:eastAsia="inter" w:cs="inter" w:ascii="inter" w:hAnsi="inter"/>
            <w:b/>
            <w:color w:val="#000"/>
            <w:sz w:val="24"/>
            <w:u w:val="single"/>
            <w:vertAlign w:val="superscript"/>
          </w:rPr>
          <w:t xml:space="preserve">[8]</w:t>
        </w:r>
      </w:hyperlink>
      <w:hyperlink w:anchor="fn7">
        <w:r>
          <w:rPr>
            <w:rFonts w:eastAsia="inter" w:cs="inter" w:ascii="inter" w:hAnsi="inter"/>
            <w:b/>
            <w:color w:val="#000"/>
            <w:sz w:val="24"/>
            <w:u w:val="single"/>
            <w:vertAlign w:val="superscript"/>
          </w:rPr>
          <w:t xml:space="preserve">[7]</w:t>
        </w:r>
      </w:hyperlink>
      <w:hyperlink w:anchor="fn5">
        <w:r>
          <w:rPr>
            <w:rFonts w:eastAsia="inter" w:cs="inter" w:ascii="inter" w:hAnsi="inter"/>
            <w:b/>
            <w:color w:val="#000"/>
            <w:sz w:val="24"/>
            <w:u w:val="single"/>
            <w:vertAlign w:val="superscript"/>
          </w:rPr>
          <w:t xml:space="preserve">[5]</w:t>
        </w:r>
      </w:hyperlink>
      <w:bookmarkEnd w:id="23"/>
    </w:p>
    <w:p>
      <w:pPr>
        <w:spacing w:line="360" w:after="210" w:lineRule="auto"/>
      </w:pPr>
      <w:r>
        <w:rPr>
          <w:rFonts w:eastAsia="inter" w:cs="inter" w:ascii="inter" w:hAnsi="inter"/>
          <w:b/>
          <w:color w:val="000000"/>
        </w:rPr>
        <w:t xml:space="preserve">Four Foundational Capabilities:</w:t>
      </w:r>
    </w:p>
    <w:p>
      <w:pPr>
        <w:numPr>
          <w:ilvl w:val="0"/>
          <w:numId w:val="10"/>
        </w:numPr>
        <w:spacing w:line="360" w:after="210" w:lineRule="auto"/>
      </w:pPr>
      <w:r>
        <w:rPr>
          <w:rFonts w:eastAsia="inter" w:cs="inter" w:ascii="inter" w:hAnsi="inter"/>
          <w:b/>
          <w:color w:val="000000"/>
          <w:sz w:val="21"/>
        </w:rPr>
        <w:t xml:space="preserve">Multi-Agent Solution Development</w:t>
      </w:r>
    </w:p>
    <w:p>
      <w:pPr>
        <w:numPr>
          <w:ilvl w:val="1"/>
          <w:numId w:val="10"/>
        </w:numPr>
        <w:spacing w:line="360" w:before="105" w:after="105" w:lineRule="auto"/>
      </w:pPr>
      <w:r>
        <w:rPr>
          <w:rFonts w:eastAsia="inter" w:cs="inter" w:ascii="inter" w:hAnsi="inter"/>
          <w:color w:val="000000"/>
          <w:sz w:val="21"/>
        </w:rPr>
        <w:t xml:space="preserve">Structured to manage agent lifecycle: memory, collaboration, workflow, evaluation</w:t>
      </w:r>
    </w:p>
    <w:p>
      <w:pPr>
        <w:numPr>
          <w:ilvl w:val="1"/>
          <w:numId w:val="10"/>
        </w:numPr>
        <w:spacing w:line="360" w:before="105" w:after="105" w:lineRule="auto"/>
      </w:pPr>
      <w:r>
        <w:rPr>
          <w:rFonts w:eastAsia="inter" w:cs="inter" w:ascii="inter" w:hAnsi="inter"/>
          <w:color w:val="000000"/>
          <w:sz w:val="21"/>
        </w:rPr>
        <w:t xml:space="preserve">Powered by NVIDIA AI Enterprise software</w:t>
      </w:r>
    </w:p>
    <w:p>
      <w:pPr>
        <w:numPr>
          <w:ilvl w:val="1"/>
          <w:numId w:val="10"/>
        </w:numPr>
        <w:spacing w:line="360" w:before="105" w:after="105" w:lineRule="auto"/>
      </w:pPr>
      <w:r>
        <w:rPr>
          <w:rFonts w:eastAsia="inter" w:cs="inter" w:ascii="inter" w:hAnsi="inter"/>
          <w:color w:val="000000"/>
          <w:sz w:val="21"/>
        </w:rPr>
        <w:t xml:space="preserve">Supports deployment across public cloud, private cloud, on-premises, sovereign infrastructure</w:t>
      </w:r>
    </w:p>
    <w:p>
      <w:pPr>
        <w:numPr>
          <w:ilvl w:val="0"/>
          <w:numId w:val="10"/>
        </w:numPr>
        <w:spacing w:line="360" w:after="210" w:lineRule="auto"/>
      </w:pPr>
      <w:r>
        <w:rPr>
          <w:rFonts w:eastAsia="inter" w:cs="inter" w:ascii="inter" w:hAnsi="inter"/>
          <w:b/>
          <w:color w:val="000000"/>
          <w:sz w:val="21"/>
        </w:rPr>
        <w:t xml:space="preserve">Distiller Agentic Framework</w:t>
      </w:r>
      <w:r>
        <w:rPr>
          <w:rFonts w:eastAsia="inter" w:cs="inter" w:ascii="inter" w:hAnsi="inter"/>
          <w:color w:val="000000"/>
          <w:sz w:val="21"/>
        </w:rPr>
        <w:t xml:space="preserve"> (Latest 2025 Release)</w:t>
      </w:r>
      <w:bookmarkStart w:id="24" w:name="fnref8_1"/>
      <w:bookmarkEnd w:id="24"/>
      <w:hyperlink w:anchor="fn8">
        <w:r>
          <w:rPr>
            <w:rFonts w:eastAsia="inter" w:cs="inter" w:ascii="inter" w:hAnsi="inter"/>
            <w:color w:val="#000"/>
            <w:sz w:val="21"/>
            <w:u w:val="single"/>
            <w:vertAlign w:val="superscript"/>
          </w:rPr>
          <w:t xml:space="preserve">[8]</w:t>
        </w:r>
      </w:hyperlink>
    </w:p>
    <w:p>
      <w:pPr>
        <w:numPr>
          <w:ilvl w:val="1"/>
          <w:numId w:val="10"/>
        </w:numPr>
        <w:spacing w:line="360" w:before="105" w:after="105" w:lineRule="auto"/>
      </w:pPr>
      <w:r>
        <w:rPr>
          <w:rFonts w:eastAsia="inter" w:cs="inter" w:ascii="inter" w:hAnsi="inter"/>
          <w:color w:val="000000"/>
          <w:sz w:val="21"/>
        </w:rPr>
        <w:t xml:space="preserve">Encapsulates end-to-end agent lifecycle management</w:t>
      </w:r>
    </w:p>
    <w:p>
      <w:pPr>
        <w:numPr>
          <w:ilvl w:val="1"/>
          <w:numId w:val="10"/>
        </w:numPr>
        <w:spacing w:line="360" w:before="105" w:after="105" w:lineRule="auto"/>
      </w:pPr>
      <w:r>
        <w:rPr>
          <w:rFonts w:eastAsia="inter" w:cs="inter" w:ascii="inter" w:hAnsi="inter"/>
          <w:color w:val="000000"/>
          <w:sz w:val="21"/>
        </w:rPr>
        <w:t xml:space="preserve">Agent memory management and multi-agent collaboration</w:t>
      </w:r>
    </w:p>
    <w:p>
      <w:pPr>
        <w:numPr>
          <w:ilvl w:val="1"/>
          <w:numId w:val="10"/>
        </w:numPr>
        <w:spacing w:line="360" w:before="105" w:after="105" w:lineRule="auto"/>
      </w:pPr>
      <w:r>
        <w:rPr>
          <w:rFonts w:eastAsia="inter" w:cs="inter" w:ascii="inter" w:hAnsi="inter"/>
          <w:color w:val="000000"/>
          <w:sz w:val="21"/>
        </w:rPr>
        <w:t xml:space="preserve">Model customization and cross-platform interoperability</w:t>
      </w:r>
    </w:p>
    <w:p>
      <w:pPr>
        <w:numPr>
          <w:ilvl w:val="1"/>
          <w:numId w:val="10"/>
        </w:numPr>
        <w:spacing w:line="360" w:before="105" w:after="105" w:lineRule="auto"/>
      </w:pPr>
      <w:r>
        <w:rPr>
          <w:rFonts w:eastAsia="inter" w:cs="inter" w:ascii="inter" w:hAnsi="inter"/>
          <w:color w:val="000000"/>
          <w:sz w:val="21"/>
        </w:rPr>
        <w:t xml:space="preserve">Governance and observability built-in</w:t>
      </w:r>
    </w:p>
    <w:p>
      <w:pPr>
        <w:numPr>
          <w:ilvl w:val="0"/>
          <w:numId w:val="10"/>
        </w:numPr>
        <w:spacing w:line="360" w:after="210" w:lineRule="auto"/>
      </w:pPr>
      <w:r>
        <w:rPr>
          <w:rFonts w:eastAsia="inter" w:cs="inter" w:ascii="inter" w:hAnsi="inter"/>
          <w:b/>
          <w:color w:val="000000"/>
          <w:sz w:val="21"/>
        </w:rPr>
        <w:t xml:space="preserve">Pre-built Solutions for Industries</w:t>
      </w:r>
      <w:bookmarkStart w:id="25" w:name="fnref5_2"/>
      <w:bookmarkEnd w:id="25"/>
      <w:hyperlink w:anchor="fn5">
        <w:r>
          <w:rPr>
            <w:rFonts w:eastAsia="inter" w:cs="inter" w:ascii="inter" w:hAnsi="inter"/>
            <w:color w:val="#000"/>
            <w:sz w:val="21"/>
            <w:u w:val="single"/>
            <w:vertAlign w:val="superscript"/>
          </w:rPr>
          <w:t xml:space="preserve">[5]</w:t>
        </w:r>
      </w:hyperlink>
    </w:p>
    <w:p>
      <w:pPr>
        <w:numPr>
          <w:ilvl w:val="1"/>
          <w:numId w:val="10"/>
        </w:numPr>
        <w:spacing w:line="360" w:before="105" w:after="105" w:lineRule="auto"/>
      </w:pPr>
      <w:r>
        <w:rPr>
          <w:rFonts w:eastAsia="inter" w:cs="inter" w:ascii="inter" w:hAnsi="inter"/>
          <w:color w:val="000000"/>
          <w:sz w:val="21"/>
        </w:rPr>
        <w:t xml:space="preserve">Pre-configured components and best practices for specific industries</w:t>
      </w:r>
    </w:p>
    <w:p>
      <w:pPr>
        <w:numPr>
          <w:ilvl w:val="1"/>
          <w:numId w:val="10"/>
        </w:numPr>
        <w:spacing w:line="360" w:before="105" w:after="105" w:lineRule="auto"/>
      </w:pPr>
      <w:r>
        <w:rPr>
          <w:rFonts w:eastAsia="inter" w:cs="inter" w:ascii="inter" w:hAnsi="inter"/>
          <w:color w:val="000000"/>
          <w:sz w:val="21"/>
        </w:rPr>
        <w:t xml:space="preserve">Foundational elements for rapid agentic deployment</w:t>
      </w:r>
    </w:p>
    <w:p>
      <w:pPr>
        <w:numPr>
          <w:ilvl w:val="1"/>
          <w:numId w:val="10"/>
        </w:numPr>
        <w:spacing w:line="360" w:before="105" w:after="105" w:lineRule="auto"/>
      </w:pPr>
      <w:r>
        <w:rPr>
          <w:rFonts w:eastAsia="inter" w:cs="inter" w:ascii="inter" w:hAnsi="inter"/>
          <w:color w:val="000000"/>
          <w:sz w:val="21"/>
        </w:rPr>
        <w:t xml:space="preserve">Embedded process knowledge and industry expertise</w:t>
      </w:r>
    </w:p>
    <w:p>
      <w:pPr>
        <w:numPr>
          <w:ilvl w:val="0"/>
          <w:numId w:val="10"/>
        </w:numPr>
        <w:spacing w:line="360" w:after="210" w:lineRule="auto"/>
      </w:pPr>
      <w:r>
        <w:rPr>
          <w:rFonts w:eastAsia="inter" w:cs="inter" w:ascii="inter" w:hAnsi="inter"/>
          <w:b/>
          <w:color w:val="000000"/>
          <w:sz w:val="21"/>
        </w:rPr>
        <w:t xml:space="preserve">Physical AI SDKs</w:t>
      </w:r>
      <w:r>
        <w:rPr>
          <w:rFonts w:eastAsia="inter" w:cs="inter" w:ascii="inter" w:hAnsi="inter"/>
          <w:color w:val="000000"/>
          <w:sz w:val="21"/>
        </w:rPr>
        <w:t xml:space="preserve"> (2025)</w:t>
      </w:r>
      <w:bookmarkStart w:id="26" w:name="fnref8_2"/>
      <w:bookmarkEnd w:id="26"/>
      <w:hyperlink w:anchor="fn8">
        <w:r>
          <w:rPr>
            <w:rFonts w:eastAsia="inter" w:cs="inter" w:ascii="inter" w:hAnsi="inter"/>
            <w:color w:val="#000"/>
            <w:sz w:val="21"/>
            <w:u w:val="single"/>
            <w:vertAlign w:val="superscript"/>
          </w:rPr>
          <w:t xml:space="preserve">[8]</w:t>
        </w:r>
      </w:hyperlink>
    </w:p>
    <w:p>
      <w:pPr>
        <w:numPr>
          <w:ilvl w:val="1"/>
          <w:numId w:val="10"/>
        </w:numPr>
        <w:spacing w:line="360" w:before="105" w:after="105" w:lineRule="auto"/>
      </w:pPr>
      <w:r>
        <w:rPr>
          <w:rFonts w:eastAsia="inter" w:cs="inter" w:ascii="inter" w:hAnsi="inter"/>
          <w:color w:val="000000"/>
          <w:sz w:val="21"/>
        </w:rPr>
        <w:t xml:space="preserve">Process real-world signals from cameras and sensors</w:t>
      </w:r>
    </w:p>
    <w:p>
      <w:pPr>
        <w:numPr>
          <w:ilvl w:val="1"/>
          <w:numId w:val="10"/>
        </w:numPr>
        <w:spacing w:line="360" w:before="105" w:after="105" w:lineRule="auto"/>
      </w:pPr>
      <w:r>
        <w:rPr>
          <w:rFonts w:eastAsia="inter" w:cs="inter" w:ascii="inter" w:hAnsi="inter"/>
          <w:color w:val="000000"/>
          <w:sz w:val="21"/>
        </w:rPr>
        <w:t xml:space="preserve">Video segmentation, anomaly detection</w:t>
      </w:r>
    </w:p>
    <w:p>
      <w:pPr>
        <w:numPr>
          <w:ilvl w:val="1"/>
          <w:numId w:val="10"/>
        </w:numPr>
        <w:spacing w:line="360" w:before="105" w:after="105" w:lineRule="auto"/>
      </w:pPr>
      <w:r>
        <w:rPr>
          <w:rFonts w:eastAsia="inter" w:cs="inter" w:ascii="inter" w:hAnsi="inter"/>
          <w:color w:val="000000"/>
          <w:sz w:val="21"/>
        </w:rPr>
        <w:t xml:space="preserve">Leverages NVIDIA AI Blueprint for Video Search and Summarization</w:t>
      </w:r>
    </w:p>
    <w:p>
      <w:pPr>
        <w:spacing w:line="360" w:before="315" w:after="105" w:lineRule="auto"/>
        <w:ind w:left="-30"/>
        <w:jc w:val="left"/>
      </w:pPr>
      <w:bookmarkStart w:id="27" w:name="competitive_moat"/>
      <w:r>
        <w:rPr>
          <w:rFonts w:eastAsia="inter" w:cs="inter" w:ascii="inter" w:hAnsi="inter"/>
          <w:b/>
          <w:color w:val="000000"/>
          <w:sz w:val="24"/>
        </w:rPr>
        <w:t xml:space="preserve">Competitive Moat</w:t>
      </w:r>
      <w:bookmarkEnd w:id="27"/>
    </w:p>
    <w:p>
      <w:pPr>
        <w:spacing w:line="360" w:after="210" w:lineRule="auto"/>
      </w:pPr>
      <w:r>
        <w:rPr>
          <w:rFonts w:eastAsia="inter" w:cs="inter" w:ascii="inter" w:hAnsi="inter"/>
          <w:color w:val="000000"/>
        </w:rPr>
        <w:t xml:space="preserve">Unlike standard cloud services (AWS, Azure, Google Cloud), AI Refinery is </w:t>
      </w:r>
      <w:r>
        <w:rPr>
          <w:rFonts w:eastAsia="inter" w:cs="inter" w:ascii="inter" w:hAnsi="inter"/>
          <w:b/>
          <w:color w:val="000000"/>
        </w:rPr>
        <w:t xml:space="preserve">Accenture-proprietary</w:t>
      </w:r>
      <w:r>
        <w:rPr>
          <w:rFonts w:eastAsia="inter" w:cs="inter" w:ascii="inter" w:hAnsi="inter"/>
          <w:color w:val="000000"/>
        </w:rPr>
        <w:t xml:space="preserve"> and contains:</w:t>
      </w:r>
      <w:bookmarkStart w:id="28" w:name="fnref7_2"/>
      <w:bookmarkEnd w:id="28"/>
      <w:hyperlink w:anchor="fn7">
        <w:r>
          <w:rPr>
            <w:rFonts w:eastAsia="inter" w:cs="inter" w:ascii="inter" w:hAnsi="inter"/>
            <w:color w:val="#000"/>
            <w:u w:val="single"/>
            <w:vertAlign w:val="superscript"/>
          </w:rPr>
          <w:t xml:space="preserve">[7]</w:t>
        </w:r>
      </w:hyperlink>
    </w:p>
    <w:p>
      <w:pPr>
        <w:numPr>
          <w:ilvl w:val="0"/>
          <w:numId w:val="11"/>
        </w:numPr>
        <w:spacing w:line="360" w:before="105" w:after="105" w:lineRule="auto"/>
      </w:pPr>
      <w:r>
        <w:rPr>
          <w:rFonts w:eastAsia="inter" w:cs="inter" w:ascii="inter" w:hAnsi="inter"/>
          <w:b/>
          <w:color w:val="000000"/>
          <w:sz w:val="21"/>
        </w:rPr>
        <w:t xml:space="preserve">150+ patents</w:t>
      </w:r>
      <w:r>
        <w:rPr>
          <w:rFonts w:eastAsia="inter" w:cs="inter" w:ascii="inter" w:hAnsi="inter"/>
          <w:color w:val="000000"/>
          <w:sz w:val="21"/>
        </w:rPr>
        <w:t xml:space="preserve"> held across the platform and tools (myWizard)</w:t>
      </w:r>
    </w:p>
    <w:p>
      <w:pPr>
        <w:numPr>
          <w:ilvl w:val="0"/>
          <w:numId w:val="11"/>
        </w:numPr>
        <w:spacing w:line="360" w:before="105" w:after="105" w:lineRule="auto"/>
      </w:pPr>
      <w:r>
        <w:rPr>
          <w:rFonts w:eastAsia="inter" w:cs="inter" w:ascii="inter" w:hAnsi="inter"/>
          <w:b/>
          <w:color w:val="000000"/>
          <w:sz w:val="21"/>
        </w:rPr>
        <w:t xml:space="preserve">Embedded industry expertise</w:t>
      </w:r>
      <w:r>
        <w:rPr>
          <w:rFonts w:eastAsia="inter" w:cs="inter" w:ascii="inter" w:hAnsi="inter"/>
          <w:color w:val="000000"/>
          <w:sz w:val="21"/>
        </w:rPr>
        <w:t xml:space="preserve"> from 1,000+ client engagements</w:t>
      </w:r>
    </w:p>
    <w:p>
      <w:pPr>
        <w:numPr>
          <w:ilvl w:val="0"/>
          <w:numId w:val="11"/>
        </w:numPr>
        <w:spacing w:line="360" w:before="105" w:after="105" w:lineRule="auto"/>
      </w:pPr>
      <w:r>
        <w:rPr>
          <w:rFonts w:eastAsia="inter" w:cs="inter" w:ascii="inter" w:hAnsi="inter"/>
          <w:b/>
          <w:color w:val="000000"/>
          <w:sz w:val="21"/>
        </w:rPr>
        <w:t xml:space="preserve">14 specialized AI agents</w:t>
      </w:r>
      <w:r>
        <w:rPr>
          <w:rFonts w:eastAsia="inter" w:cs="inter" w:ascii="inter" w:hAnsi="inter"/>
          <w:color w:val="000000"/>
          <w:sz w:val="21"/>
        </w:rPr>
        <w:t xml:space="preserve"> that Accenture uses internally (e.g., for marketing transformation across 954 global marketers)</w:t>
      </w:r>
    </w:p>
    <w:p>
      <w:pPr>
        <w:numPr>
          <w:ilvl w:val="0"/>
          <w:numId w:val="11"/>
        </w:numPr>
        <w:spacing w:line="360" w:before="105" w:after="105" w:lineRule="auto"/>
      </w:pPr>
      <w:r>
        <w:rPr>
          <w:rFonts w:eastAsia="inter" w:cs="inter" w:ascii="inter" w:hAnsi="inter"/>
          <w:b/>
          <w:color w:val="000000"/>
          <w:sz w:val="21"/>
        </w:rPr>
        <w:t xml:space="preserve">Governance frameworks</w:t>
      </w:r>
      <w:r>
        <w:rPr>
          <w:rFonts w:eastAsia="inter" w:cs="inter" w:ascii="inter" w:hAnsi="inter"/>
          <w:color w:val="000000"/>
          <w:sz w:val="21"/>
        </w:rPr>
        <w:t xml:space="preserve"> addressing security, compliance, bias, and responsible AI—pre-built to meet enterprise requirements</w:t>
      </w:r>
    </w:p>
    <w:p>
      <w:pPr>
        <w:spacing w:line="360" w:after="210" w:lineRule="auto"/>
      </w:pPr>
      <w:r>
        <w:rPr>
          <w:rFonts w:eastAsia="inter" w:cs="inter" w:ascii="inter" w:hAnsi="inter"/>
          <w:color w:val="000000"/>
        </w:rPr>
        <w:t xml:space="preserve">This means a client purchasing AI Refinery is not just buying technology; they're licensing Accenture's compressed learning from thousands of prior engagements.</w:t>
      </w:r>
    </w:p>
    <w:p>
      <w:pPr>
        <w:spacing w:line="360" w:before="315" w:after="105" w:lineRule="auto"/>
        <w:ind w:left="-30"/>
        <w:jc w:val="left"/>
      </w:pPr>
      <w:bookmarkStart w:id="29" w:name="internal_proof_of_concept"/>
      <w:r>
        <w:rPr>
          <w:rFonts w:eastAsia="inter" w:cs="inter" w:ascii="inter" w:hAnsi="inter"/>
          <w:b/>
          <w:color w:val="000000"/>
          <w:sz w:val="24"/>
        </w:rPr>
        <w:t xml:space="preserve">Internal Proof of Concept</w:t>
      </w:r>
      <w:bookmarkEnd w:id="29"/>
    </w:p>
    <w:p>
      <w:pPr>
        <w:spacing w:line="360" w:after="210" w:lineRule="auto"/>
      </w:pPr>
      <w:r>
        <w:rPr>
          <w:rFonts w:eastAsia="inter" w:cs="inter" w:ascii="inter" w:hAnsi="inter"/>
          <w:color w:val="000000"/>
        </w:rPr>
        <w:t xml:space="preserve">Accenture's </w:t>
      </w:r>
      <w:r>
        <w:rPr>
          <w:rFonts w:eastAsia="inter" w:cs="inter" w:ascii="inter" w:hAnsi="inter"/>
          <w:b/>
          <w:color w:val="000000"/>
        </w:rPr>
        <w:t xml:space="preserve">Marketing + Communications transformation</w:t>
      </w:r>
      <w:r>
        <w:rPr>
          <w:rFonts w:eastAsia="inter" w:cs="inter" w:ascii="inter" w:hAnsi="inter"/>
          <w:color w:val="000000"/>
        </w:rPr>
        <w:t xml:space="preserve"> case study demonstrates the platform's real-world impact:</w:t>
      </w:r>
      <w:bookmarkStart w:id="30" w:name="fnref9"/>
      <w:bookmarkEnd w:id="30"/>
      <w:hyperlink w:anchor="fn9">
        <w:r>
          <w:rPr>
            <w:rFonts w:eastAsia="inter" w:cs="inter" w:ascii="inter" w:hAnsi="inter"/>
            <w:color w:val="#000"/>
            <w:u w:val="single"/>
            <w:vertAlign w:val="superscript"/>
          </w:rPr>
          <w:t xml:space="preserve">[9]</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AI Agents Deployed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14 specialized agents for 954 global marketers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Process Automation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AI handles content generation, SEO optimization, campaign performance prediction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Human + Machine Collaboration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Agents surface insights; humans make creative/strategic decisions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 Strategy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Centralized data layer enables cross-regional consistency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Platform Flexibility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"Switchboard" mechanism allows selecting the right LLM for each task</w:t>
            </w:r>
          </w:p>
        </w:tc>
      </w:tr>
    </w:tbl>
    <w:p>
      <w:pPr>
        <w:spacing w:lineRule="auto"/>
      </w:pPr>
    </w:p>
    <w:p>
      <w:pPr>
        <w:spacing w:line="360" w:after="210" w:lineRule="auto"/>
      </w:pPr>
      <w:r>
        <w:rPr>
          <w:rFonts w:eastAsia="inter" w:cs="inter" w:ascii="inter" w:hAnsi="inter"/>
          <w:color w:val="000000"/>
        </w:rPr>
        <w:t xml:space="preserve">This is a $5B+ consulting firm transforming its own largest service line with its own platform—powerful validation for clients considering adoption.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part_3_synops_mywizard_industrial_786540"/>
      <w:r>
        <w:rPr>
          <w:rFonts w:eastAsia="inter" w:cs="inter" w:ascii="inter" w:hAnsi="inter"/>
          <w:b/>
          <w:color w:val="000000"/>
          <w:sz w:val="24"/>
        </w:rPr>
        <w:t xml:space="preserve">Part 3: SynOps &amp; myWizard – Industrializing Service Delivery</w:t>
      </w:r>
      <w:bookmarkEnd w:id="31"/>
    </w:p>
    <w:p>
      <w:pPr>
        <w:spacing w:line="360" w:before="315" w:after="105" w:lineRule="auto"/>
        <w:ind w:left="-30"/>
        <w:jc w:val="left"/>
      </w:pPr>
      <w:bookmarkStart w:id="32" w:name="synops_the_human_machine_operatin_c70c8b"/>
      <w:r>
        <w:rPr>
          <w:rFonts w:eastAsia="inter" w:cs="inter" w:ascii="inter" w:hAnsi="inter"/>
          <w:b/>
          <w:color w:val="000000"/>
          <w:sz w:val="24"/>
        </w:rPr>
        <w:t xml:space="preserve">SynOps: The Human-Machine Operating Engine</w:t>
      </w:r>
      <w:bookmarkEnd w:id="32"/>
    </w:p>
    <w:p>
      <w:pPr>
        <w:spacing w:line="360" w:after="210" w:lineRule="auto"/>
      </w:pPr>
      <w:r>
        <w:rPr>
          <w:rFonts w:eastAsia="inter" w:cs="inter" w:ascii="inter" w:hAnsi="inter"/>
          <w:b/>
          <w:color w:val="000000"/>
        </w:rPr>
        <w:t xml:space="preserve">SynOps</w:t>
      </w:r>
      <w:r>
        <w:rPr>
          <w:rFonts w:eastAsia="inter" w:cs="inter" w:ascii="inter" w:hAnsi="inter"/>
          <w:color w:val="000000"/>
        </w:rPr>
        <w:t xml:space="preserve"> (launched 2019) represents Accenture's strategy of </w:t>
      </w:r>
      <w:r>
        <w:rPr>
          <w:rFonts w:eastAsia="inter" w:cs="inter" w:ascii="inter" w:hAnsi="inter"/>
          <w:b/>
          <w:color w:val="000000"/>
        </w:rPr>
        <w:t xml:space="preserve">building platforms for internal use, then selling them to clients</w:t>
      </w:r>
      <w:r>
        <w:rPr>
          <w:rFonts w:eastAsia="inter" w:cs="inter" w:ascii="inter" w:hAnsi="inter"/>
          <w:color w:val="000000"/>
        </w:rPr>
        <w:t xml:space="preserve">.</w:t>
      </w:r>
      <w:bookmarkStart w:id="33" w:name="fnref10"/>
      <w:bookmarkEnd w:id="33"/>
      <w:hyperlink w:anchor="fn10">
        <w:r>
          <w:rPr>
            <w:rFonts w:eastAsia="inter" w:cs="inter" w:ascii="inter" w:hAnsi="inter"/>
            <w:color w:val="#000"/>
            <w:u w:val="single"/>
            <w:vertAlign w:val="superscript"/>
          </w:rPr>
          <w:t xml:space="preserve">[10]</w:t>
        </w:r>
      </w:hyperlink>
      <w:bookmarkStart w:id="34" w:name="fnref11"/>
      <w:bookmarkEnd w:id="34"/>
      <w:hyperlink w:anchor="fn11">
        <w:r>
          <w:rPr>
            <w:rFonts w:eastAsia="inter" w:cs="inter" w:ascii="inter" w:hAnsi="inter"/>
            <w:color w:val="#000"/>
            <w:u w:val="single"/>
            <w:vertAlign w:val="superscript"/>
          </w:rPr>
          <w:t xml:space="preserve">[11]</w:t>
        </w:r>
      </w:hyperlink>
      <w:bookmarkStart w:id="35" w:name="fnref12"/>
      <w:bookmarkEnd w:id="35"/>
      <w:hyperlink w:anchor="fn12">
        <w:r>
          <w:rPr>
            <w:rFonts w:eastAsia="inter" w:cs="inter" w:ascii="inter" w:hAnsi="inter"/>
            <w:color w:val="#000"/>
            <w:u w:val="single"/>
            <w:vertAlign w:val="superscript"/>
          </w:rPr>
          <w:t xml:space="preserve">[12]</w:t>
        </w:r>
      </w:hyperlink>
      <w:bookmarkStart w:id="36" w:name="fnref13"/>
      <w:bookmarkEnd w:id="36"/>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Origin Story:</w:t>
      </w:r>
    </w:p>
    <w:p>
      <w:pPr>
        <w:numPr>
          <w:ilvl w:val="0"/>
          <w:numId w:val="12"/>
        </w:numPr>
        <w:spacing w:line="360" w:before="105" w:after="105" w:lineRule="auto"/>
      </w:pPr>
      <w:r>
        <w:rPr>
          <w:rFonts w:eastAsia="inter" w:cs="inter" w:ascii="inter" w:hAnsi="inter"/>
          <w:color w:val="000000"/>
          <w:sz w:val="21"/>
        </w:rPr>
        <w:t xml:space="preserve">Developed internally over 5 years before commercialization</w:t>
      </w:r>
    </w:p>
    <w:p>
      <w:pPr>
        <w:numPr>
          <w:ilvl w:val="0"/>
          <w:numId w:val="12"/>
        </w:numPr>
        <w:spacing w:line="360" w:before="105" w:after="105" w:lineRule="auto"/>
      </w:pPr>
      <w:r>
        <w:rPr>
          <w:rFonts w:eastAsia="inter" w:cs="inter" w:ascii="inter" w:hAnsi="inter"/>
          <w:color w:val="000000"/>
          <w:sz w:val="21"/>
        </w:rPr>
        <w:t xml:space="preserve">Built on insights from 1,000+ client engagements across finance, procurement, marketing, HR</w:t>
      </w:r>
    </w:p>
    <w:p>
      <w:pPr>
        <w:numPr>
          <w:ilvl w:val="0"/>
          <w:numId w:val="12"/>
        </w:numPr>
        <w:spacing w:line="360" w:before="105" w:after="105" w:lineRule="auto"/>
      </w:pPr>
      <w:r>
        <w:rPr>
          <w:rFonts w:eastAsia="inter" w:cs="inter" w:ascii="inter" w:hAnsi="inter"/>
          <w:color w:val="000000"/>
          <w:sz w:val="21"/>
        </w:rPr>
        <w:t xml:space="preserve">Powered by 100,000 Accenture operations professionals + 3,600 automation solutions + 65 analytics apps + 40 AI advisors</w:t>
      </w:r>
    </w:p>
    <w:p>
      <w:pPr>
        <w:spacing w:line="360" w:after="210" w:lineRule="auto"/>
      </w:pPr>
      <w:r>
        <w:rPr>
          <w:rFonts w:eastAsia="inter" w:cs="inter" w:ascii="inter" w:hAnsi="inter"/>
          <w:b/>
          <w:color w:val="000000"/>
        </w:rPr>
        <w:t xml:space="preserve">Four Components:</w:t>
      </w:r>
      <w:bookmarkStart w:id="37" w:name="fnref10_1"/>
      <w:bookmarkEnd w:id="37"/>
      <w:hyperlink w:anchor="fn10">
        <w:r>
          <w:rPr>
            <w:rFonts w:eastAsia="inter" w:cs="inter" w:ascii="inter" w:hAnsi="inter"/>
            <w:color w:val="#000"/>
            <w:u w:val="single"/>
            <w:vertAlign w:val="superscript"/>
          </w:rPr>
          <w:t xml:space="preserve">[10]</w:t>
        </w:r>
      </w:hyperlink>
    </w:p>
    <w:p>
      <w:pPr>
        <w:numPr>
          <w:ilvl w:val="0"/>
          <w:numId w:val="13"/>
        </w:numPr>
        <w:spacing w:line="360" w:before="105" w:after="105" w:lineRule="auto"/>
      </w:pPr>
      <w:r>
        <w:rPr>
          <w:rFonts w:eastAsia="inter" w:cs="inter" w:ascii="inter" w:hAnsi="inter"/>
          <w:b/>
          <w:color w:val="000000"/>
          <w:sz w:val="21"/>
        </w:rPr>
        <w:t xml:space="preserve">Human + Machine Talent</w:t>
      </w:r>
      <w:r>
        <w:rPr>
          <w:rFonts w:eastAsia="inter" w:cs="inter" w:ascii="inter" w:hAnsi="inter"/>
          <w:color w:val="000000"/>
          <w:sz w:val="21"/>
        </w:rPr>
        <w:t xml:space="preserve">: Orchestrates allocation of work between people and digital workers</w:t>
      </w:r>
    </w:p>
    <w:p>
      <w:pPr>
        <w:numPr>
          <w:ilvl w:val="0"/>
          <w:numId w:val="13"/>
        </w:numPr>
        <w:spacing w:line="360" w:before="105" w:after="105" w:lineRule="auto"/>
      </w:pPr>
      <w:r>
        <w:rPr>
          <w:rFonts w:eastAsia="inter" w:cs="inter" w:ascii="inter" w:hAnsi="inter"/>
          <w:b/>
          <w:color w:val="000000"/>
          <w:sz w:val="21"/>
        </w:rPr>
        <w:t xml:space="preserve">Work Orchestration</w:t>
      </w:r>
      <w:r>
        <w:rPr>
          <w:rFonts w:eastAsia="inter" w:cs="inter" w:ascii="inter" w:hAnsi="inter"/>
          <w:color w:val="000000"/>
          <w:sz w:val="21"/>
        </w:rPr>
        <w:t xml:space="preserve">: Assigns transactional tasks to bots; identifies automation opportunities via AI</w:t>
      </w:r>
    </w:p>
    <w:p>
      <w:pPr>
        <w:numPr>
          <w:ilvl w:val="0"/>
          <w:numId w:val="13"/>
        </w:numPr>
        <w:spacing w:line="360" w:before="105" w:after="105" w:lineRule="auto"/>
      </w:pPr>
      <w:r>
        <w:rPr>
          <w:rFonts w:eastAsia="inter" w:cs="inter" w:ascii="inter" w:hAnsi="inter"/>
          <w:b/>
          <w:color w:val="000000"/>
          <w:sz w:val="21"/>
        </w:rPr>
        <w:t xml:space="preserve">Insights &amp; Intelligence</w:t>
      </w:r>
      <w:r>
        <w:rPr>
          <w:rFonts w:eastAsia="inter" w:cs="inter" w:ascii="inter" w:hAnsi="inter"/>
          <w:color w:val="000000"/>
          <w:sz w:val="21"/>
        </w:rPr>
        <w:t xml:space="preserve">: 100+ preconfigured analytics and AI solutions</w:t>
      </w:r>
    </w:p>
    <w:p>
      <w:pPr>
        <w:numPr>
          <w:ilvl w:val="0"/>
          <w:numId w:val="13"/>
        </w:numPr>
        <w:spacing w:line="360" w:before="105" w:after="105" w:lineRule="auto"/>
      </w:pPr>
      <w:r>
        <w:rPr>
          <w:rFonts w:eastAsia="inter" w:cs="inter" w:ascii="inter" w:hAnsi="inter"/>
          <w:b/>
          <w:color w:val="000000"/>
          <w:sz w:val="21"/>
        </w:rPr>
        <w:t xml:space="preserve">Diverse Data</w:t>
      </w:r>
      <w:r>
        <w:rPr>
          <w:rFonts w:eastAsia="inter" w:cs="inter" w:ascii="inter" w:hAnsi="inter"/>
          <w:color w:val="000000"/>
          <w:sz w:val="21"/>
        </w:rPr>
        <w:t xml:space="preserve">: Collects, monitors, and analyzes structured/unstructured data for real-time decision-making</w:t>
      </w:r>
    </w:p>
    <w:p>
      <w:pPr>
        <w:spacing w:line="360" w:after="210" w:lineRule="auto"/>
      </w:pPr>
      <w:r>
        <w:rPr>
          <w:rFonts w:eastAsia="inter" w:cs="inter" w:ascii="inter" w:hAnsi="inter"/>
          <w:b/>
          <w:color w:val="000000"/>
        </w:rPr>
        <w:t xml:space="preserve">Accenture's Internal Success:</w:t>
      </w:r>
      <w:r>
        <w:rPr>
          <w:rFonts w:eastAsia="inter" w:cs="inter" w:ascii="inter" w:hAnsi="inter"/>
          <w:color w:val="000000"/>
        </w:rPr>
        <w:t xml:space="preserve"> 40,000 employees redeployed through SynOps-driven automation, freeing them for higher-value advisory work.</w:t>
      </w:r>
      <w:bookmarkStart w:id="38" w:name="fnref11_1"/>
      <w:bookmarkEnd w:id="38"/>
      <w:hyperlink w:anchor="fn11">
        <w:r>
          <w:rPr>
            <w:rFonts w:eastAsia="inter" w:cs="inter" w:ascii="inter" w:hAnsi="inter"/>
            <w:color w:val="#000"/>
            <w:u w:val="single"/>
            <w:vertAlign w:val="superscript"/>
          </w:rPr>
          <w:t xml:space="preserve">[11]</w:t>
        </w:r>
      </w:hyperlink>
      <w:bookmarkStart w:id="39" w:name="fnref13_1"/>
      <w:bookmarkEnd w:id="39"/>
      <w:hyperlink w:anchor="fn13">
        <w:r>
          <w:rPr>
            <w:rFonts w:eastAsia="inter" w:cs="inter" w:ascii="inter" w:hAnsi="inter"/>
            <w:color w:val="#000"/>
            <w:u w:val="single"/>
            <w:vertAlign w:val="superscript"/>
          </w:rPr>
          <w:t xml:space="preserve">[13]</w:t>
        </w:r>
      </w:hyperlink>
    </w:p>
    <w:p>
      <w:pPr>
        <w:spacing w:line="360" w:after="210" w:lineRule="auto"/>
      </w:pPr>
      <w:r>
        <w:rPr>
          <w:rFonts w:eastAsia="inter" w:cs="inter" w:ascii="inter" w:hAnsi="inter"/>
          <w:b/>
          <w:color w:val="000000"/>
        </w:rPr>
        <w:t xml:space="preserve">Client Case Studies:</w:t>
      </w:r>
      <w:bookmarkStart w:id="40" w:name="fnref10_2"/>
      <w:bookmarkEnd w:id="40"/>
      <w:hyperlink w:anchor="fn10">
        <w:r>
          <w:rPr>
            <w:rFonts w:eastAsia="inter" w:cs="inter" w:ascii="inter" w:hAnsi="inter"/>
            <w:color w:val="#000"/>
            <w:u w:val="single"/>
            <w:vertAlign w:val="superscript"/>
          </w:rPr>
          <w:t xml:space="preserve">[10]</w:t>
        </w:r>
      </w:hyperlink>
    </w:p>
    <w:p>
      <w:pPr>
        <w:numPr>
          <w:ilvl w:val="0"/>
          <w:numId w:val="14"/>
        </w:numPr>
        <w:spacing w:line="360" w:before="105" w:after="105" w:lineRule="auto"/>
      </w:pPr>
      <w:r>
        <w:rPr>
          <w:rFonts w:eastAsia="inter" w:cs="inter" w:ascii="inter" w:hAnsi="inter"/>
          <w:b/>
          <w:color w:val="000000"/>
          <w:sz w:val="21"/>
        </w:rPr>
        <w:t xml:space="preserve">Global IT Company (Finance)</w:t>
      </w:r>
      <w:r>
        <w:rPr>
          <w:rFonts w:eastAsia="inter" w:cs="inter" w:ascii="inter" w:hAnsi="inter"/>
          <w:color w:val="000000"/>
          <w:sz w:val="21"/>
        </w:rPr>
        <w:t xml:space="preserve">: 50% productivity boost, $140M in savings</w:t>
      </w:r>
    </w:p>
    <w:p>
      <w:pPr>
        <w:numPr>
          <w:ilvl w:val="0"/>
          <w:numId w:val="14"/>
        </w:numPr>
        <w:spacing w:line="360" w:before="105" w:after="105" w:lineRule="auto"/>
      </w:pPr>
      <w:r>
        <w:rPr>
          <w:rFonts w:eastAsia="inter" w:cs="inter" w:ascii="inter" w:hAnsi="inter"/>
          <w:b/>
          <w:color w:val="000000"/>
          <w:sz w:val="21"/>
        </w:rPr>
        <w:t xml:space="preserve">Multinational Food &amp; Beverage (Procurement)</w:t>
      </w:r>
      <w:r>
        <w:rPr>
          <w:rFonts w:eastAsia="inter" w:cs="inter" w:ascii="inter" w:hAnsi="inter"/>
          <w:color w:val="000000"/>
          <w:sz w:val="21"/>
        </w:rPr>
        <w:t xml:space="preserve">: $30M annual savings (15% average reduction in indirect costs)</w:t>
      </w:r>
    </w:p>
    <w:p>
      <w:pPr>
        <w:spacing w:line="360" w:before="315" w:after="105" w:lineRule="auto"/>
        <w:ind w:left="-30"/>
        <w:jc w:val="left"/>
      </w:pPr>
      <w:bookmarkStart w:id="41" w:name="mywizard_intelligent_automation_platform"/>
      <w:r>
        <w:rPr>
          <w:rFonts w:eastAsia="inter" w:cs="inter" w:ascii="inter" w:hAnsi="inter"/>
          <w:b/>
          <w:color w:val="000000"/>
          <w:sz w:val="24"/>
        </w:rPr>
        <w:t xml:space="preserve">myWizard: Intelligent Automation Platform</w:t>
      </w:r>
      <w:bookmarkEnd w:id="41"/>
    </w:p>
    <w:p>
      <w:pPr>
        <w:spacing w:line="360" w:after="210" w:lineRule="auto"/>
      </w:pPr>
      <w:r>
        <w:rPr>
          <w:rFonts w:eastAsia="inter" w:cs="inter" w:ascii="inter" w:hAnsi="inter"/>
          <w:b/>
          <w:color w:val="000000"/>
        </w:rPr>
        <w:t xml:space="preserve">myWizard</w:t>
      </w:r>
      <w:r>
        <w:rPr>
          <w:rFonts w:eastAsia="inter" w:cs="inter" w:ascii="inter" w:hAnsi="inter"/>
          <w:color w:val="000000"/>
        </w:rPr>
        <w:t xml:space="preserve"> (expanded 2020) is Accenture's </w:t>
      </w:r>
      <w:r>
        <w:rPr>
          <w:rFonts w:eastAsia="inter" w:cs="inter" w:ascii="inter" w:hAnsi="inter"/>
          <w:b/>
          <w:color w:val="000000"/>
        </w:rPr>
        <w:t xml:space="preserve">enterprise automation platform</w:t>
      </w:r>
      <w:r>
        <w:rPr>
          <w:rFonts w:eastAsia="inter" w:cs="inter" w:ascii="inter" w:hAnsi="inter"/>
          <w:color w:val="000000"/>
        </w:rPr>
        <w:t xml:space="preserve"> covering the full software engineering and operations lifecycle.</w:t>
      </w:r>
      <w:bookmarkStart w:id="42" w:name="fnref14"/>
      <w:bookmarkEnd w:id="42"/>
      <w:hyperlink w:anchor="fn14">
        <w:r>
          <w:rPr>
            <w:rFonts w:eastAsia="inter" w:cs="inter" w:ascii="inter" w:hAnsi="inter"/>
            <w:color w:val="#000"/>
            <w:u w:val="single"/>
            <w:vertAlign w:val="superscript"/>
          </w:rPr>
          <w:t xml:space="preserve">[14]</w:t>
        </w:r>
      </w:hyperlink>
      <w:bookmarkStart w:id="43" w:name="fnref15"/>
      <w:bookmarkEnd w:id="43"/>
      <w:hyperlink w:anchor="fn15">
        <w:r>
          <w:rPr>
            <w:rFonts w:eastAsia="inter" w:cs="inter" w:ascii="inter" w:hAnsi="inter"/>
            <w:color w:val="#000"/>
            <w:u w:val="single"/>
            <w:vertAlign w:val="superscript"/>
          </w:rPr>
          <w:t xml:space="preserve">[15]</w:t>
        </w:r>
      </w:hyperlink>
      <w:bookmarkStart w:id="44" w:name="fnref16"/>
      <w:bookmarkEnd w:id="44"/>
      <w:hyperlink w:anchor="fn16">
        <w:r>
          <w:rPr>
            <w:rFonts w:eastAsia="inter" w:cs="inter" w:ascii="inter" w:hAnsi="inter"/>
            <w:color w:val="#000"/>
            <w:u w:val="single"/>
            <w:vertAlign w:val="superscript"/>
          </w:rPr>
          <w:t xml:space="preserve">[16]</w:t>
        </w:r>
      </w:hyperlink>
      <w:bookmarkStart w:id="45" w:name="fnref17"/>
      <w:bookmarkEnd w:id="45"/>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Scale &amp; Adoption:</w:t>
      </w:r>
    </w:p>
    <w:p>
      <w:pPr>
        <w:numPr>
          <w:ilvl w:val="0"/>
          <w:numId w:val="15"/>
        </w:numPr>
        <w:spacing w:line="360" w:before="105" w:after="105" w:lineRule="auto"/>
      </w:pPr>
      <w:r>
        <w:rPr>
          <w:rFonts w:eastAsia="inter" w:cs="inter" w:ascii="inter" w:hAnsi="inter"/>
          <w:b/>
          <w:color w:val="000000"/>
          <w:sz w:val="21"/>
        </w:rPr>
        <w:t xml:space="preserve">9,000+ engagements</w:t>
      </w:r>
      <w:r>
        <w:rPr>
          <w:rFonts w:eastAsia="inter" w:cs="inter" w:ascii="inter" w:hAnsi="inter"/>
          <w:color w:val="000000"/>
          <w:sz w:val="21"/>
        </w:rPr>
        <w:t xml:space="preserve"> at 1,500 companies</w:t>
      </w:r>
    </w:p>
    <w:p>
      <w:pPr>
        <w:numPr>
          <w:ilvl w:val="0"/>
          <w:numId w:val="15"/>
        </w:numPr>
        <w:spacing w:line="360" w:before="105" w:after="105" w:lineRule="auto"/>
      </w:pPr>
      <w:r>
        <w:rPr>
          <w:rFonts w:eastAsia="inter" w:cs="inter" w:ascii="inter" w:hAnsi="inter"/>
          <w:b/>
          <w:color w:val="000000"/>
          <w:sz w:val="21"/>
        </w:rPr>
        <w:t xml:space="preserve">100,000 Accenture professionals</w:t>
      </w:r>
      <w:r>
        <w:rPr>
          <w:rFonts w:eastAsia="inter" w:cs="inter" w:ascii="inter" w:hAnsi="inter"/>
          <w:color w:val="000000"/>
          <w:sz w:val="21"/>
        </w:rPr>
        <w:t xml:space="preserve"> use it internally</w:t>
      </w:r>
    </w:p>
    <w:p>
      <w:pPr>
        <w:numPr>
          <w:ilvl w:val="0"/>
          <w:numId w:val="15"/>
        </w:numPr>
        <w:spacing w:line="360" w:before="105" w:after="105" w:lineRule="auto"/>
      </w:pPr>
      <w:r>
        <w:rPr>
          <w:rFonts w:eastAsia="inter" w:cs="inter" w:ascii="inter" w:hAnsi="inter"/>
          <w:b/>
          <w:color w:val="000000"/>
          <w:sz w:val="21"/>
        </w:rPr>
        <w:t xml:space="preserve">150+ patents</w:t>
      </w:r>
      <w:r>
        <w:rPr>
          <w:rFonts w:eastAsia="inter" w:cs="inter" w:ascii="inter" w:hAnsi="inter"/>
          <w:color w:val="000000"/>
          <w:sz w:val="21"/>
        </w:rPr>
        <w:t xml:space="preserve"> and patent applications</w:t>
      </w:r>
    </w:p>
    <w:p>
      <w:pPr>
        <w:spacing w:line="360" w:after="210" w:lineRule="auto"/>
      </w:pPr>
      <w:r>
        <w:rPr>
          <w:rFonts w:eastAsia="inter" w:cs="inter" w:ascii="inter" w:hAnsi="inter"/>
          <w:b/>
          <w:color w:val="000000"/>
        </w:rPr>
        <w:t xml:space="preserve">Five Modules:</w:t>
      </w:r>
      <w:bookmarkStart w:id="46" w:name="fnref15_1"/>
      <w:bookmarkEnd w:id="46"/>
      <w:hyperlink w:anchor="fn15">
        <w:r>
          <w:rPr>
            <w:rFonts w:eastAsia="inter" w:cs="inter" w:ascii="inter" w:hAnsi="inter"/>
            <w:color w:val="#000"/>
            <w:u w:val="single"/>
            <w:vertAlign w:val="superscript"/>
          </w:rPr>
          <w:t xml:space="preserve">[15]</w:t>
        </w:r>
      </w:hyperlink>
      <w:bookmarkStart w:id="47" w:name="fnref16_1"/>
      <w:bookmarkEnd w:id="47"/>
      <w:hyperlink w:anchor="fn16">
        <w:r>
          <w:rPr>
            <w:rFonts w:eastAsia="inter" w:cs="inter" w:ascii="inter" w:hAnsi="inter"/>
            <w:color w:val="#000"/>
            <w:u w:val="single"/>
            <w:vertAlign w:val="superscript"/>
          </w:rPr>
          <w:t xml:space="preserve">[16]</w:t>
        </w:r>
      </w:hyperlink>
      <w:bookmarkStart w:id="48" w:name="fnref14_1"/>
      <w:bookmarkEnd w:id="48"/>
      <w:hyperlink w:anchor="fn14">
        <w:r>
          <w:rPr>
            <w:rFonts w:eastAsia="inter" w:cs="inter" w:ascii="inter" w:hAnsi="inter"/>
            <w:color w:val="#000"/>
            <w:u w:val="single"/>
            <w:vertAlign w:val="superscript"/>
          </w:rPr>
          <w:t xml:space="preserve">[14]</w:t>
        </w:r>
      </w:hyperlink>
    </w:p>
    <w:p>
      <w:pPr>
        <w:numPr>
          <w:ilvl w:val="0"/>
          <w:numId w:val="16"/>
        </w:numPr>
        <w:spacing w:line="360" w:before="105" w:after="105" w:lineRule="auto"/>
      </w:pPr>
      <w:r>
        <w:rPr>
          <w:rFonts w:eastAsia="inter" w:cs="inter" w:ascii="inter" w:hAnsi="inter"/>
          <w:b/>
          <w:color w:val="000000"/>
          <w:sz w:val="21"/>
        </w:rPr>
        <w:t xml:space="preserve">Automation Journey Management</w:t>
      </w:r>
      <w:r>
        <w:rPr>
          <w:rFonts w:eastAsia="inter" w:cs="inter" w:ascii="inter" w:hAnsi="inter"/>
          <w:color w:val="000000"/>
          <w:sz w:val="21"/>
        </w:rPr>
        <w:t xml:space="preserve">: Roadmaps with benchmarks for identifying automation opportunities</w:t>
      </w:r>
    </w:p>
    <w:p>
      <w:pPr>
        <w:numPr>
          <w:ilvl w:val="0"/>
          <w:numId w:val="16"/>
        </w:numPr>
        <w:spacing w:line="360" w:before="105" w:after="105" w:lineRule="auto"/>
      </w:pPr>
      <w:r>
        <w:rPr>
          <w:rFonts w:eastAsia="inter" w:cs="inter" w:ascii="inter" w:hAnsi="inter"/>
          <w:b/>
          <w:color w:val="000000"/>
          <w:sz w:val="21"/>
        </w:rPr>
        <w:t xml:space="preserve">Modern Engineering</w:t>
      </w:r>
      <w:r>
        <w:rPr>
          <w:rFonts w:eastAsia="inter" w:cs="inter" w:ascii="inter" w:hAnsi="inter"/>
          <w:color w:val="000000"/>
          <w:sz w:val="21"/>
        </w:rPr>
        <w:t xml:space="preserve">: DevOps automation, cloud-native strategies</w:t>
      </w:r>
    </w:p>
    <w:p>
      <w:pPr>
        <w:numPr>
          <w:ilvl w:val="0"/>
          <w:numId w:val="16"/>
        </w:numPr>
        <w:spacing w:line="360" w:before="105" w:after="105" w:lineRule="auto"/>
      </w:pPr>
      <w:r>
        <w:rPr>
          <w:rFonts w:eastAsia="inter" w:cs="inter" w:ascii="inter" w:hAnsi="inter"/>
          <w:b/>
          <w:color w:val="000000"/>
          <w:sz w:val="21"/>
        </w:rPr>
        <w:t xml:space="preserve">Analytics &amp; AI</w:t>
      </w:r>
      <w:r>
        <w:rPr>
          <w:rFonts w:eastAsia="inter" w:cs="inter" w:ascii="inter" w:hAnsi="inter"/>
          <w:color w:val="000000"/>
          <w:sz w:val="21"/>
        </w:rPr>
        <w:t xml:space="preserve">: Knowledge management, AI-powered insights</w:t>
      </w:r>
    </w:p>
    <w:p>
      <w:pPr>
        <w:numPr>
          <w:ilvl w:val="0"/>
          <w:numId w:val="16"/>
        </w:numPr>
        <w:spacing w:line="360" w:before="105" w:after="105" w:lineRule="auto"/>
      </w:pPr>
      <w:r>
        <w:rPr>
          <w:rFonts w:eastAsia="inter" w:cs="inter" w:ascii="inter" w:hAnsi="inter"/>
          <w:b/>
          <w:color w:val="000000"/>
          <w:sz w:val="21"/>
        </w:rPr>
        <w:t xml:space="preserve">Cloud Automation</w:t>
      </w:r>
      <w:r>
        <w:rPr>
          <w:rFonts w:eastAsia="inter" w:cs="inter" w:ascii="inter" w:hAnsi="inter"/>
          <w:color w:val="000000"/>
          <w:sz w:val="21"/>
        </w:rPr>
        <w:t xml:space="preserve">: Multi-cloud migration and operations</w:t>
      </w:r>
    </w:p>
    <w:p>
      <w:pPr>
        <w:numPr>
          <w:ilvl w:val="0"/>
          <w:numId w:val="16"/>
        </w:numPr>
        <w:spacing w:line="360" w:before="105" w:after="105" w:lineRule="auto"/>
      </w:pPr>
      <w:r>
        <w:rPr>
          <w:rFonts w:eastAsia="inter" w:cs="inter" w:ascii="inter" w:hAnsi="inter"/>
          <w:b/>
          <w:color w:val="000000"/>
          <w:sz w:val="21"/>
        </w:rPr>
        <w:t xml:space="preserve">Modern Operations</w:t>
      </w:r>
      <w:r>
        <w:rPr>
          <w:rFonts w:eastAsia="inter" w:cs="inter" w:ascii="inter" w:hAnsi="inter"/>
          <w:color w:val="000000"/>
          <w:sz w:val="21"/>
        </w:rPr>
        <w:t xml:space="preserve">: Virtual agents for IT service delivery</w:t>
      </w:r>
    </w:p>
    <w:p>
      <w:pPr>
        <w:spacing w:line="360" w:after="210" w:lineRule="auto"/>
      </w:pPr>
      <w:r>
        <w:rPr>
          <w:rFonts w:eastAsia="inter" w:cs="inter" w:ascii="inter" w:hAnsi="inter"/>
          <w:b/>
          <w:color w:val="000000"/>
        </w:rPr>
        <w:t xml:space="preserve">Client Results:</w:t>
      </w:r>
      <w:bookmarkStart w:id="49" w:name="fnref14_2"/>
      <w:bookmarkEnd w:id="49"/>
      <w:hyperlink w:anchor="fn14">
        <w:r>
          <w:rPr>
            <w:rFonts w:eastAsia="inter" w:cs="inter" w:ascii="inter" w:hAnsi="inter"/>
            <w:color w:val="#000"/>
            <w:u w:val="single"/>
            <w:vertAlign w:val="superscript"/>
          </w:rPr>
          <w:t xml:space="preserve">[14]</w:t>
        </w:r>
      </w:hyperlink>
      <w:bookmarkStart w:id="50" w:name="fnref15_2"/>
      <w:bookmarkEnd w:id="50"/>
      <w:hyperlink w:anchor="fn15">
        <w:r>
          <w:rPr>
            <w:rFonts w:eastAsia="inter" w:cs="inter" w:ascii="inter" w:hAnsi="inter"/>
            <w:color w:val="#000"/>
            <w:u w:val="single"/>
            <w:vertAlign w:val="superscript"/>
          </w:rPr>
          <w:t xml:space="preserve">[15]</w:t>
        </w:r>
      </w:hyperlink>
    </w:p>
    <w:p>
      <w:pPr>
        <w:numPr>
          <w:ilvl w:val="0"/>
          <w:numId w:val="17"/>
        </w:numPr>
        <w:spacing w:line="360" w:before="105" w:after="105" w:lineRule="auto"/>
      </w:pPr>
      <w:r>
        <w:rPr>
          <w:rFonts w:eastAsia="inter" w:cs="inter" w:ascii="inter" w:hAnsi="inter"/>
          <w:b/>
          <w:color w:val="000000"/>
          <w:sz w:val="21"/>
        </w:rPr>
        <w:t xml:space="preserve">50% improvement</w:t>
      </w:r>
      <w:r>
        <w:rPr>
          <w:rFonts w:eastAsia="inter" w:cs="inter" w:ascii="inter" w:hAnsi="inter"/>
          <w:color w:val="000000"/>
          <w:sz w:val="21"/>
        </w:rPr>
        <w:t xml:space="preserve"> in user experiences</w:t>
      </w:r>
    </w:p>
    <w:p>
      <w:pPr>
        <w:numPr>
          <w:ilvl w:val="0"/>
          <w:numId w:val="17"/>
        </w:numPr>
        <w:spacing w:line="360" w:before="105" w:after="105" w:lineRule="auto"/>
      </w:pPr>
      <w:r>
        <w:rPr>
          <w:rFonts w:eastAsia="inter" w:cs="inter" w:ascii="inter" w:hAnsi="inter"/>
          <w:b/>
          <w:color w:val="000000"/>
          <w:sz w:val="21"/>
        </w:rPr>
        <w:t xml:space="preserve">60% reduction</w:t>
      </w:r>
      <w:r>
        <w:rPr>
          <w:rFonts w:eastAsia="inter" w:cs="inter" w:ascii="inter" w:hAnsi="inter"/>
          <w:color w:val="000000"/>
          <w:sz w:val="21"/>
        </w:rPr>
        <w:t xml:space="preserve"> in IT operational costs</w:t>
      </w:r>
    </w:p>
    <w:p>
      <w:pPr>
        <w:numPr>
          <w:ilvl w:val="0"/>
          <w:numId w:val="17"/>
        </w:numPr>
        <w:spacing w:line="360" w:before="105" w:after="105" w:lineRule="auto"/>
      </w:pPr>
      <w:r>
        <w:rPr>
          <w:rFonts w:eastAsia="inter" w:cs="inter" w:ascii="inter" w:hAnsi="inter"/>
          <w:b/>
          <w:color w:val="000000"/>
          <w:sz w:val="21"/>
        </w:rPr>
        <w:t xml:space="preserve">8x faster time-to-market</w:t>
      </w:r>
      <w:r>
        <w:rPr>
          <w:rFonts w:eastAsia="inter" w:cs="inter" w:ascii="inter" w:hAnsi="inter"/>
          <w:color w:val="000000"/>
          <w:sz w:val="21"/>
        </w:rPr>
        <w:t xml:space="preserve"> for new products and services</w:t>
      </w:r>
    </w:p>
    <w:p>
      <w:pPr>
        <w:spacing w:line="360" w:before="315" w:after="105" w:lineRule="auto"/>
        <w:ind w:left="-30"/>
        <w:jc w:val="left"/>
      </w:pPr>
      <w:bookmarkStart w:id="51" w:name="the_industrialization_strategy"/>
      <w:r>
        <w:rPr>
          <w:rFonts w:eastAsia="inter" w:cs="inter" w:ascii="inter" w:hAnsi="inter"/>
          <w:b/>
          <w:color w:val="000000"/>
          <w:sz w:val="24"/>
        </w:rPr>
        <w:t xml:space="preserve">The Industrialization Strategy</w:t>
      </w:r>
      <w:bookmarkEnd w:id="51"/>
    </w:p>
    <w:p>
      <w:pPr>
        <w:spacing w:line="360" w:after="210" w:lineRule="auto"/>
      </w:pPr>
      <w:r>
        <w:rPr>
          <w:rFonts w:eastAsia="inter" w:cs="inter" w:ascii="inter" w:hAnsi="inter"/>
          <w:color w:val="000000"/>
        </w:rPr>
        <w:t xml:space="preserve">Both SynOps and myWizard exemplify Accenture's competitive model: </w:t>
      </w:r>
      <w:r>
        <w:rPr>
          <w:rFonts w:eastAsia="inter" w:cs="inter" w:ascii="inter" w:hAnsi="inter"/>
          <w:b/>
          <w:color w:val="000000"/>
        </w:rPr>
        <w:t xml:space="preserve">Build for ourselves first, then productize for clients.</w:t>
      </w:r>
      <w:r>
        <w:rPr>
          <w:rFonts w:eastAsia="inter" w:cs="inter" w:ascii="inter" w:hAnsi="inter"/>
          <w:color w:val="000000"/>
        </w:rPr>
        <w:t xml:space="preserve"> This creates several advantages:</w:t>
      </w:r>
    </w:p>
    <w:p>
      <w:pPr>
        <w:numPr>
          <w:ilvl w:val="0"/>
          <w:numId w:val="18"/>
        </w:numPr>
        <w:spacing w:line="360" w:before="105" w:after="105" w:lineRule="auto"/>
      </w:pPr>
      <w:r>
        <w:rPr>
          <w:rFonts w:eastAsia="inter" w:cs="inter" w:ascii="inter" w:hAnsi="inter"/>
          <w:b/>
          <w:color w:val="000000"/>
          <w:sz w:val="21"/>
        </w:rPr>
        <w:t xml:space="preserve">Proven Track Record</w:t>
      </w:r>
      <w:r>
        <w:rPr>
          <w:rFonts w:eastAsia="inter" w:cs="inter" w:ascii="inter" w:hAnsi="inter"/>
          <w:color w:val="000000"/>
          <w:sz w:val="21"/>
        </w:rPr>
        <w:t xml:space="preserve">: Platform is battle-tested across Accenture's 700,000-person organization</w:t>
      </w:r>
    </w:p>
    <w:p>
      <w:pPr>
        <w:numPr>
          <w:ilvl w:val="0"/>
          <w:numId w:val="18"/>
        </w:numPr>
        <w:spacing w:line="360" w:before="105" w:after="105" w:lineRule="auto"/>
      </w:pPr>
      <w:r>
        <w:rPr>
          <w:rFonts w:eastAsia="inter" w:cs="inter" w:ascii="inter" w:hAnsi="inter"/>
          <w:b/>
          <w:color w:val="000000"/>
          <w:sz w:val="21"/>
        </w:rPr>
        <w:t xml:space="preserve">Continuous Improvement</w:t>
      </w:r>
      <w:r>
        <w:rPr>
          <w:rFonts w:eastAsia="inter" w:cs="inter" w:ascii="inter" w:hAnsi="inter"/>
          <w:color w:val="000000"/>
          <w:sz w:val="21"/>
        </w:rPr>
        <w:t xml:space="preserve">: Internal usage drives product roadmap evolution</w:t>
      </w:r>
    </w:p>
    <w:p>
      <w:pPr>
        <w:numPr>
          <w:ilvl w:val="0"/>
          <w:numId w:val="18"/>
        </w:numPr>
        <w:spacing w:line="360" w:before="105" w:after="105" w:lineRule="auto"/>
      </w:pPr>
      <w:r>
        <w:rPr>
          <w:rFonts w:eastAsia="inter" w:cs="inter" w:ascii="inter" w:hAnsi="inter"/>
          <w:b/>
          <w:color w:val="000000"/>
          <w:sz w:val="21"/>
        </w:rPr>
        <w:t xml:space="preserve">Embedded Knowledge</w:t>
      </w:r>
      <w:r>
        <w:rPr>
          <w:rFonts w:eastAsia="inter" w:cs="inter" w:ascii="inter" w:hAnsi="inter"/>
          <w:color w:val="000000"/>
          <w:sz w:val="21"/>
        </w:rPr>
        <w:t xml:space="preserve">: Tools encode Accenture's methodologies and best practices</w:t>
      </w:r>
    </w:p>
    <w:p>
      <w:pPr>
        <w:numPr>
          <w:ilvl w:val="0"/>
          <w:numId w:val="18"/>
        </w:numPr>
        <w:spacing w:line="360" w:before="105" w:after="105" w:lineRule="auto"/>
      </w:pPr>
      <w:r>
        <w:rPr>
          <w:rFonts w:eastAsia="inter" w:cs="inter" w:ascii="inter" w:hAnsi="inter"/>
          <w:b/>
          <w:color w:val="000000"/>
          <w:sz w:val="21"/>
        </w:rPr>
        <w:t xml:space="preserve">Lock-in</w:t>
      </w:r>
      <w:r>
        <w:rPr>
          <w:rFonts w:eastAsia="inter" w:cs="inter" w:ascii="inter" w:hAnsi="inter"/>
          <w:color w:val="000000"/>
          <w:sz w:val="21"/>
        </w:rPr>
        <w:t xml:space="preserve">: Once implemented, platforms become central to client operations</w:t>
      </w:r>
    </w:p>
    <w:p>
      <w:pPr>
        <w:numPr>
          <w:ilvl w:val="0"/>
          <w:numId w:val="18"/>
        </w:numPr>
        <w:spacing w:line="360" w:before="105" w:after="105" w:lineRule="auto"/>
      </w:pPr>
      <w:r>
        <w:rPr>
          <w:rFonts w:eastAsia="inter" w:cs="inter" w:ascii="inter" w:hAnsi="inter"/>
          <w:b/>
          <w:color w:val="000000"/>
          <w:sz w:val="21"/>
        </w:rPr>
        <w:t xml:space="preserve">Scale Advantage</w:t>
      </w:r>
      <w:r>
        <w:rPr>
          <w:rFonts w:eastAsia="inter" w:cs="inter" w:ascii="inter" w:hAnsi="inter"/>
          <w:color w:val="000000"/>
          <w:sz w:val="21"/>
        </w:rPr>
        <w:t xml:space="preserve">: Accenture achieves massive operating leverage by selling services powered by proprietary tools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part_4_ceo_positioning_ai_as_the_536f98"/>
      <w:r>
        <w:rPr>
          <w:rFonts w:eastAsia="inter" w:cs="inter" w:ascii="inter" w:hAnsi="inter"/>
          <w:b/>
          <w:color w:val="000000"/>
          <w:sz w:val="24"/>
        </w:rPr>
        <w:t xml:space="preserve">Part 4: CEO Positioning – "AI as the Digital Core"</w:t>
      </w:r>
      <w:bookmarkEnd w:id="52"/>
    </w:p>
    <w:p>
      <w:pPr>
        <w:spacing w:line="360" w:before="315" w:after="105" w:lineRule="auto"/>
        <w:ind w:left="-30"/>
        <w:jc w:val="left"/>
      </w:pPr>
      <w:bookmarkStart w:id="53" w:name="julie_sweet_s_strategic_messaging"/>
      <w:r>
        <w:rPr>
          <w:rFonts w:eastAsia="inter" w:cs="inter" w:ascii="inter" w:hAnsi="inter"/>
          <w:b/>
          <w:color w:val="000000"/>
          <w:sz w:val="24"/>
        </w:rPr>
        <w:t xml:space="preserve">Julie Sweet's Strategic Messaging</w:t>
      </w:r>
      <w:bookmarkEnd w:id="53"/>
    </w:p>
    <w:p>
      <w:pPr>
        <w:spacing w:line="360" w:after="210" w:lineRule="auto"/>
      </w:pPr>
      <w:r>
        <w:rPr>
          <w:rFonts w:eastAsia="inter" w:cs="inter" w:ascii="inter" w:hAnsi="inter"/>
          <w:b/>
          <w:color w:val="000000"/>
        </w:rPr>
        <w:t xml:space="preserve">Accenture's Chairperson &amp; CEO</w:t>
      </w:r>
      <w:r>
        <w:rPr>
          <w:rFonts w:eastAsia="inter" w:cs="inter" w:ascii="inter" w:hAnsi="inter"/>
          <w:color w:val="000000"/>
        </w:rPr>
        <w:t xml:space="preserve"> Julie Sweet articulates a clear strategic positioning:</w:t>
      </w:r>
      <w:bookmarkStart w:id="54" w:name="fnref18"/>
      <w:bookmarkEnd w:id="54"/>
      <w:hyperlink w:anchor="fn18">
        <w:r>
          <w:rPr>
            <w:rFonts w:eastAsia="inter" w:cs="inter" w:ascii="inter" w:hAnsi="inter"/>
            <w:color w:val="#000"/>
            <w:u w:val="single"/>
            <w:vertAlign w:val="superscript"/>
          </w:rPr>
          <w:t xml:space="preserve">[18]</w:t>
        </w:r>
      </w:hyperlink>
      <w:bookmarkStart w:id="55" w:name="fnref19"/>
      <w:bookmarkEnd w:id="55"/>
      <w:hyperlink w:anchor="fn19">
        <w:r>
          <w:rPr>
            <w:rFonts w:eastAsia="inter" w:cs="inter" w:ascii="inter" w:hAnsi="inter"/>
            <w:color w:val="#000"/>
            <w:u w:val="single"/>
            <w:vertAlign w:val="superscript"/>
          </w:rPr>
          <w:t xml:space="preserve">[19]</w:t>
        </w:r>
      </w:hyperlink>
      <w:bookmarkStart w:id="56" w:name="fnref20"/>
      <w:bookmarkEnd w:id="56"/>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b/>
          <w:color w:val="000000"/>
        </w:rPr>
        <w:t xml:space="preserve">Core Message</w:t>
      </w:r>
      <w:r>
        <w:rPr>
          <w:rFonts w:eastAsia="inter" w:cs="inter" w:ascii="inter" w:hAnsi="inter"/>
          <w:color w:val="000000"/>
        </w:rPr>
        <w:t xml:space="preserve">: "All strategies continue to lead to technology. Companies need to reinvent every part of their enterprise using tech, data, and AI to optimize operations and accelerate growth."</w:t>
      </w:r>
      <w:bookmarkStart w:id="57" w:name="fnref18_1"/>
      <w:bookmarkEnd w:id="57"/>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color w:val="000000"/>
        </w:rPr>
        <w:t xml:space="preserve">This messaging accomplishes several objectives:</w:t>
      </w:r>
    </w:p>
    <w:p>
      <w:pPr>
        <w:numPr>
          <w:ilvl w:val="0"/>
          <w:numId w:val="19"/>
        </w:numPr>
        <w:spacing w:line="360" w:before="105" w:after="105" w:lineRule="auto"/>
      </w:pPr>
      <w:r>
        <w:rPr>
          <w:rFonts w:eastAsia="inter" w:cs="inter" w:ascii="inter" w:hAnsi="inter"/>
          <w:b/>
          <w:color w:val="000000"/>
          <w:sz w:val="21"/>
        </w:rPr>
        <w:t xml:space="preserve">Elevates AI</w:t>
      </w:r>
      <w:r>
        <w:rPr>
          <w:rFonts w:eastAsia="inter" w:cs="inter" w:ascii="inter" w:hAnsi="inter"/>
          <w:color w:val="000000"/>
          <w:sz w:val="21"/>
        </w:rPr>
        <w:t xml:space="preserve"> from a tactical tool to the foundation of all strategy</w:t>
      </w:r>
    </w:p>
    <w:p>
      <w:pPr>
        <w:numPr>
          <w:ilvl w:val="0"/>
          <w:numId w:val="19"/>
        </w:numPr>
        <w:spacing w:line="360" w:before="105" w:after="105" w:lineRule="auto"/>
      </w:pPr>
      <w:r>
        <w:rPr>
          <w:rFonts w:eastAsia="inter" w:cs="inter" w:ascii="inter" w:hAnsi="inter"/>
          <w:b/>
          <w:color w:val="000000"/>
          <w:sz w:val="21"/>
        </w:rPr>
        <w:t xml:space="preserve">Justifies Accenture's Premium Pricing</w:t>
      </w:r>
      <w:r>
        <w:rPr>
          <w:rFonts w:eastAsia="inter" w:cs="inter" w:ascii="inter" w:hAnsi="inter"/>
          <w:color w:val="000000"/>
          <w:sz w:val="21"/>
        </w:rPr>
        <w:t xml:space="preserve">: Strategic guidance, not delivery labor</w:t>
      </w:r>
    </w:p>
    <w:p>
      <w:pPr>
        <w:numPr>
          <w:ilvl w:val="0"/>
          <w:numId w:val="19"/>
        </w:numPr>
        <w:spacing w:line="360" w:before="105" w:after="105" w:lineRule="auto"/>
      </w:pPr>
      <w:r>
        <w:rPr>
          <w:rFonts w:eastAsia="inter" w:cs="inter" w:ascii="inter" w:hAnsi="inter"/>
          <w:b/>
          <w:color w:val="000000"/>
          <w:sz w:val="21"/>
        </w:rPr>
        <w:t xml:space="preserve">Shifts the Narrative</w:t>
      </w:r>
      <w:r>
        <w:rPr>
          <w:rFonts w:eastAsia="inter" w:cs="inter" w:ascii="inter" w:hAnsi="inter"/>
          <w:color w:val="000000"/>
          <w:sz w:val="21"/>
        </w:rPr>
        <w:t xml:space="preserve">: From "cost optimization" to "performance frontier setting"</w:t>
      </w:r>
    </w:p>
    <w:p>
      <w:pPr>
        <w:numPr>
          <w:ilvl w:val="0"/>
          <w:numId w:val="19"/>
        </w:numPr>
        <w:spacing w:line="360" w:before="105" w:after="105" w:lineRule="auto"/>
      </w:pPr>
      <w:r>
        <w:rPr>
          <w:rFonts w:eastAsia="inter" w:cs="inter" w:ascii="inter" w:hAnsi="inter"/>
          <w:b/>
          <w:color w:val="000000"/>
          <w:sz w:val="21"/>
        </w:rPr>
        <w:t xml:space="preserve">Positions Competitors as Behind</w:t>
      </w:r>
      <w:r>
        <w:rPr>
          <w:rFonts w:eastAsia="inter" w:cs="inter" w:ascii="inter" w:hAnsi="inter"/>
          <w:color w:val="000000"/>
          <w:sz w:val="21"/>
        </w:rPr>
        <w:t xml:space="preserve">: "Only 40% of workloads are in cloud, only 33% have modernized ERP, &lt;10% have mature AI capabilities"</w:t>
      </w:r>
      <w:bookmarkStart w:id="58" w:name="fnref18_2"/>
      <w:bookmarkEnd w:id="58"/>
      <w:hyperlink w:anchor="fn18">
        <w:r>
          <w:rPr>
            <w:rFonts w:eastAsia="inter" w:cs="inter" w:ascii="inter" w:hAnsi="inter"/>
            <w:color w:val="#000"/>
            <w:sz w:val="21"/>
            <w:u w:val="single"/>
            <w:vertAlign w:val="superscript"/>
          </w:rPr>
          <w:t xml:space="preserve">[18]</w:t>
        </w:r>
      </w:hyperlink>
    </w:p>
    <w:p>
      <w:pPr>
        <w:spacing w:line="360" w:before="315" w:after="105" w:lineRule="auto"/>
        <w:ind w:left="-30"/>
        <w:jc w:val="left"/>
      </w:pPr>
      <w:bookmarkStart w:id="59" w:name="four_pillars_of_accenture_s_genai_14d080"/>
      <w:r>
        <w:rPr>
          <w:rFonts w:eastAsia="inter" w:cs="inter" w:ascii="inter" w:hAnsi="inter"/>
          <w:b/>
          <w:color w:val="000000"/>
          <w:sz w:val="24"/>
        </w:rPr>
        <w:t xml:space="preserve">Four Pillars of Accenture's GenAI Leadership</w:t>
      </w:r>
      <w:hyperlink w:anchor="fn18">
        <w:r>
          <w:rPr>
            <w:rFonts w:eastAsia="inter" w:cs="inter" w:ascii="inter" w:hAnsi="inter"/>
            <w:b/>
            <w:color w:val="#000"/>
            <w:sz w:val="24"/>
            <w:u w:val="single"/>
            <w:vertAlign w:val="superscript"/>
          </w:rPr>
          <w:t xml:space="preserve">[18]</w:t>
        </w:r>
      </w:hyperlink>
      <w:bookmarkEnd w:id="59"/>
    </w:p>
    <w:p>
      <w:pPr>
        <w:numPr>
          <w:ilvl w:val="0"/>
          <w:numId w:val="20"/>
        </w:numPr>
        <w:spacing w:line="360" w:after="210" w:lineRule="auto"/>
      </w:pPr>
      <w:r>
        <w:rPr>
          <w:rFonts w:eastAsia="inter" w:cs="inter" w:ascii="inter" w:hAnsi="inter"/>
          <w:b/>
          <w:color w:val="000000"/>
          <w:sz w:val="21"/>
        </w:rPr>
        <w:t xml:space="preserve">Deep Ecosystem Partnerships</w:t>
      </w:r>
    </w:p>
    <w:p>
      <w:pPr>
        <w:numPr>
          <w:ilvl w:val="1"/>
          <w:numId w:val="20"/>
        </w:numPr>
        <w:spacing w:line="360" w:before="105" w:after="105" w:lineRule="auto"/>
      </w:pPr>
      <w:r>
        <w:rPr>
          <w:rFonts w:eastAsia="inter" w:cs="inter" w:ascii="inter" w:hAnsi="inter"/>
          <w:color w:val="000000"/>
          <w:sz w:val="21"/>
        </w:rPr>
        <w:t xml:space="preserve">Hyperscalers (AWS, Azure, Google Cloud)</w:t>
      </w:r>
    </w:p>
    <w:p>
      <w:pPr>
        <w:numPr>
          <w:ilvl w:val="1"/>
          <w:numId w:val="20"/>
        </w:numPr>
        <w:spacing w:line="360" w:before="105" w:after="105" w:lineRule="auto"/>
      </w:pPr>
      <w:r>
        <w:rPr>
          <w:rFonts w:eastAsia="inter" w:cs="inter" w:ascii="inter" w:hAnsi="inter"/>
          <w:color w:val="000000"/>
          <w:sz w:val="21"/>
        </w:rPr>
        <w:t xml:space="preserve">Model builders (OpenAI, Anthropic, Llama)</w:t>
      </w:r>
    </w:p>
    <w:p>
      <w:pPr>
        <w:numPr>
          <w:ilvl w:val="1"/>
          <w:numId w:val="20"/>
        </w:numPr>
        <w:spacing w:line="360" w:before="105" w:after="105" w:lineRule="auto"/>
      </w:pPr>
      <w:r>
        <w:rPr>
          <w:rFonts w:eastAsia="inter" w:cs="inter" w:ascii="inter" w:hAnsi="inter"/>
          <w:color w:val="000000"/>
          <w:sz w:val="21"/>
        </w:rPr>
        <w:t xml:space="preserve">Startups and academic institutions</w:t>
      </w:r>
    </w:p>
    <w:p>
      <w:pPr>
        <w:numPr>
          <w:ilvl w:val="1"/>
          <w:numId w:val="20"/>
        </w:numPr>
        <w:spacing w:line="360" w:before="105" w:after="105" w:lineRule="auto"/>
      </w:pPr>
      <w:r>
        <w:rPr>
          <w:rFonts w:eastAsia="inter" w:cs="inter" w:ascii="inter" w:hAnsi="inter"/>
          <w:color w:val="000000"/>
          <w:sz w:val="21"/>
        </w:rPr>
        <w:t xml:space="preserve">NVIDIA enterprise collaboration</w:t>
      </w:r>
    </w:p>
    <w:p>
      <w:pPr>
        <w:numPr>
          <w:ilvl w:val="0"/>
          <w:numId w:val="20"/>
        </w:numPr>
        <w:spacing w:line="360" w:after="210" w:lineRule="auto"/>
      </w:pPr>
      <w:r>
        <w:rPr>
          <w:rFonts w:eastAsia="inter" w:cs="inter" w:ascii="inter" w:hAnsi="inter"/>
          <w:b/>
          <w:color w:val="000000"/>
          <w:sz w:val="21"/>
        </w:rPr>
        <w:t xml:space="preserve">Workforce Development at Scale</w:t>
      </w:r>
    </w:p>
    <w:p>
      <w:pPr>
        <w:numPr>
          <w:ilvl w:val="1"/>
          <w:numId w:val="20"/>
        </w:numPr>
        <w:spacing w:line="360" w:before="105" w:after="105" w:lineRule="auto"/>
      </w:pPr>
      <w:r>
        <w:rPr>
          <w:rFonts w:eastAsia="inter" w:cs="inter" w:ascii="inter" w:hAnsi="inter"/>
          <w:color w:val="000000"/>
          <w:sz w:val="21"/>
        </w:rPr>
        <w:t xml:space="preserve">700,000+ professionals trained in AI fundamentals (as of Sept 2025)</w:t>
      </w:r>
      <w:bookmarkStart w:id="60" w:name="fnref20_1"/>
      <w:bookmarkEnd w:id="60"/>
      <w:hyperlink w:anchor="fn20">
        <w:r>
          <w:rPr>
            <w:rFonts w:eastAsia="inter" w:cs="inter" w:ascii="inter" w:hAnsi="inter"/>
            <w:color w:val="#000"/>
            <w:sz w:val="21"/>
            <w:u w:val="single"/>
            <w:vertAlign w:val="superscript"/>
          </w:rPr>
          <w:t xml:space="preserve">[20]</w:t>
        </w:r>
      </w:hyperlink>
    </w:p>
    <w:p>
      <w:pPr>
        <w:numPr>
          <w:ilvl w:val="1"/>
          <w:numId w:val="20"/>
        </w:numPr>
        <w:spacing w:line="360" w:before="105" w:after="105" w:lineRule="auto"/>
      </w:pPr>
      <w:r>
        <w:rPr>
          <w:rFonts w:eastAsia="inter" w:cs="inter" w:ascii="inter" w:hAnsi="inter"/>
          <w:color w:val="000000"/>
          <w:sz w:val="21"/>
        </w:rPr>
        <w:t xml:space="preserve">250,000 additional employees trained in responsible/sustainable AI use</w:t>
      </w:r>
    </w:p>
    <w:p>
      <w:pPr>
        <w:numPr>
          <w:ilvl w:val="1"/>
          <w:numId w:val="20"/>
        </w:numPr>
        <w:spacing w:line="360" w:before="105" w:after="105" w:lineRule="auto"/>
      </w:pPr>
      <w:r>
        <w:rPr>
          <w:rFonts w:eastAsia="inter" w:cs="inter" w:ascii="inter" w:hAnsi="inter"/>
          <w:color w:val="000000"/>
          <w:sz w:val="21"/>
        </w:rPr>
        <w:t xml:space="preserve">Goal: Double deeply skilled AI practitioners from 40,000 → 80,000</w:t>
      </w:r>
    </w:p>
    <w:p>
      <w:pPr>
        <w:numPr>
          <w:ilvl w:val="1"/>
          <w:numId w:val="20"/>
        </w:numPr>
        <w:spacing w:line="360" w:before="105" w:after="105" w:lineRule="auto"/>
      </w:pPr>
      <w:r>
        <w:rPr>
          <w:rFonts w:eastAsia="inter" w:cs="inter" w:ascii="inter" w:hAnsi="inter"/>
          <w:color w:val="000000"/>
          <w:sz w:val="21"/>
        </w:rPr>
        <w:t xml:space="preserve">AI Academy and specialized certification programs</w:t>
      </w:r>
    </w:p>
    <w:p>
      <w:pPr>
        <w:numPr>
          <w:ilvl w:val="0"/>
          <w:numId w:val="20"/>
        </w:numPr>
        <w:spacing w:line="360" w:after="210" w:lineRule="auto"/>
      </w:pPr>
      <w:r>
        <w:rPr>
          <w:rFonts w:eastAsia="inter" w:cs="inter" w:ascii="inter" w:hAnsi="inter"/>
          <w:b/>
          <w:color w:val="000000"/>
          <w:sz w:val="21"/>
        </w:rPr>
        <w:t xml:space="preserve">Responsible AI as Competitive Advantage</w:t>
      </w:r>
      <w:bookmarkStart w:id="61" w:name="fnref19_1"/>
      <w:bookmarkEnd w:id="61"/>
      <w:hyperlink w:anchor="fn19">
        <w:r>
          <w:rPr>
            <w:rFonts w:eastAsia="inter" w:cs="inter" w:ascii="inter" w:hAnsi="inter"/>
            <w:color w:val="#000"/>
            <w:sz w:val="21"/>
            <w:u w:val="single"/>
            <w:vertAlign w:val="superscript"/>
          </w:rPr>
          <w:t xml:space="preserve">[19]</w:t>
        </w:r>
      </w:hyperlink>
    </w:p>
    <w:p>
      <w:pPr>
        <w:numPr>
          <w:ilvl w:val="1"/>
          <w:numId w:val="20"/>
        </w:numPr>
        <w:spacing w:line="360" w:before="105" w:after="105" w:lineRule="auto"/>
      </w:pPr>
      <w:r>
        <w:rPr>
          <w:rFonts w:eastAsia="inter" w:cs="inter" w:ascii="inter" w:hAnsi="inter"/>
          <w:color w:val="000000"/>
          <w:sz w:val="21"/>
        </w:rPr>
        <w:t xml:space="preserve">Industry-leading compliance program (pre-dated the term "responsible AI")</w:t>
      </w:r>
    </w:p>
    <w:p>
      <w:pPr>
        <w:numPr>
          <w:ilvl w:val="1"/>
          <w:numId w:val="20"/>
        </w:numPr>
        <w:spacing w:line="360" w:before="105" w:after="105" w:lineRule="auto"/>
      </w:pPr>
      <w:r>
        <w:rPr>
          <w:rFonts w:eastAsia="inter" w:cs="inter" w:ascii="inter" w:hAnsi="inter"/>
          <w:color w:val="000000"/>
          <w:sz w:val="21"/>
        </w:rPr>
        <w:t xml:space="preserve">Embedded in all client delivery</w:t>
      </w:r>
    </w:p>
    <w:p>
      <w:pPr>
        <w:numPr>
          <w:ilvl w:val="1"/>
          <w:numId w:val="20"/>
        </w:numPr>
        <w:spacing w:line="360" w:before="105" w:after="105" w:lineRule="auto"/>
      </w:pPr>
      <w:r>
        <w:rPr>
          <w:rFonts w:eastAsia="inter" w:cs="inter" w:ascii="inter" w:hAnsi="inter"/>
          <w:color w:val="000000"/>
          <w:sz w:val="21"/>
        </w:rPr>
        <w:t xml:space="preserve">New product: Automatic retraining of enterprise AI when compliance policies change</w:t>
      </w:r>
    </w:p>
    <w:p>
      <w:pPr>
        <w:numPr>
          <w:ilvl w:val="1"/>
          <w:numId w:val="20"/>
        </w:numPr>
        <w:spacing w:line="360" w:before="105" w:after="105" w:lineRule="auto"/>
      </w:pPr>
      <w:r>
        <w:rPr>
          <w:rFonts w:eastAsia="inter" w:cs="inter" w:ascii="inter" w:hAnsi="inter"/>
          <w:color w:val="000000"/>
          <w:sz w:val="21"/>
        </w:rPr>
        <w:t xml:space="preserve">Marketed as prerequisite for scaling AI beyond pilots</w:t>
      </w:r>
    </w:p>
    <w:p>
      <w:pPr>
        <w:numPr>
          <w:ilvl w:val="0"/>
          <w:numId w:val="20"/>
        </w:numPr>
        <w:spacing w:line="360" w:after="210" w:lineRule="auto"/>
      </w:pPr>
      <w:r>
        <w:rPr>
          <w:rFonts w:eastAsia="inter" w:cs="inter" w:ascii="inter" w:hAnsi="inter"/>
          <w:b/>
          <w:color w:val="000000"/>
          <w:sz w:val="21"/>
        </w:rPr>
        <w:t xml:space="preserve">Internal Adoption Driving Innovation</w:t>
      </w:r>
    </w:p>
    <w:p>
      <w:pPr>
        <w:numPr>
          <w:ilvl w:val="1"/>
          <w:numId w:val="20"/>
        </w:numPr>
        <w:spacing w:line="360" w:before="105" w:after="105" w:lineRule="auto"/>
      </w:pPr>
      <w:r>
        <w:rPr>
          <w:rFonts w:eastAsia="inter" w:cs="inter" w:ascii="inter" w:hAnsi="inter"/>
          <w:color w:val="000000"/>
          <w:sz w:val="21"/>
        </w:rPr>
        <w:t xml:space="preserve">GenAI embedded across all service lines</w:t>
      </w:r>
    </w:p>
    <w:p>
      <w:pPr>
        <w:numPr>
          <w:ilvl w:val="1"/>
          <w:numId w:val="20"/>
        </w:numPr>
        <w:spacing w:line="360" w:before="105" w:after="105" w:lineRule="auto"/>
      </w:pPr>
      <w:r>
        <w:rPr>
          <w:rFonts w:eastAsia="inter" w:cs="inter" w:ascii="inter" w:hAnsi="inter"/>
          <w:color w:val="000000"/>
          <w:sz w:val="21"/>
        </w:rPr>
        <w:t xml:space="preserve">Using AI Refinery for internal transformation (e.g., Marketing case study)</w:t>
      </w:r>
    </w:p>
    <w:p>
      <w:pPr>
        <w:numPr>
          <w:ilvl w:val="1"/>
          <w:numId w:val="20"/>
        </w:numPr>
        <w:spacing w:line="360" w:before="105" w:after="105" w:lineRule="auto"/>
      </w:pPr>
      <w:r>
        <w:rPr>
          <w:rFonts w:eastAsia="inter" w:cs="inter" w:ascii="inter" w:hAnsi="inter"/>
          <w:color w:val="000000"/>
          <w:sz w:val="21"/>
        </w:rPr>
        <w:t xml:space="preserve">Learning captured and resold to clients</w:t>
      </w:r>
    </w:p>
    <w:p>
      <w:pPr>
        <w:spacing w:line="360" w:before="315" w:after="105" w:lineRule="auto"/>
        <w:ind w:left="-30"/>
        <w:jc w:val="left"/>
      </w:pPr>
      <w:bookmarkStart w:id="62" w:name="quantified_growth_metrics"/>
      <w:r>
        <w:rPr>
          <w:rFonts w:eastAsia="inter" w:cs="inter" w:ascii="inter" w:hAnsi="inter"/>
          <w:b/>
          <w:color w:val="000000"/>
          <w:sz w:val="24"/>
        </w:rPr>
        <w:t xml:space="preserve">Quantified Growth Metrics</w:t>
      </w:r>
      <w:bookmarkEnd w:id="62"/>
    </w:p>
    <w:p>
      <w:pPr>
        <w:spacing w:line="360" w:after="210" w:lineRule="auto"/>
      </w:pPr>
      <w:r>
        <w:rPr>
          <w:rFonts w:eastAsia="inter" w:cs="inter" w:ascii="inter" w:hAnsi="inter"/>
          <w:color w:val="000000"/>
        </w:rPr>
        <w:t xml:space="preserve">Accenture's </w:t>
      </w:r>
      <w:r>
        <w:rPr>
          <w:rFonts w:eastAsia="inter" w:cs="inter" w:ascii="inter" w:hAnsi="inter"/>
          <w:b/>
          <w:color w:val="000000"/>
        </w:rPr>
        <w:t xml:space="preserve">GenAI revenue momentum</w:t>
      </w:r>
      <w:r>
        <w:rPr>
          <w:rFonts w:eastAsia="inter" w:cs="inter" w:ascii="inter" w:hAnsi="inter"/>
          <w:color w:val="000000"/>
        </w:rPr>
        <w:t xml:space="preserve">:</w:t>
      </w:r>
      <w:bookmarkStart w:id="63" w:name="fnref18_4"/>
      <w:bookmarkEnd w:id="63"/>
      <w:hyperlink w:anchor="fn18">
        <w:r>
          <w:rPr>
            <w:rFonts w:eastAsia="inter" w:cs="inter" w:ascii="inter" w:hAnsi="inter"/>
            <w:color w:val="#000"/>
            <w:u w:val="single"/>
            <w:vertAlign w:val="superscript"/>
          </w:rPr>
          <w:t xml:space="preserve">[18]</w:t>
        </w:r>
      </w:hyperlink>
    </w:p>
    <w:p>
      <w:pPr>
        <w:numPr>
          <w:ilvl w:val="0"/>
          <w:numId w:val="21"/>
        </w:numPr>
        <w:spacing w:line="360" w:before="105" w:after="105" w:lineRule="auto"/>
      </w:pPr>
      <w:r>
        <w:rPr>
          <w:rFonts w:eastAsia="inter" w:cs="inter" w:ascii="inter" w:hAnsi="inter"/>
          <w:b/>
          <w:color w:val="000000"/>
          <w:sz w:val="21"/>
        </w:rPr>
        <w:t xml:space="preserve">FY2023</w:t>
      </w:r>
      <w:r>
        <w:rPr>
          <w:rFonts w:eastAsia="inter" w:cs="inter" w:ascii="inter" w:hAnsi="inter"/>
          <w:color w:val="000000"/>
          <w:sz w:val="21"/>
        </w:rPr>
        <w:t xml:space="preserve">: $300M in GenAI sales</w:t>
      </w:r>
    </w:p>
    <w:p>
      <w:pPr>
        <w:numPr>
          <w:ilvl w:val="1"/>
          <w:numId w:val="21"/>
        </w:numPr>
        <w:spacing w:line="360" w:before="105" w:after="105" w:lineRule="auto"/>
      </w:pPr>
      <w:r>
        <w:rPr>
          <w:rFonts w:eastAsia="inter" w:cs="inter" w:ascii="inter" w:hAnsi="inter"/>
          <w:color w:val="000000"/>
          <w:sz w:val="21"/>
        </w:rPr>
        <w:t xml:space="preserve">First 4 months: $100M</w:t>
      </w:r>
    </w:p>
    <w:p>
      <w:pPr>
        <w:numPr>
          <w:ilvl w:val="1"/>
          <w:numId w:val="21"/>
        </w:numPr>
        <w:spacing w:line="360" w:before="105" w:after="105" w:lineRule="auto"/>
      </w:pPr>
      <w:r>
        <w:rPr>
          <w:rFonts w:eastAsia="inter" w:cs="inter" w:ascii="inter" w:hAnsi="inter"/>
          <w:color w:val="000000"/>
          <w:sz w:val="21"/>
        </w:rPr>
        <w:t xml:space="preserve">Q4 additional: $200M</w:t>
      </w:r>
    </w:p>
    <w:p>
      <w:pPr>
        <w:numPr>
          <w:ilvl w:val="0"/>
          <w:numId w:val="21"/>
        </w:numPr>
        <w:spacing w:line="360" w:before="105" w:after="105" w:lineRule="auto"/>
      </w:pPr>
      <w:r>
        <w:rPr>
          <w:rFonts w:eastAsia="inter" w:cs="inter" w:ascii="inter" w:hAnsi="inter"/>
          <w:b/>
          <w:color w:val="000000"/>
          <w:sz w:val="21"/>
        </w:rPr>
        <w:t xml:space="preserve">Investment</w:t>
      </w:r>
      <w:r>
        <w:rPr>
          <w:rFonts w:eastAsia="inter" w:cs="inter" w:ascii="inter" w:hAnsi="inter"/>
          <w:color w:val="000000"/>
          <w:sz w:val="21"/>
        </w:rPr>
        <w:t xml:space="preserve">: $3B announced in 2023 to accelerate client reinvention</w:t>
      </w:r>
    </w:p>
    <w:p>
      <w:pPr>
        <w:numPr>
          <w:ilvl w:val="0"/>
          <w:numId w:val="21"/>
        </w:numPr>
        <w:spacing w:line="360" w:before="105" w:after="105" w:lineRule="auto"/>
      </w:pPr>
      <w:r>
        <w:rPr>
          <w:rFonts w:eastAsia="inter" w:cs="inter" w:ascii="inter" w:hAnsi="inter"/>
          <w:b/>
          <w:color w:val="000000"/>
          <w:sz w:val="21"/>
        </w:rPr>
        <w:t xml:space="preserve">Growth trajectory</w:t>
      </w:r>
      <w:r>
        <w:rPr>
          <w:rFonts w:eastAsia="inter" w:cs="inter" w:ascii="inter" w:hAnsi="inter"/>
          <w:color w:val="000000"/>
          <w:sz w:val="21"/>
        </w:rPr>
        <w:t xml:space="preserve">: From $300M (FY2023) to $700M+ run rate (current estimates)</w:t>
      </w:r>
    </w:p>
    <w:p>
      <w:pPr>
        <w:spacing w:line="360" w:after="210" w:lineRule="auto"/>
      </w:pPr>
      <w:r>
        <w:rPr>
          <w:rFonts w:eastAsia="inter" w:cs="inter" w:ascii="inter" w:hAnsi="inter"/>
          <w:color w:val="000000"/>
        </w:rPr>
        <w:t xml:space="preserve">This positions Accenture as the clear market leader in enterprise GenAI adoption, ahead of competitors like Cognizant, TCS, Infosys, and traditional integrators.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part_5_israeli_market_strategy_gl_29aef7"/>
      <w:r>
        <w:rPr>
          <w:rFonts w:eastAsia="inter" w:cs="inter" w:ascii="inter" w:hAnsi="inter"/>
          <w:b/>
          <w:color w:val="000000"/>
          <w:sz w:val="24"/>
        </w:rPr>
        <w:t xml:space="preserve">Part 5: Israeli Market Strategy – Global Expertise Brought Locally</w:t>
      </w:r>
      <w:bookmarkEnd w:id="64"/>
    </w:p>
    <w:p>
      <w:pPr>
        <w:spacing w:line="360" w:before="315" w:after="105" w:lineRule="auto"/>
        <w:ind w:left="-30"/>
        <w:jc w:val="left"/>
      </w:pPr>
      <w:bookmarkStart w:id="65" w:name="accenture_s_israeli_footprint"/>
      <w:r>
        <w:rPr>
          <w:rFonts w:eastAsia="inter" w:cs="inter" w:ascii="inter" w:hAnsi="inter"/>
          <w:b/>
          <w:color w:val="000000"/>
          <w:sz w:val="24"/>
        </w:rPr>
        <w:t xml:space="preserve">Accenture's Israeli Footprint</w:t>
      </w:r>
      <w:bookmarkEnd w:id="65"/>
    </w:p>
    <w:p>
      <w:pPr>
        <w:spacing w:line="360" w:after="210" w:lineRule="auto"/>
      </w:pPr>
      <w:r>
        <w:rPr>
          <w:rFonts w:eastAsia="inter" w:cs="inter" w:ascii="inter" w:hAnsi="inter"/>
          <w:color w:val="000000"/>
        </w:rPr>
        <w:t xml:space="preserve">Accenture operates in Israel through two primary locations:</w:t>
      </w:r>
      <w:bookmarkStart w:id="66" w:name="fnref21"/>
      <w:bookmarkEnd w:id="66"/>
      <w:hyperlink w:anchor="fn21">
        <w:r>
          <w:rPr>
            <w:rFonts w:eastAsia="inter" w:cs="inter" w:ascii="inter" w:hAnsi="inter"/>
            <w:color w:val="#000"/>
            <w:u w:val="single"/>
            <w:vertAlign w:val="superscript"/>
          </w:rPr>
          <w:t xml:space="preserve">[21]</w:t>
        </w:r>
      </w:hyperlink>
      <w:bookmarkStart w:id="67" w:name="fnref22"/>
      <w:bookmarkEnd w:id="67"/>
      <w:hyperlink w:anchor="fn22">
        <w:r>
          <w:rPr>
            <w:rFonts w:eastAsia="inter" w:cs="inter" w:ascii="inter" w:hAnsi="inter"/>
            <w:color w:val="#000"/>
            <w:u w:val="single"/>
            <w:vertAlign w:val="superscript"/>
          </w:rPr>
          <w:t xml:space="preserve">[22]</w:t>
        </w:r>
      </w:hyperlink>
      <w:bookmarkStart w:id="68" w:name="fnref23"/>
      <w:bookmarkEnd w:id="68"/>
      <w:hyperlink w:anchor="fn23">
        <w:r>
          <w:rPr>
            <w:rFonts w:eastAsia="inter" w:cs="inter" w:ascii="inter" w:hAnsi="inter"/>
            <w:color w:val="#000"/>
            <w:u w:val="single"/>
            <w:vertAlign w:val="superscript"/>
          </w:rPr>
          <w:t xml:space="preserve">[23]</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Function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Details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Herzliya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Primary Office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Strategic consulting, AI innovation hub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Kfar Saba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Secondary Office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Service delivery and operations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LinkedIn Following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Market Presence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14,664+ followers (engagement proxy)</w:t>
            </w:r>
          </w:p>
        </w:tc>
      </w:tr>
    </w:tbl>
    <w:p>
      <w:pPr>
        <w:spacing w:lineRule="auto"/>
      </w:pPr>
    </w:p>
    <w:p>
      <w:pPr>
        <w:spacing w:line="360" w:before="315" w:after="105" w:lineRule="auto"/>
        <w:ind w:left="-30"/>
        <w:jc w:val="left"/>
      </w:pPr>
      <w:bookmarkStart w:id="69" w:name="the_maglan_cybersecurity_acquisit_4080a1"/>
      <w:r>
        <w:rPr>
          <w:rFonts w:eastAsia="inter" w:cs="inter" w:ascii="inter" w:hAnsi="inter"/>
          <w:b/>
          <w:color w:val="000000"/>
          <w:sz w:val="24"/>
        </w:rPr>
        <w:t xml:space="preserve">The Maglan Cybersecurity Acquisition (2016)</w:t>
      </w:r>
      <w:bookmarkEnd w:id="69"/>
    </w:p>
    <w:p>
      <w:pPr>
        <w:spacing w:line="360" w:after="210" w:lineRule="auto"/>
      </w:pPr>
      <w:r>
        <w:rPr>
          <w:rFonts w:eastAsia="inter" w:cs="inter" w:ascii="inter" w:hAnsi="inter"/>
          <w:b/>
          <w:color w:val="000000"/>
        </w:rPr>
        <w:t xml:space="preserve">Strategic Rationale:</w:t>
      </w:r>
      <w:r>
        <w:rPr>
          <w:rFonts w:eastAsia="inter" w:cs="inter" w:ascii="inter" w:hAnsi="inter"/>
          <w:color w:val="000000"/>
        </w:rPr>
        <w:t xml:space="preserve"> Accenture acquired </w:t>
      </w:r>
      <w:r>
        <w:rPr>
          <w:rFonts w:eastAsia="inter" w:cs="inter" w:ascii="inter" w:hAnsi="inter"/>
          <w:b/>
          <w:color w:val="000000"/>
        </w:rPr>
        <w:t xml:space="preserve">Maglan</w:t>
      </w:r>
      <w:r>
        <w:rPr>
          <w:rFonts w:eastAsia="inter" w:cs="inter" w:ascii="inter" w:hAnsi="inter"/>
          <w:color w:val="000000"/>
        </w:rPr>
        <w:t xml:space="preserve">, an Israeli cybersecurity firm founded in 1998, to establish credibility in Israel's thriving security-tech ecosystem.</w:t>
      </w:r>
      <w:bookmarkStart w:id="70" w:name="fnref24"/>
      <w:bookmarkEnd w:id="70"/>
      <w:hyperlink w:anchor="fn24">
        <w:r>
          <w:rPr>
            <w:rFonts w:eastAsia="inter" w:cs="inter" w:ascii="inter" w:hAnsi="inter"/>
            <w:color w:val="#000"/>
            <w:u w:val="single"/>
            <w:vertAlign w:val="superscript"/>
          </w:rPr>
          <w:t xml:space="preserve">[24]</w:t>
        </w:r>
      </w:hyperlink>
      <w:bookmarkStart w:id="71" w:name="fnref25"/>
      <w:bookmarkEnd w:id="71"/>
      <w:hyperlink w:anchor="fn25">
        <w:r>
          <w:rPr>
            <w:rFonts w:eastAsia="inter" w:cs="inter" w:ascii="inter" w:hAnsi="inter"/>
            <w:color w:val="#000"/>
            <w:u w:val="single"/>
            <w:vertAlign w:val="superscript"/>
          </w:rPr>
          <w:t xml:space="preserve">[25]</w:t>
        </w:r>
      </w:hyperlink>
      <w:bookmarkStart w:id="72" w:name="fnref26"/>
      <w:bookmarkEnd w:id="72"/>
      <w:hyperlink w:anchor="fn26">
        <w:r>
          <w:rPr>
            <w:rFonts w:eastAsia="inter" w:cs="inter" w:ascii="inter" w:hAnsi="inter"/>
            <w:color w:val="#000"/>
            <w:u w:val="single"/>
            <w:vertAlign w:val="superscript"/>
          </w:rPr>
          <w:t xml:space="preserve">[26]</w:t>
        </w:r>
      </w:hyperlink>
    </w:p>
    <w:p>
      <w:pPr>
        <w:spacing w:line="360" w:after="210" w:lineRule="auto"/>
      </w:pPr>
      <w:r>
        <w:rPr>
          <w:rFonts w:eastAsia="inter" w:cs="inter" w:ascii="inter" w:hAnsi="inter"/>
          <w:b/>
          <w:color w:val="000000"/>
        </w:rPr>
        <w:t xml:space="preserve">Maglan's Capabilities:</w:t>
      </w:r>
      <w:bookmarkStart w:id="73" w:name="fnref26_1"/>
      <w:bookmarkEnd w:id="73"/>
      <w:hyperlink w:anchor="fn26">
        <w:r>
          <w:rPr>
            <w:rFonts w:eastAsia="inter" w:cs="inter" w:ascii="inter" w:hAnsi="inter"/>
            <w:color w:val="#000"/>
            <w:u w:val="single"/>
            <w:vertAlign w:val="superscript"/>
          </w:rPr>
          <w:t xml:space="preserve">[26]</w:t>
        </w:r>
      </w:hyperlink>
      <w:bookmarkStart w:id="74" w:name="fnref24_1"/>
      <w:bookmarkEnd w:id="74"/>
      <w:hyperlink w:anchor="fn24">
        <w:r>
          <w:rPr>
            <w:rFonts w:eastAsia="inter" w:cs="inter" w:ascii="inter" w:hAnsi="inter"/>
            <w:color w:val="#000"/>
            <w:u w:val="single"/>
            <w:vertAlign w:val="superscript"/>
          </w:rPr>
          <w:t xml:space="preserve">[24]</w:t>
        </w:r>
      </w:hyperlink>
    </w:p>
    <w:p>
      <w:pPr>
        <w:numPr>
          <w:ilvl w:val="0"/>
          <w:numId w:val="22"/>
        </w:numPr>
        <w:spacing w:line="360" w:before="105" w:after="105" w:lineRule="auto"/>
      </w:pPr>
      <w:r>
        <w:rPr>
          <w:rFonts w:eastAsia="inter" w:cs="inter" w:ascii="inter" w:hAnsi="inter"/>
          <w:color w:val="000000"/>
          <w:sz w:val="21"/>
        </w:rPr>
        <w:t xml:space="preserve">Offensive cyber simulation and threat modeling</w:t>
      </w:r>
    </w:p>
    <w:p>
      <w:pPr>
        <w:numPr>
          <w:ilvl w:val="0"/>
          <w:numId w:val="22"/>
        </w:numPr>
        <w:spacing w:line="360" w:before="105" w:after="105" w:lineRule="auto"/>
      </w:pPr>
      <w:r>
        <w:rPr>
          <w:rFonts w:eastAsia="inter" w:cs="inter" w:ascii="inter" w:hAnsi="inter"/>
          <w:color w:val="000000"/>
          <w:sz w:val="21"/>
        </w:rPr>
        <w:t xml:space="preserve">Vulnerability countermeasures and cyber forensics</w:t>
      </w:r>
    </w:p>
    <w:p>
      <w:pPr>
        <w:numPr>
          <w:ilvl w:val="0"/>
          <w:numId w:val="22"/>
        </w:numPr>
        <w:spacing w:line="360" w:before="105" w:after="105" w:lineRule="auto"/>
      </w:pPr>
      <w:r>
        <w:rPr>
          <w:rFonts w:eastAsia="inter" w:cs="inter" w:ascii="inter" w:hAnsi="inter"/>
          <w:color w:val="000000"/>
          <w:sz w:val="21"/>
        </w:rPr>
        <w:t xml:space="preserve">Malware defense and IT security R&amp;D</w:t>
      </w:r>
    </w:p>
    <w:p>
      <w:pPr>
        <w:numPr>
          <w:ilvl w:val="0"/>
          <w:numId w:val="22"/>
        </w:numPr>
        <w:spacing w:line="360" w:before="105" w:after="105" w:lineRule="auto"/>
      </w:pPr>
      <w:r>
        <w:rPr>
          <w:rFonts w:eastAsia="inter" w:cs="inter" w:ascii="inter" w:hAnsi="inter"/>
          <w:color w:val="000000"/>
          <w:sz w:val="21"/>
        </w:rPr>
        <w:t xml:space="preserve">Clients: Financial services, telecommunications, automotive industries</w:t>
      </w:r>
    </w:p>
    <w:p>
      <w:pPr>
        <w:spacing w:line="360" w:after="210" w:lineRule="auto"/>
      </w:pPr>
      <w:r>
        <w:rPr>
          <w:rFonts w:eastAsia="inter" w:cs="inter" w:ascii="inter" w:hAnsi="inter"/>
          <w:b/>
          <w:color w:val="000000"/>
        </w:rPr>
        <w:t xml:space="preserve">Integration:</w:t>
      </w:r>
      <w:r>
        <w:rPr>
          <w:rFonts w:eastAsia="inter" w:cs="inter" w:ascii="inter" w:hAnsi="inter"/>
          <w:color w:val="000000"/>
        </w:rPr>
        <w:t xml:space="preserve"> Maglan forms the core of the </w:t>
      </w:r>
      <w:r>
        <w:rPr>
          <w:rFonts w:eastAsia="inter" w:cs="inter" w:ascii="inter" w:hAnsi="inter"/>
          <w:b/>
          <w:color w:val="000000"/>
        </w:rPr>
        <w:t xml:space="preserve">Accenture Cyber Fusion Center in Israel</w:t>
      </w:r>
      <w:r>
        <w:rPr>
          <w:rFonts w:eastAsia="inter" w:cs="inter" w:ascii="inter" w:hAnsi="inter"/>
          <w:color w:val="000000"/>
        </w:rPr>
        <w:t xml:space="preserve">, which:</w:t>
      </w:r>
      <w:bookmarkStart w:id="75" w:name="fnref26_2"/>
      <w:bookmarkEnd w:id="75"/>
      <w:hyperlink w:anchor="fn26">
        <w:r>
          <w:rPr>
            <w:rFonts w:eastAsia="inter" w:cs="inter" w:ascii="inter" w:hAnsi="inter"/>
            <w:color w:val="#000"/>
            <w:u w:val="single"/>
            <w:vertAlign w:val="superscript"/>
          </w:rPr>
          <w:t xml:space="preserve">[26]</w:t>
        </w:r>
      </w:hyperlink>
    </w:p>
    <w:p>
      <w:pPr>
        <w:numPr>
          <w:ilvl w:val="0"/>
          <w:numId w:val="23"/>
        </w:numPr>
        <w:spacing w:line="360" w:before="105" w:after="105" w:lineRule="auto"/>
      </w:pPr>
      <w:r>
        <w:rPr>
          <w:rFonts w:eastAsia="inter" w:cs="inter" w:ascii="inter" w:hAnsi="inter"/>
          <w:color w:val="000000"/>
          <w:sz w:val="21"/>
        </w:rPr>
        <w:t xml:space="preserve">Conducts advanced threat intelligence R&amp;D</w:t>
      </w:r>
    </w:p>
    <w:p>
      <w:pPr>
        <w:numPr>
          <w:ilvl w:val="0"/>
          <w:numId w:val="23"/>
        </w:numPr>
        <w:spacing w:line="360" w:before="105" w:after="105" w:lineRule="auto"/>
      </w:pPr>
      <w:r>
        <w:rPr>
          <w:rFonts w:eastAsia="inter" w:cs="inter" w:ascii="inter" w:hAnsi="inter"/>
          <w:color w:val="000000"/>
          <w:sz w:val="21"/>
        </w:rPr>
        <w:t xml:space="preserve">Develops active defense strategies</w:t>
      </w:r>
    </w:p>
    <w:p>
      <w:pPr>
        <w:numPr>
          <w:ilvl w:val="0"/>
          <w:numId w:val="23"/>
        </w:numPr>
        <w:spacing w:line="360" w:before="105" w:after="105" w:lineRule="auto"/>
      </w:pPr>
      <w:r>
        <w:rPr>
          <w:rFonts w:eastAsia="inter" w:cs="inter" w:ascii="inter" w:hAnsi="inter"/>
          <w:color w:val="000000"/>
          <w:sz w:val="21"/>
        </w:rPr>
        <w:t xml:space="preserve">Applies AI, blockchain, and advanced analytics to cybersecurity</w:t>
      </w:r>
    </w:p>
    <w:p>
      <w:pPr>
        <w:numPr>
          <w:ilvl w:val="0"/>
          <w:numId w:val="23"/>
        </w:numPr>
        <w:spacing w:line="360" w:before="105" w:after="105" w:lineRule="auto"/>
      </w:pPr>
      <w:r>
        <w:rPr>
          <w:rFonts w:eastAsia="inter" w:cs="inter" w:ascii="inter" w:hAnsi="inter"/>
          <w:color w:val="000000"/>
          <w:sz w:val="21"/>
        </w:rPr>
        <w:t xml:space="preserve">Supports Accenture's global Cyber Fusion Centers (Manila, Prague, Bangalore)</w:t>
      </w:r>
    </w:p>
    <w:p>
      <w:pPr>
        <w:spacing w:line="360" w:before="315" w:after="105" w:lineRule="auto"/>
        <w:ind w:left="-30"/>
        <w:jc w:val="left"/>
      </w:pPr>
      <w:bookmarkStart w:id="76" w:name="the_israeli_r_d_lab"/>
      <w:r>
        <w:rPr>
          <w:rFonts w:eastAsia="inter" w:cs="inter" w:ascii="inter" w:hAnsi="inter"/>
          <w:b/>
          <w:color w:val="000000"/>
          <w:sz w:val="24"/>
        </w:rPr>
        <w:t xml:space="preserve">The Israeli R&amp;D Lab</w:t>
      </w:r>
      <w:bookmarkEnd w:id="76"/>
    </w:p>
    <w:p>
      <w:pPr>
        <w:spacing w:line="360" w:after="210" w:lineRule="auto"/>
      </w:pPr>
      <w:r>
        <w:rPr>
          <w:rFonts w:eastAsia="inter" w:cs="inter" w:ascii="inter" w:hAnsi="inter"/>
          <w:color w:val="000000"/>
        </w:rPr>
        <w:t xml:space="preserve">Established in 2016 in Herzliya, Accenture's </w:t>
      </w:r>
      <w:r>
        <w:rPr>
          <w:rFonts w:eastAsia="inter" w:cs="inter" w:ascii="inter" w:hAnsi="inter"/>
          <w:b/>
          <w:color w:val="000000"/>
        </w:rPr>
        <w:t xml:space="preserve">Cyber R&amp;D Lab</w:t>
      </w:r>
      <w:r>
        <w:rPr>
          <w:rFonts w:eastAsia="inter" w:cs="inter" w:ascii="inter" w:hAnsi="inter"/>
          <w:color w:val="000000"/>
        </w:rPr>
        <w:t xml:space="preserve"> focuses on:</w:t>
      </w:r>
      <w:bookmarkStart w:id="77" w:name="fnref25_1"/>
      <w:bookmarkEnd w:id="77"/>
      <w:hyperlink w:anchor="fn25">
        <w:r>
          <w:rPr>
            <w:rFonts w:eastAsia="inter" w:cs="inter" w:ascii="inter" w:hAnsi="inter"/>
            <w:color w:val="#000"/>
            <w:u w:val="single"/>
            <w:vertAlign w:val="superscript"/>
          </w:rPr>
          <w:t xml:space="preserve">[25]</w:t>
        </w:r>
      </w:hyperlink>
      <w:bookmarkStart w:id="78" w:name="fnref26_3"/>
      <w:bookmarkEnd w:id="78"/>
      <w:hyperlink w:anchor="fn26">
        <w:r>
          <w:rPr>
            <w:rFonts w:eastAsia="inter" w:cs="inter" w:ascii="inter" w:hAnsi="inter"/>
            <w:color w:val="#000"/>
            <w:u w:val="single"/>
            <w:vertAlign w:val="superscript"/>
          </w:rPr>
          <w:t xml:space="preserve">[26]</w:t>
        </w:r>
      </w:hyperlink>
    </w:p>
    <w:p>
      <w:pPr>
        <w:numPr>
          <w:ilvl w:val="0"/>
          <w:numId w:val="24"/>
        </w:numPr>
        <w:spacing w:line="360" w:before="105" w:after="105" w:lineRule="auto"/>
      </w:pPr>
      <w:r>
        <w:rPr>
          <w:rFonts w:eastAsia="inter" w:cs="inter" w:ascii="inter" w:hAnsi="inter"/>
          <w:color w:val="000000"/>
          <w:sz w:val="21"/>
        </w:rPr>
        <w:t xml:space="preserve">Advanced threat intelligence</w:t>
      </w:r>
    </w:p>
    <w:p>
      <w:pPr>
        <w:numPr>
          <w:ilvl w:val="0"/>
          <w:numId w:val="24"/>
        </w:numPr>
        <w:spacing w:line="360" w:before="105" w:after="105" w:lineRule="auto"/>
      </w:pPr>
      <w:r>
        <w:rPr>
          <w:rFonts w:eastAsia="inter" w:cs="inter" w:ascii="inter" w:hAnsi="inter"/>
          <w:color w:val="000000"/>
          <w:sz w:val="21"/>
        </w:rPr>
        <w:t xml:space="preserve">Active defense strategies</w:t>
      </w:r>
    </w:p>
    <w:p>
      <w:pPr>
        <w:numPr>
          <w:ilvl w:val="0"/>
          <w:numId w:val="24"/>
        </w:numPr>
        <w:spacing w:line="360" w:before="105" w:after="105" w:lineRule="auto"/>
      </w:pPr>
      <w:r>
        <w:rPr>
          <w:rFonts w:eastAsia="inter" w:cs="inter" w:ascii="inter" w:hAnsi="inter"/>
          <w:color w:val="000000"/>
          <w:sz w:val="21"/>
        </w:rPr>
        <w:t xml:space="preserve">Industrial Internet of Things (IIoT) security</w:t>
      </w:r>
    </w:p>
    <w:p>
      <w:pPr>
        <w:numPr>
          <w:ilvl w:val="0"/>
          <w:numId w:val="24"/>
        </w:numPr>
        <w:spacing w:line="360" w:before="105" w:after="105" w:lineRule="auto"/>
      </w:pPr>
      <w:r>
        <w:rPr>
          <w:rFonts w:eastAsia="inter" w:cs="inter" w:ascii="inter" w:hAnsi="inter"/>
          <w:color w:val="000000"/>
          <w:sz w:val="21"/>
        </w:rPr>
        <w:t xml:space="preserve">AI-powered threat detection</w:t>
      </w:r>
    </w:p>
    <w:p>
      <w:pPr>
        <w:spacing w:line="360" w:after="210" w:lineRule="auto"/>
      </w:pPr>
      <w:r>
        <w:rPr>
          <w:rFonts w:eastAsia="inter" w:cs="inter" w:ascii="inter" w:hAnsi="inter"/>
          <w:b/>
          <w:color w:val="000000"/>
        </w:rPr>
        <w:t xml:space="preserve">Strategic Value:</w:t>
      </w:r>
    </w:p>
    <w:p>
      <w:pPr>
        <w:numPr>
          <w:ilvl w:val="0"/>
          <w:numId w:val="25"/>
        </w:numPr>
        <w:spacing w:line="360" w:before="105" w:after="105" w:lineRule="auto"/>
      </w:pPr>
      <w:r>
        <w:rPr>
          <w:rFonts w:eastAsia="inter" w:cs="inter" w:ascii="inter" w:hAnsi="inter"/>
          <w:color w:val="000000"/>
          <w:sz w:val="21"/>
        </w:rPr>
        <w:t xml:space="preserve">Positions Israel as a </w:t>
      </w:r>
      <w:r>
        <w:rPr>
          <w:rFonts w:eastAsia="inter" w:cs="inter" w:ascii="inter" w:hAnsi="inter"/>
          <w:b/>
          <w:color w:val="000000"/>
          <w:sz w:val="21"/>
        </w:rPr>
        <w:t xml:space="preserve">cybersecurity innovation hub</w:t>
      </w:r>
      <w:r>
        <w:rPr>
          <w:rFonts w:eastAsia="inter" w:cs="inter" w:ascii="inter" w:hAnsi="inter"/>
          <w:color w:val="000000"/>
          <w:sz w:val="21"/>
        </w:rPr>
        <w:t xml:space="preserve"> for Accenture globally</w:t>
      </w:r>
    </w:p>
    <w:p>
      <w:pPr>
        <w:numPr>
          <w:ilvl w:val="0"/>
          <w:numId w:val="25"/>
        </w:numPr>
        <w:spacing w:line="360" w:before="105" w:after="105" w:lineRule="auto"/>
      </w:pPr>
      <w:r>
        <w:rPr>
          <w:rFonts w:eastAsia="inter" w:cs="inter" w:ascii="inter" w:hAnsi="inter"/>
          <w:color w:val="000000"/>
          <w:sz w:val="21"/>
        </w:rPr>
        <w:t xml:space="preserve">Provides local credibility (Maglan + R&amp;D Lab) for Israeli enterprise clients</w:t>
      </w:r>
    </w:p>
    <w:p>
      <w:pPr>
        <w:numPr>
          <w:ilvl w:val="0"/>
          <w:numId w:val="25"/>
        </w:numPr>
        <w:spacing w:line="360" w:before="105" w:after="105" w:lineRule="auto"/>
      </w:pPr>
      <w:r>
        <w:rPr>
          <w:rFonts w:eastAsia="inter" w:cs="inter" w:ascii="inter" w:hAnsi="inter"/>
          <w:color w:val="000000"/>
          <w:sz w:val="21"/>
        </w:rPr>
        <w:t xml:space="preserve">Differentiates Accenture in Israeli market where security expertise is highly valued</w:t>
      </w:r>
    </w:p>
    <w:p>
      <w:pPr>
        <w:spacing w:line="360" w:before="315" w:after="105" w:lineRule="auto"/>
        <w:ind w:left="-30"/>
        <w:jc w:val="left"/>
      </w:pPr>
      <w:bookmarkStart w:id="79" w:name="india_israel_collaboration"/>
      <w:r>
        <w:rPr>
          <w:rFonts w:eastAsia="inter" w:cs="inter" w:ascii="inter" w:hAnsi="inter"/>
          <w:b/>
          <w:color w:val="000000"/>
          <w:sz w:val="24"/>
        </w:rPr>
        <w:t xml:space="preserve">India-Israel Collaboration</w:t>
      </w:r>
      <w:bookmarkEnd w:id="79"/>
    </w:p>
    <w:p>
      <w:pPr>
        <w:spacing w:line="360" w:after="210" w:lineRule="auto"/>
      </w:pPr>
      <w:r>
        <w:rPr>
          <w:rFonts w:eastAsia="inter" w:cs="inter" w:ascii="inter" w:hAnsi="inter"/>
          <w:color w:val="000000"/>
        </w:rPr>
        <w:t xml:space="preserve">Accenture partners with NASSCOM (India's IT industry body) on the </w:t>
      </w:r>
      <w:r>
        <w:rPr>
          <w:rFonts w:eastAsia="inter" w:cs="inter" w:ascii="inter" w:hAnsi="inter"/>
          <w:b/>
          <w:color w:val="000000"/>
        </w:rPr>
        <w:t xml:space="preserve">IINSPIRE program</w:t>
      </w:r>
      <w:r>
        <w:rPr>
          <w:rFonts w:eastAsia="inter" w:cs="inter" w:ascii="inter" w:hAnsi="inter"/>
          <w:color w:val="000000"/>
        </w:rPr>
        <w:t xml:space="preserve"> ("Israel-INdia Startup Platform for Innovative Research and Entrepreneurship"):</w:t>
      </w:r>
      <w:bookmarkStart w:id="80" w:name="fnref27"/>
      <w:bookmarkEnd w:id="80"/>
      <w:hyperlink w:anchor="fn27">
        <w:r>
          <w:rPr>
            <w:rFonts w:eastAsia="inter" w:cs="inter" w:ascii="inter" w:hAnsi="inter"/>
            <w:color w:val="#000"/>
            <w:u w:val="single"/>
            <w:vertAlign w:val="superscript"/>
          </w:rPr>
          <w:t xml:space="preserve">[27]</w:t>
        </w:r>
      </w:hyperlink>
    </w:p>
    <w:p>
      <w:pPr>
        <w:numPr>
          <w:ilvl w:val="0"/>
          <w:numId w:val="26"/>
        </w:numPr>
        <w:spacing w:line="360" w:before="105" w:after="105" w:lineRule="auto"/>
      </w:pPr>
      <w:r>
        <w:rPr>
          <w:rFonts w:eastAsia="inter" w:cs="inter" w:ascii="inter" w:hAnsi="inter"/>
          <w:color w:val="000000"/>
          <w:sz w:val="21"/>
        </w:rPr>
        <w:t xml:space="preserve">Case studies reference Israeli companies (Rivulis Irrigation, Nanorep)</w:t>
      </w:r>
    </w:p>
    <w:p>
      <w:pPr>
        <w:numPr>
          <w:ilvl w:val="0"/>
          <w:numId w:val="26"/>
        </w:numPr>
        <w:spacing w:line="360" w:before="105" w:after="105" w:lineRule="auto"/>
      </w:pPr>
      <w:r>
        <w:rPr>
          <w:rFonts w:eastAsia="inter" w:cs="inter" w:ascii="inter" w:hAnsi="inter"/>
          <w:color w:val="000000"/>
          <w:sz w:val="21"/>
        </w:rPr>
        <w:t xml:space="preserve">Bridges Israeli innovation with Indian IT services scale</w:t>
      </w:r>
    </w:p>
    <w:p>
      <w:pPr>
        <w:numPr>
          <w:ilvl w:val="0"/>
          <w:numId w:val="26"/>
        </w:numPr>
        <w:spacing w:line="360" w:before="105" w:after="105" w:lineRule="auto"/>
      </w:pPr>
      <w:r>
        <w:rPr>
          <w:rFonts w:eastAsia="inter" w:cs="inter" w:ascii="inter" w:hAnsi="inter"/>
          <w:color w:val="000000"/>
          <w:sz w:val="21"/>
        </w:rPr>
        <w:t xml:space="preserve">Demonstrates Accenture's position as an ecosystem orchestrator, not just a service provider</w:t>
      </w:r>
    </w:p>
    <w:p>
      <w:pPr>
        <w:spacing w:line="360" w:before="315" w:after="105" w:lineRule="auto"/>
        <w:ind w:left="-30"/>
        <w:jc w:val="left"/>
      </w:pPr>
      <w:bookmarkStart w:id="81" w:name="cost_justification_in_the_israeli_market"/>
      <w:r>
        <w:rPr>
          <w:rFonts w:eastAsia="inter" w:cs="inter" w:ascii="inter" w:hAnsi="inter"/>
          <w:b/>
          <w:color w:val="000000"/>
          <w:sz w:val="24"/>
        </w:rPr>
        <w:t xml:space="preserve">Cost Justification in the Israeli Market</w:t>
      </w:r>
      <w:bookmarkEnd w:id="81"/>
    </w:p>
    <w:p>
      <w:pPr>
        <w:spacing w:line="360" w:after="210" w:lineRule="auto"/>
      </w:pPr>
      <w:r>
        <w:rPr>
          <w:rFonts w:eastAsia="inter" w:cs="inter" w:ascii="inter" w:hAnsi="inter"/>
          <w:b/>
          <w:color w:val="000000"/>
        </w:rPr>
        <w:t xml:space="preserve">Why Israeli enterprises pay Accenture's premium vs. Matrix or Elad:</w:t>
      </w:r>
      <w:bookmarkStart w:id="82" w:name="fnref28"/>
      <w:bookmarkEnd w:id="82"/>
      <w:hyperlink w:anchor="fn28">
        <w:r>
          <w:rPr>
            <w:rFonts w:eastAsia="inter" w:cs="inter" w:ascii="inter" w:hAnsi="inter"/>
            <w:color w:val="#000"/>
            <w:u w:val="single"/>
            <w:vertAlign w:val="superscript"/>
          </w:rPr>
          <w:t xml:space="preserve">[28]</w:t>
        </w:r>
      </w:hyperlink>
      <w:bookmarkStart w:id="83" w:name="fnref29"/>
      <w:bookmarkEnd w:id="83"/>
      <w:hyperlink w:anchor="fn29">
        <w:r>
          <w:rPr>
            <w:rFonts w:eastAsia="inter" w:cs="inter" w:ascii="inter" w:hAnsi="inter"/>
            <w:color w:val="#000"/>
            <w:u w:val="single"/>
            <w:vertAlign w:val="superscript"/>
          </w:rPr>
          <w:t xml:space="preserve">[29]</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Factor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Accenture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Matrix/Local Integrators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Methodology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Total Enterprise Reinvention framework (strategic alignment)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Project-based IT services (execution focus)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Platforms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AI Refinery, SynOps, myWizard (proprietary, 150+ patents)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Custom solutions; no proprietary stack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Global Scale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700K+ trained professionals; 89 of Fortune 100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Regional scale; government/defense focus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Speed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Compressed transformation playbook (pandemic-tested)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Standard project timelines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AI Credibility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$3B investment, 700K trained, AI Refinery platform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Limited AI-first capabilities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Innovation Credibility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Cyber R&amp;D Lab + Maglan acquisition in Israel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Limited innovation centers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Risk Mitigation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Responsible AI compliance program (pre-built)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Case-by-case governance</w:t>
            </w:r>
          </w:p>
        </w:tc>
      </w:tr>
    </w:tbl>
    <w:p>
      <w:pPr>
        <w:spacing w:lineRule="auto"/>
      </w:pPr>
    </w:p>
    <w:p>
      <w:pPr>
        <w:spacing w:line="360" w:after="210" w:lineRule="auto"/>
      </w:pPr>
      <w:r>
        <w:rPr>
          <w:rFonts w:eastAsia="inter" w:cs="inter" w:ascii="inter" w:hAnsi="inter"/>
          <w:b/>
          <w:color w:val="000000"/>
        </w:rPr>
        <w:t xml:space="preserve">Israeli Market Reality:</w:t>
      </w:r>
    </w:p>
    <w:p>
      <w:pPr>
        <w:numPr>
          <w:ilvl w:val="0"/>
          <w:numId w:val="27"/>
        </w:numPr>
        <w:spacing w:line="360" w:before="105" w:after="105" w:lineRule="auto"/>
      </w:pPr>
      <w:r>
        <w:rPr>
          <w:rFonts w:eastAsia="inter" w:cs="inter" w:ascii="inter" w:hAnsi="inter"/>
          <w:color w:val="000000"/>
          <w:sz w:val="21"/>
        </w:rPr>
        <w:t xml:space="preserve">Israeli banks and enterprises aspire to </w:t>
      </w:r>
      <w:r>
        <w:rPr>
          <w:rFonts w:eastAsia="inter" w:cs="inter" w:ascii="inter" w:hAnsi="inter"/>
          <w:b/>
          <w:color w:val="000000"/>
          <w:sz w:val="21"/>
        </w:rPr>
        <w:t xml:space="preserve">global performance standards</w:t>
      </w:r>
    </w:p>
    <w:p>
      <w:pPr>
        <w:numPr>
          <w:ilvl w:val="0"/>
          <w:numId w:val="27"/>
        </w:numPr>
        <w:spacing w:line="360" w:before="105" w:after="105" w:lineRule="auto"/>
      </w:pPr>
      <w:r>
        <w:rPr>
          <w:rFonts w:eastAsia="inter" w:cs="inter" w:ascii="inter" w:hAnsi="inter"/>
          <w:color w:val="000000"/>
          <w:sz w:val="21"/>
        </w:rPr>
        <w:t xml:space="preserve">Security expertise is paramount (Israel's geopolitical position)</w:t>
      </w:r>
    </w:p>
    <w:p>
      <w:pPr>
        <w:numPr>
          <w:ilvl w:val="0"/>
          <w:numId w:val="27"/>
        </w:numPr>
        <w:spacing w:line="360" w:before="105" w:after="105" w:lineRule="auto"/>
      </w:pPr>
      <w:r>
        <w:rPr>
          <w:rFonts w:eastAsia="inter" w:cs="inter" w:ascii="inter" w:hAnsi="inter"/>
          <w:color w:val="000000"/>
          <w:sz w:val="21"/>
        </w:rPr>
        <w:t xml:space="preserve">They value </w:t>
      </w:r>
      <w:r>
        <w:rPr>
          <w:rFonts w:eastAsia="inter" w:cs="inter" w:ascii="inter" w:hAnsi="inter"/>
          <w:b/>
          <w:color w:val="000000"/>
          <w:sz w:val="21"/>
        </w:rPr>
        <w:t xml:space="preserve">speed of transformation</w:t>
      </w:r>
      <w:r>
        <w:rPr>
          <w:rFonts w:eastAsia="inter" w:cs="inter" w:ascii="inter" w:hAnsi="inter"/>
          <w:color w:val="000000"/>
          <w:sz w:val="21"/>
        </w:rPr>
        <w:t xml:space="preserve"> (startup culture mindset)</w:t>
      </w:r>
    </w:p>
    <w:p>
      <w:pPr>
        <w:numPr>
          <w:ilvl w:val="0"/>
          <w:numId w:val="27"/>
        </w:numPr>
        <w:spacing w:line="360" w:before="105" w:after="105" w:lineRule="auto"/>
      </w:pPr>
      <w:r>
        <w:rPr>
          <w:rFonts w:eastAsia="inter" w:cs="inter" w:ascii="inter" w:hAnsi="inter"/>
          <w:color w:val="000000"/>
          <w:sz w:val="21"/>
        </w:rPr>
        <w:t xml:space="preserve">Accenture's positioning: "Global best practices + Israeli innovation credibility + secure delivery"</w:t>
      </w:r>
    </w:p>
    <w:p>
      <w:pPr>
        <w:spacing w:line="360" w:after="210" w:lineRule="auto"/>
      </w:pPr>
      <w:r>
        <w:rPr>
          <w:rFonts w:eastAsia="inter" w:cs="inter" w:ascii="inter" w:hAnsi="inter"/>
          <w:color w:val="000000"/>
        </w:rPr>
        <w:t xml:space="preserve">This justifies a </w:t>
      </w:r>
      <w:r>
        <w:rPr>
          <w:rFonts w:eastAsia="inter" w:cs="inter" w:ascii="inter" w:hAnsi="inter"/>
          <w:b/>
          <w:color w:val="000000"/>
        </w:rPr>
        <w:t xml:space="preserve">3-5x premium</w:t>
      </w:r>
      <w:r>
        <w:rPr>
          <w:rFonts w:eastAsia="inter" w:cs="inter" w:ascii="inter" w:hAnsi="inter"/>
          <w:color w:val="000000"/>
        </w:rPr>
        <w:t xml:space="preserve"> over local IT integrators for strategic transformation engagements.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 w:name="part_6_case_studies_proof_of_concept"/>
      <w:r>
        <w:rPr>
          <w:rFonts w:eastAsia="inter" w:cs="inter" w:ascii="inter" w:hAnsi="inter"/>
          <w:b/>
          <w:color w:val="000000"/>
          <w:sz w:val="24"/>
        </w:rPr>
        <w:t xml:space="preserve">Part 6: Case Studies – Proof of Concept</w:t>
      </w:r>
      <w:bookmarkEnd w:id="84"/>
    </w:p>
    <w:p>
      <w:pPr>
        <w:spacing w:line="360" w:before="315" w:after="105" w:lineRule="auto"/>
        <w:ind w:left="-30"/>
        <w:jc w:val="left"/>
      </w:pPr>
      <w:bookmarkStart w:id="85" w:name="anonymous_banking_case_study"/>
      <w:r>
        <w:rPr>
          <w:rFonts w:eastAsia="inter" w:cs="inter" w:ascii="inter" w:hAnsi="inter"/>
          <w:b/>
          <w:color w:val="000000"/>
          <w:sz w:val="24"/>
        </w:rPr>
        <w:t xml:space="preserve">Anonymous Banking Case Study</w:t>
      </w:r>
      <w:hyperlink w:anchor="fn30">
        <w:r>
          <w:rPr>
            <w:rFonts w:eastAsia="inter" w:cs="inter" w:ascii="inter" w:hAnsi="inter"/>
            <w:b/>
            <w:color w:val="#000"/>
            <w:sz w:val="24"/>
            <w:u w:val="single"/>
            <w:vertAlign w:val="superscript"/>
          </w:rPr>
          <w:t xml:space="preserve">[30]</w:t>
        </w:r>
      </w:hyperlink>
      <w:bookmarkEnd w:id="85"/>
    </w:p>
    <w:p>
      <w:pPr>
        <w:spacing w:line="360" w:after="210" w:lineRule="auto"/>
      </w:pPr>
      <w:r>
        <w:rPr>
          <w:rFonts w:eastAsia="inter" w:cs="inter" w:ascii="inter" w:hAnsi="inter"/>
          <w:b/>
          <w:color w:val="000000"/>
        </w:rPr>
        <w:t xml:space="preserve">Challenge:</w:t>
      </w:r>
      <w:r>
        <w:rPr>
          <w:rFonts w:eastAsia="inter" w:cs="inter" w:ascii="inter" w:hAnsi="inter"/>
          <w:color w:val="000000"/>
        </w:rPr>
        <w:t xml:space="preserve"> A major financial institution needed to scale GenAI adoption beyond initial pilots.</w:t>
      </w:r>
    </w:p>
    <w:p>
      <w:pPr>
        <w:spacing w:line="360" w:after="210" w:lineRule="auto"/>
      </w:pPr>
      <w:r>
        <w:rPr>
          <w:rFonts w:eastAsia="inter" w:cs="inter" w:ascii="inter" w:hAnsi="inter"/>
          <w:b/>
          <w:color w:val="000000"/>
        </w:rPr>
        <w:t xml:space="preserve">Accenture's Approach:</w:t>
      </w:r>
    </w:p>
    <w:p>
      <w:pPr>
        <w:numPr>
          <w:ilvl w:val="0"/>
          <w:numId w:val="28"/>
        </w:numPr>
        <w:spacing w:line="360" w:before="105" w:after="105" w:lineRule="auto"/>
      </w:pPr>
      <w:r>
        <w:rPr>
          <w:rFonts w:eastAsia="inter" w:cs="inter" w:ascii="inter" w:hAnsi="inter"/>
          <w:color w:val="000000"/>
          <w:sz w:val="21"/>
        </w:rPr>
        <w:t xml:space="preserve">Deployed Total Enterprise Reinvention framework</w:t>
      </w:r>
    </w:p>
    <w:p>
      <w:pPr>
        <w:numPr>
          <w:ilvl w:val="0"/>
          <w:numId w:val="28"/>
        </w:numPr>
        <w:spacing w:line="360" w:before="105" w:after="105" w:lineRule="auto"/>
      </w:pPr>
      <w:r>
        <w:rPr>
          <w:rFonts w:eastAsia="inter" w:cs="inter" w:ascii="inter" w:hAnsi="inter"/>
          <w:color w:val="000000"/>
          <w:sz w:val="21"/>
        </w:rPr>
        <w:t xml:space="preserve">Identified 80%+ of employee roles for GenAI augmentation</w:t>
      </w:r>
    </w:p>
    <w:p>
      <w:pPr>
        <w:numPr>
          <w:ilvl w:val="0"/>
          <w:numId w:val="28"/>
        </w:numPr>
        <w:spacing w:line="360" w:before="105" w:after="105" w:lineRule="auto"/>
      </w:pPr>
      <w:r>
        <w:rPr>
          <w:rFonts w:eastAsia="inter" w:cs="inter" w:ascii="inter" w:hAnsi="inter"/>
          <w:color w:val="000000"/>
          <w:sz w:val="21"/>
        </w:rPr>
        <w:t xml:space="preserve">Trained workforce on responsible AI use</w:t>
      </w:r>
    </w:p>
    <w:p>
      <w:pPr>
        <w:numPr>
          <w:ilvl w:val="0"/>
          <w:numId w:val="28"/>
        </w:numPr>
        <w:spacing w:line="360" w:before="105" w:after="105" w:lineRule="auto"/>
      </w:pPr>
      <w:r>
        <w:rPr>
          <w:rFonts w:eastAsia="inter" w:cs="inter" w:ascii="inter" w:hAnsi="inter"/>
          <w:color w:val="000000"/>
          <w:sz w:val="21"/>
        </w:rPr>
        <w:t xml:space="preserve">Embedded governance and monitoring</w:t>
      </w:r>
    </w:p>
    <w:p>
      <w:pPr>
        <w:spacing w:line="360" w:after="210" w:lineRule="auto"/>
      </w:pPr>
      <w:r>
        <w:rPr>
          <w:rFonts w:eastAsia="inter" w:cs="inter" w:ascii="inter" w:hAnsi="inter"/>
          <w:b/>
          <w:color w:val="000000"/>
        </w:rPr>
        <w:t xml:space="preserve">Results:</w:t>
      </w:r>
    </w:p>
    <w:p>
      <w:pPr>
        <w:numPr>
          <w:ilvl w:val="0"/>
          <w:numId w:val="29"/>
        </w:numPr>
        <w:spacing w:line="360" w:before="105" w:after="105" w:lineRule="auto"/>
      </w:pPr>
      <w:r>
        <w:rPr>
          <w:rFonts w:eastAsia="inter" w:cs="inter" w:ascii="inter" w:hAnsi="inter"/>
          <w:b/>
          <w:color w:val="000000"/>
          <w:sz w:val="21"/>
        </w:rPr>
        <w:t xml:space="preserve">$200M+ in annual efficiency gains</w:t>
      </w:r>
    </w:p>
    <w:p>
      <w:pPr>
        <w:numPr>
          <w:ilvl w:val="0"/>
          <w:numId w:val="29"/>
        </w:numPr>
        <w:spacing w:line="360" w:before="105" w:after="105" w:lineRule="auto"/>
      </w:pPr>
      <w:r>
        <w:rPr>
          <w:rFonts w:eastAsia="inter" w:cs="inter" w:ascii="inter" w:hAnsi="inter"/>
          <w:b/>
          <w:color w:val="000000"/>
          <w:sz w:val="21"/>
        </w:rPr>
        <w:t xml:space="preserve">80%+ employee confidence</w:t>
      </w:r>
      <w:r>
        <w:rPr>
          <w:rFonts w:eastAsia="inter" w:cs="inter" w:ascii="inter" w:hAnsi="inter"/>
          <w:color w:val="000000"/>
          <w:sz w:val="21"/>
        </w:rPr>
        <w:t xml:space="preserve"> in GenAI tools</w:t>
      </w:r>
    </w:p>
    <w:p>
      <w:pPr>
        <w:numPr>
          <w:ilvl w:val="0"/>
          <w:numId w:val="29"/>
        </w:numPr>
        <w:spacing w:line="360" w:before="105" w:after="105" w:lineRule="auto"/>
      </w:pPr>
      <w:r>
        <w:rPr>
          <w:rFonts w:eastAsia="inter" w:cs="inter" w:ascii="inter" w:hAnsi="inter"/>
          <w:color w:val="000000"/>
          <w:sz w:val="21"/>
        </w:rPr>
        <w:t xml:space="preserve">Scaled from 10-15% task augmentation to 50%+ across functions</w:t>
      </w:r>
    </w:p>
    <w:p>
      <w:pPr>
        <w:spacing w:line="360" w:after="210" w:lineRule="auto"/>
      </w:pPr>
      <w:r>
        <w:rPr>
          <w:rFonts w:eastAsia="inter" w:cs="inter" w:ascii="inter" w:hAnsi="inter"/>
          <w:color w:val="000000"/>
        </w:rPr>
        <w:t xml:space="preserve">This case is powerful because it demonstrates not just cost savings but </w:t>
      </w:r>
      <w:r>
        <w:rPr>
          <w:rFonts w:eastAsia="inter" w:cs="inter" w:ascii="inter" w:hAnsi="inter"/>
          <w:b/>
          <w:color w:val="000000"/>
        </w:rPr>
        <w:t xml:space="preserve">cultural transformation</w:t>
      </w:r>
      <w:r>
        <w:rPr>
          <w:rFonts w:eastAsia="inter" w:cs="inter" w:ascii="inter" w:hAnsi="inter"/>
          <w:color w:val="000000"/>
        </w:rPr>
        <w:t xml:space="preserve">—employees embrace AI rather than resist it.</w:t>
      </w:r>
    </w:p>
    <w:p>
      <w:pPr>
        <w:spacing w:line="360" w:before="315" w:after="105" w:lineRule="auto"/>
        <w:ind w:left="-30"/>
        <w:jc w:val="left"/>
      </w:pPr>
      <w:bookmarkStart w:id="86" w:name="bbva_global_banking_leader"/>
      <w:r>
        <w:rPr>
          <w:rFonts w:eastAsia="inter" w:cs="inter" w:ascii="inter" w:hAnsi="inter"/>
          <w:b/>
          <w:color w:val="000000"/>
          <w:sz w:val="24"/>
        </w:rPr>
        <w:t xml:space="preserve">BBVA (Global Banking Leader)</w:t>
      </w:r>
      <w:hyperlink w:anchor="fn31">
        <w:r>
          <w:rPr>
            <w:rFonts w:eastAsia="inter" w:cs="inter" w:ascii="inter" w:hAnsi="inter"/>
            <w:b/>
            <w:color w:val="#000"/>
            <w:sz w:val="24"/>
            <w:u w:val="single"/>
            <w:vertAlign w:val="superscript"/>
          </w:rPr>
          <w:t xml:space="preserve">[31]</w:t>
        </w:r>
      </w:hyperlink>
      <w:bookmarkEnd w:id="86"/>
    </w:p>
    <w:p>
      <w:pPr>
        <w:spacing w:line="360" w:after="210" w:lineRule="auto"/>
      </w:pPr>
      <w:r>
        <w:rPr>
          <w:rFonts w:eastAsia="inter" w:cs="inter" w:ascii="inter" w:hAnsi="inter"/>
          <w:b/>
          <w:color w:val="000000"/>
        </w:rPr>
        <w:t xml:space="preserve">Partnership:</w:t>
      </w:r>
      <w:r>
        <w:rPr>
          <w:rFonts w:eastAsia="inter" w:cs="inter" w:ascii="inter" w:hAnsi="inter"/>
          <w:color w:val="000000"/>
        </w:rPr>
        <w:t xml:space="preserve"> BBVA worked with Accenture to execute </w:t>
      </w:r>
      <w:r>
        <w:rPr>
          <w:rFonts w:eastAsia="inter" w:cs="inter" w:ascii="inter" w:hAnsi="inter"/>
          <w:b/>
          <w:color w:val="000000"/>
        </w:rPr>
        <w:t xml:space="preserve">digital reinvention of retail banking</w:t>
      </w:r>
    </w:p>
    <w:p>
      <w:pPr>
        <w:spacing w:line="360" w:after="210" w:lineRule="auto"/>
      </w:pPr>
      <w:r>
        <w:rPr>
          <w:rFonts w:eastAsia="inter" w:cs="inter" w:ascii="inter" w:hAnsi="inter"/>
          <w:b/>
          <w:color w:val="000000"/>
        </w:rPr>
        <w:t xml:space="preserve">Key Initiatives:</w:t>
      </w:r>
    </w:p>
    <w:p>
      <w:pPr>
        <w:numPr>
          <w:ilvl w:val="0"/>
          <w:numId w:val="30"/>
        </w:numPr>
        <w:spacing w:line="360" w:before="105" w:after="105" w:lineRule="auto"/>
      </w:pPr>
      <w:r>
        <w:rPr>
          <w:rFonts w:eastAsia="inter" w:cs="inter" w:ascii="inter" w:hAnsi="inter"/>
          <w:color w:val="000000"/>
          <w:sz w:val="21"/>
        </w:rPr>
        <w:t xml:space="preserve">AI-powered customer onboarding</w:t>
      </w:r>
    </w:p>
    <w:p>
      <w:pPr>
        <w:numPr>
          <w:ilvl w:val="0"/>
          <w:numId w:val="30"/>
        </w:numPr>
        <w:spacing w:line="360" w:before="105" w:after="105" w:lineRule="auto"/>
      </w:pPr>
      <w:r>
        <w:rPr>
          <w:rFonts w:eastAsia="inter" w:cs="inter" w:ascii="inter" w:hAnsi="inter"/>
          <w:color w:val="000000"/>
          <w:sz w:val="21"/>
        </w:rPr>
        <w:t xml:space="preserve">Personalized sales recommendations</w:t>
      </w:r>
    </w:p>
    <w:p>
      <w:pPr>
        <w:numPr>
          <w:ilvl w:val="0"/>
          <w:numId w:val="30"/>
        </w:numPr>
        <w:spacing w:line="360" w:before="105" w:after="105" w:lineRule="auto"/>
      </w:pPr>
      <w:r>
        <w:rPr>
          <w:rFonts w:eastAsia="inter" w:cs="inter" w:ascii="inter" w:hAnsi="inter"/>
          <w:color w:val="000000"/>
          <w:sz w:val="21"/>
        </w:rPr>
        <w:t xml:space="preserve">Digital-first account opening</w:t>
      </w:r>
    </w:p>
    <w:p>
      <w:pPr>
        <w:numPr>
          <w:ilvl w:val="0"/>
          <w:numId w:val="30"/>
        </w:numPr>
        <w:spacing w:line="360" w:before="105" w:after="105" w:lineRule="auto"/>
      </w:pPr>
      <w:r>
        <w:rPr>
          <w:rFonts w:eastAsia="inter" w:cs="inter" w:ascii="inter" w:hAnsi="inter"/>
          <w:color w:val="000000"/>
          <w:sz w:val="21"/>
        </w:rPr>
        <w:t xml:space="preserve">Cloud-native core banking infrastructure</w:t>
      </w:r>
    </w:p>
    <w:p>
      <w:pPr>
        <w:spacing w:line="360" w:after="210" w:lineRule="auto"/>
      </w:pPr>
      <w:r>
        <w:rPr>
          <w:rFonts w:eastAsia="inter" w:cs="inter" w:ascii="inter" w:hAnsi="inter"/>
          <w:b/>
          <w:color w:val="000000"/>
        </w:rPr>
        <w:t xml:space="preserve">Results:</w:t>
      </w:r>
    </w:p>
    <w:p>
      <w:pPr>
        <w:numPr>
          <w:ilvl w:val="0"/>
          <w:numId w:val="31"/>
        </w:numPr>
        <w:spacing w:line="360" w:before="105" w:after="105" w:lineRule="auto"/>
      </w:pPr>
      <w:r>
        <w:rPr>
          <w:rFonts w:eastAsia="inter" w:cs="inter" w:ascii="inter" w:hAnsi="inter"/>
          <w:b/>
          <w:color w:val="000000"/>
          <w:sz w:val="21"/>
        </w:rPr>
        <w:t xml:space="preserve">117% increase in new customers</w:t>
      </w:r>
    </w:p>
    <w:p>
      <w:pPr>
        <w:numPr>
          <w:ilvl w:val="0"/>
          <w:numId w:val="31"/>
        </w:numPr>
        <w:spacing w:line="360" w:before="105" w:after="105" w:lineRule="auto"/>
      </w:pPr>
      <w:r>
        <w:rPr>
          <w:rFonts w:eastAsia="inter" w:cs="inter" w:ascii="inter" w:hAnsi="inter"/>
          <w:b/>
          <w:color w:val="000000"/>
          <w:sz w:val="21"/>
        </w:rPr>
        <w:t xml:space="preserve">50 million users</w:t>
      </w:r>
      <w:r>
        <w:rPr>
          <w:rFonts w:eastAsia="inter" w:cs="inter" w:ascii="inter" w:hAnsi="inter"/>
          <w:color w:val="000000"/>
          <w:sz w:val="21"/>
        </w:rPr>
        <w:t xml:space="preserve"> on digital channels</w:t>
      </w:r>
    </w:p>
    <w:p>
      <w:pPr>
        <w:numPr>
          <w:ilvl w:val="0"/>
          <w:numId w:val="31"/>
        </w:numPr>
        <w:spacing w:line="360" w:before="105" w:after="105" w:lineRule="auto"/>
      </w:pPr>
      <w:r>
        <w:rPr>
          <w:rFonts w:eastAsia="inter" w:cs="inter" w:ascii="inter" w:hAnsi="inter"/>
          <w:b/>
          <w:color w:val="000000"/>
          <w:sz w:val="21"/>
        </w:rPr>
        <w:t xml:space="preserve">7 of 10 sales</w:t>
      </w:r>
      <w:r>
        <w:rPr>
          <w:rFonts w:eastAsia="inter" w:cs="inter" w:ascii="inter" w:hAnsi="inter"/>
          <w:color w:val="000000"/>
          <w:sz w:val="21"/>
        </w:rPr>
        <w:t xml:space="preserve"> completed digitally</w:t>
      </w:r>
    </w:p>
    <w:p>
      <w:pPr>
        <w:numPr>
          <w:ilvl w:val="0"/>
          <w:numId w:val="31"/>
        </w:numPr>
        <w:spacing w:line="360" w:before="105" w:after="105" w:lineRule="auto"/>
      </w:pPr>
      <w:r>
        <w:rPr>
          <w:rFonts w:eastAsia="inter" w:cs="inter" w:ascii="inter" w:hAnsi="inter"/>
          <w:b/>
          <w:color w:val="000000"/>
          <w:sz w:val="21"/>
        </w:rPr>
        <w:t xml:space="preserve">Record-breaking growth</w:t>
      </w:r>
      <w:r>
        <w:rPr>
          <w:rFonts w:eastAsia="inter" w:cs="inter" w:ascii="inter" w:hAnsi="inter"/>
          <w:color w:val="000000"/>
          <w:sz w:val="21"/>
        </w:rPr>
        <w:t xml:space="preserve"> in financial services transformation</w:t>
      </w:r>
    </w:p>
    <w:p>
      <w:pPr>
        <w:spacing w:line="360" w:before="315" w:after="105" w:lineRule="auto"/>
        <w:ind w:left="-30"/>
        <w:jc w:val="left"/>
      </w:pPr>
      <w:bookmarkStart w:id="87" w:name="best_buy_retail_genai_implementation"/>
      <w:r>
        <w:rPr>
          <w:rFonts w:eastAsia="inter" w:cs="inter" w:ascii="inter" w:hAnsi="inter"/>
          <w:b/>
          <w:color w:val="000000"/>
          <w:sz w:val="24"/>
        </w:rPr>
        <w:t xml:space="preserve">Best Buy (Retail GenAI Implementation)</w:t>
      </w:r>
      <w:hyperlink w:anchor="fn32">
        <w:r>
          <w:rPr>
            <w:rFonts w:eastAsia="inter" w:cs="inter" w:ascii="inter" w:hAnsi="inter"/>
            <w:b/>
            <w:color w:val="#000"/>
            <w:sz w:val="24"/>
            <w:u w:val="single"/>
            <w:vertAlign w:val="superscript"/>
          </w:rPr>
          <w:t xml:space="preserve">[32]</w:t>
        </w:r>
      </w:hyperlink>
      <w:hyperlink w:anchor="fn33">
        <w:r>
          <w:rPr>
            <w:rFonts w:eastAsia="inter" w:cs="inter" w:ascii="inter" w:hAnsi="inter"/>
            <w:b/>
            <w:color w:val="#000"/>
            <w:sz w:val="24"/>
            <w:u w:val="single"/>
            <w:vertAlign w:val="superscript"/>
          </w:rPr>
          <w:t xml:space="preserve">[33]</w:t>
        </w:r>
      </w:hyperlink>
      <w:bookmarkEnd w:id="87"/>
    </w:p>
    <w:p>
      <w:pPr>
        <w:spacing w:line="360" w:after="210" w:lineRule="auto"/>
      </w:pPr>
      <w:r>
        <w:rPr>
          <w:rFonts w:eastAsia="inter" w:cs="inter" w:ascii="inter" w:hAnsi="inter"/>
          <w:b/>
          <w:color w:val="000000"/>
        </w:rPr>
        <w:t xml:space="preserve">Partnership:</w:t>
      </w:r>
      <w:r>
        <w:rPr>
          <w:rFonts w:eastAsia="inter" w:cs="inter" w:ascii="inter" w:hAnsi="inter"/>
          <w:color w:val="000000"/>
        </w:rPr>
        <w:t xml:space="preserve"> Best Buy + Accenture + Google Cloud</w:t>
      </w:r>
    </w:p>
    <w:p>
      <w:pPr>
        <w:spacing w:line="360" w:after="210" w:lineRule="auto"/>
      </w:pPr>
      <w:r>
        <w:rPr>
          <w:rFonts w:eastAsia="inter" w:cs="inter" w:ascii="inter" w:hAnsi="inter"/>
          <w:b/>
          <w:color w:val="000000"/>
        </w:rPr>
        <w:t xml:space="preserve">Solution:</w:t>
      </w:r>
    </w:p>
    <w:p>
      <w:pPr>
        <w:numPr>
          <w:ilvl w:val="0"/>
          <w:numId w:val="32"/>
        </w:numPr>
        <w:spacing w:line="360" w:before="105" w:after="105" w:lineRule="auto"/>
      </w:pPr>
      <w:r>
        <w:rPr>
          <w:rFonts w:eastAsia="inter" w:cs="inter" w:ascii="inter" w:hAnsi="inter"/>
          <w:color w:val="000000"/>
          <w:sz w:val="21"/>
        </w:rPr>
        <w:t xml:space="preserve">GenAI virtual assistant for customer support</w:t>
      </w:r>
    </w:p>
    <w:p>
      <w:pPr>
        <w:numPr>
          <w:ilvl w:val="0"/>
          <w:numId w:val="32"/>
        </w:numPr>
        <w:spacing w:line="360" w:before="105" w:after="105" w:lineRule="auto"/>
      </w:pPr>
      <w:r>
        <w:rPr>
          <w:rFonts w:eastAsia="inter" w:cs="inter" w:ascii="inter" w:hAnsi="inter"/>
          <w:color w:val="000000"/>
          <w:sz w:val="21"/>
        </w:rPr>
        <w:t xml:space="preserve">Real-time recommendations for support agents</w:t>
      </w:r>
    </w:p>
    <w:p>
      <w:pPr>
        <w:numPr>
          <w:ilvl w:val="0"/>
          <w:numId w:val="32"/>
        </w:numPr>
        <w:spacing w:line="360" w:before="105" w:after="105" w:lineRule="auto"/>
      </w:pPr>
      <w:r>
        <w:rPr>
          <w:rFonts w:eastAsia="inter" w:cs="inter" w:ascii="inter" w:hAnsi="inter"/>
          <w:color w:val="000000"/>
          <w:sz w:val="21"/>
        </w:rPr>
        <w:t xml:space="preserve">Sentiment analysis and automated task routing</w:t>
      </w:r>
    </w:p>
    <w:p>
      <w:pPr>
        <w:numPr>
          <w:ilvl w:val="0"/>
          <w:numId w:val="32"/>
        </w:numPr>
        <w:spacing w:line="360" w:before="105" w:after="105" w:lineRule="auto"/>
      </w:pPr>
      <w:r>
        <w:rPr>
          <w:rFonts w:eastAsia="inter" w:cs="inter" w:ascii="inter" w:hAnsi="inter"/>
          <w:color w:val="000000"/>
          <w:sz w:val="21"/>
        </w:rPr>
        <w:t xml:space="preserve">Human escalation paths preserved</w:t>
      </w:r>
    </w:p>
    <w:p>
      <w:pPr>
        <w:spacing w:line="360" w:after="210" w:lineRule="auto"/>
      </w:pPr>
      <w:r>
        <w:rPr>
          <w:rFonts w:eastAsia="inter" w:cs="inter" w:ascii="inter" w:hAnsi="inter"/>
          <w:b/>
          <w:color w:val="000000"/>
        </w:rPr>
        <w:t xml:space="preserve">Results:</w:t>
      </w:r>
    </w:p>
    <w:p>
      <w:pPr>
        <w:numPr>
          <w:ilvl w:val="0"/>
          <w:numId w:val="33"/>
        </w:numPr>
        <w:spacing w:line="360" w:before="105" w:after="105" w:lineRule="auto"/>
      </w:pPr>
      <w:r>
        <w:rPr>
          <w:rFonts w:eastAsia="inter" w:cs="inter" w:ascii="inter" w:hAnsi="inter"/>
          <w:b/>
          <w:color w:val="000000"/>
          <w:sz w:val="21"/>
        </w:rPr>
        <w:t xml:space="preserve">Faster customer response times</w:t>
      </w:r>
      <w:r>
        <w:rPr>
          <w:rFonts w:eastAsia="inter" w:cs="inter" w:ascii="inter" w:hAnsi="inter"/>
          <w:color w:val="000000"/>
          <w:sz w:val="21"/>
        </w:rPr>
        <w:t xml:space="preserve"> through AI-assisted support</w:t>
      </w:r>
    </w:p>
    <w:p>
      <w:pPr>
        <w:numPr>
          <w:ilvl w:val="0"/>
          <w:numId w:val="33"/>
        </w:numPr>
        <w:spacing w:line="360" w:before="105" w:after="105" w:lineRule="auto"/>
      </w:pPr>
      <w:r>
        <w:rPr>
          <w:rFonts w:eastAsia="inter" w:cs="inter" w:ascii="inter" w:hAnsi="inter"/>
          <w:b/>
          <w:color w:val="000000"/>
          <w:sz w:val="21"/>
        </w:rPr>
        <w:t xml:space="preserve">Reduced agent search time</w:t>
      </w:r>
      <w:r>
        <w:rPr>
          <w:rFonts w:eastAsia="inter" w:cs="inter" w:ascii="inter" w:hAnsi="inter"/>
          <w:color w:val="000000"/>
          <w:sz w:val="21"/>
        </w:rPr>
        <w:t xml:space="preserve"> for knowledge base information</w:t>
      </w:r>
    </w:p>
    <w:p>
      <w:pPr>
        <w:numPr>
          <w:ilvl w:val="0"/>
          <w:numId w:val="33"/>
        </w:numPr>
        <w:spacing w:line="360" w:before="105" w:after="105" w:lineRule="auto"/>
      </w:pPr>
      <w:r>
        <w:rPr>
          <w:rFonts w:eastAsia="inter" w:cs="inter" w:ascii="inter" w:hAnsi="inter"/>
          <w:b/>
          <w:color w:val="000000"/>
          <w:sz w:val="21"/>
        </w:rPr>
        <w:t xml:space="preserve">Employee satisfaction improvement</w:t>
      </w:r>
      <w:r>
        <w:rPr>
          <w:rFonts w:eastAsia="inter" w:cs="inter" w:ascii="inter" w:hAnsi="inter"/>
          <w:color w:val="000000"/>
          <w:sz w:val="21"/>
        </w:rPr>
        <w:t xml:space="preserve"> (agents spend less time searching, more time empathizing)</w:t>
      </w:r>
    </w:p>
    <w:p>
      <w:pPr>
        <w:numPr>
          <w:ilvl w:val="0"/>
          <w:numId w:val="33"/>
        </w:numPr>
        <w:spacing w:line="360" w:before="105" w:after="105" w:lineRule="auto"/>
      </w:pPr>
      <w:r>
        <w:rPr>
          <w:rFonts w:eastAsia="inter" w:cs="inter" w:ascii="inter" w:hAnsi="inter"/>
          <w:b/>
          <w:color w:val="000000"/>
          <w:sz w:val="21"/>
        </w:rPr>
        <w:t xml:space="preserve">Cost reduction</w:t>
      </w:r>
      <w:r>
        <w:rPr>
          <w:rFonts w:eastAsia="inter" w:cs="inter" w:ascii="inter" w:hAnsi="inter"/>
          <w:color w:val="000000"/>
          <w:sz w:val="21"/>
        </w:rPr>
        <w:t xml:space="preserve"> in customer support operations</w:t>
      </w:r>
    </w:p>
    <w:p>
      <w:pPr>
        <w:spacing w:line="360" w:after="210" w:lineRule="auto"/>
      </w:pPr>
      <w:r>
        <w:rPr>
          <w:rFonts w:eastAsia="inter" w:cs="inter" w:ascii="inter" w:hAnsi="inter"/>
          <w:color w:val="000000"/>
        </w:rPr>
        <w:t xml:space="preserve">This case demonstrates how </w:t>
      </w:r>
      <w:r>
        <w:rPr>
          <w:rFonts w:eastAsia="inter" w:cs="inter" w:ascii="inter" w:hAnsi="inter"/>
          <w:b/>
          <w:color w:val="000000"/>
        </w:rPr>
        <w:t xml:space="preserve">human + AI collaboration</w:t>
      </w:r>
      <w:r>
        <w:rPr>
          <w:rFonts w:eastAsia="inter" w:cs="inter" w:ascii="inter" w:hAnsi="inter"/>
          <w:color w:val="000000"/>
        </w:rPr>
        <w:t xml:space="preserve">, not pure automation, drives value.</w:t>
      </w:r>
    </w:p>
    <w:p>
      <w:pPr>
        <w:spacing w:line="360" w:before="315" w:after="105" w:lineRule="auto"/>
        <w:ind w:left="-30"/>
        <w:jc w:val="left"/>
      </w:pPr>
      <w:bookmarkStart w:id="88" w:name="siam_commercial_bank_regional_dig_5a62c2"/>
      <w:r>
        <w:rPr>
          <w:rFonts w:eastAsia="inter" w:cs="inter" w:ascii="inter" w:hAnsi="inter"/>
          <w:b/>
          <w:color w:val="000000"/>
          <w:sz w:val="24"/>
        </w:rPr>
        <w:t xml:space="preserve">Siam Commercial Bank (Regional Digital Transformation)</w:t>
      </w:r>
      <w:hyperlink w:anchor="fn34">
        <w:r>
          <w:rPr>
            <w:rFonts w:eastAsia="inter" w:cs="inter" w:ascii="inter" w:hAnsi="inter"/>
            <w:b/>
            <w:color w:val="#000"/>
            <w:sz w:val="24"/>
            <w:u w:val="single"/>
            <w:vertAlign w:val="superscript"/>
          </w:rPr>
          <w:t xml:space="preserve">[34]</w:t>
        </w:r>
      </w:hyperlink>
      <w:bookmarkEnd w:id="88"/>
    </w:p>
    <w:p>
      <w:pPr>
        <w:spacing w:line="360" w:after="210" w:lineRule="auto"/>
      </w:pPr>
      <w:r>
        <w:rPr>
          <w:rFonts w:eastAsia="inter" w:cs="inter" w:ascii="inter" w:hAnsi="inter"/>
          <w:color w:val="000000"/>
        </w:rPr>
        <w:t xml:space="preserve">Accenture helped </w:t>
      </w:r>
      <w:r>
        <w:rPr>
          <w:rFonts w:eastAsia="inter" w:cs="inter" w:ascii="inter" w:hAnsi="inter"/>
          <w:b/>
          <w:color w:val="000000"/>
        </w:rPr>
        <w:t xml:space="preserve">SCB</w:t>
      </w:r>
      <w:r>
        <w:rPr>
          <w:rFonts w:eastAsia="inter" w:cs="inter" w:ascii="inter" w:hAnsi="inter"/>
          <w:color w:val="000000"/>
        </w:rPr>
        <w:t xml:space="preserve"> reinvent its </w:t>
      </w:r>
      <w:r>
        <w:rPr>
          <w:rFonts w:eastAsia="inter" w:cs="inter" w:ascii="inter" w:hAnsi="inter"/>
          <w:b/>
          <w:color w:val="000000"/>
        </w:rPr>
        <w:t xml:space="preserve">digital banking approach and customer experience</w:t>
      </w:r>
      <w:r>
        <w:rPr>
          <w:rFonts w:eastAsia="inter" w:cs="inter" w:ascii="inter" w:hAnsi="inter"/>
          <w:color w:val="000000"/>
        </w:rPr>
        <w:t xml:space="preserve">, resulting in an </w:t>
      </w:r>
      <w:r>
        <w:rPr>
          <w:rFonts w:eastAsia="inter" w:cs="inter" w:ascii="inter" w:hAnsi="inter"/>
          <w:b/>
          <w:color w:val="000000"/>
        </w:rPr>
        <w:t xml:space="preserve">award-winning digital transformation</w:t>
      </w:r>
      <w:r>
        <w:rPr>
          <w:rFonts w:eastAsia="inter" w:cs="inter" w:ascii="inter" w:hAnsi="inter"/>
          <w:color w:val="000000"/>
        </w:rPr>
        <w:t xml:space="preserve"> recognized across Asia-Pacific financial services.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9" w:name="part_7_competitive_differentiatio_5f47f0"/>
      <w:r>
        <w:rPr>
          <w:rFonts w:eastAsia="inter" w:cs="inter" w:ascii="inter" w:hAnsi="inter"/>
          <w:b/>
          <w:color w:val="000000"/>
          <w:sz w:val="24"/>
        </w:rPr>
        <w:t xml:space="preserve">Part 7: Competitive Differentiation – Accenture vs. IT Integrators</w:t>
      </w:r>
      <w:bookmarkEnd w:id="89"/>
    </w:p>
    <w:p>
      <w:pPr>
        <w:spacing w:line="360" w:before="315" w:after="105" w:lineRule="auto"/>
        <w:ind w:left="-30"/>
        <w:jc w:val="left"/>
      </w:pPr>
      <w:bookmarkStart w:id="90" w:name="the_fundamental_difference_in_bus_af792e"/>
      <w:r>
        <w:rPr>
          <w:rFonts w:eastAsia="inter" w:cs="inter" w:ascii="inter" w:hAnsi="inter"/>
          <w:b/>
          <w:color w:val="000000"/>
          <w:sz w:val="24"/>
        </w:rPr>
        <w:t xml:space="preserve">The Fundamental Difference in Business Models</w:t>
      </w:r>
      <w:bookmarkEnd w:id="9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Factor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Accenture</w:t>
            </w:r>
            <w:r>
              <w:rPr>
                <w:rFonts w:eastAsia="inter" w:cs="inter" w:ascii="inter" w:hAnsi="inter"/>
                <w:color w:val="000000"/>
                <w:sz w:val="17"/>
              </w:rPr>
              <w:t xml:space="preserve"> (Consulting Hybrid)</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Matrix / IT Integrators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Engagement Model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Strategic + Implementation (C-Suite to execution)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Project-based (tactical execution)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Pricing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Value-based, outcome-driven, premium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Cost + margin on labor hours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Differentiation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Methodology, proprietary platforms, talent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Cost efficiency, domain expertise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Duration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Long-term (quarterly adjustments, continuous)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Defined project 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Buyer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CEO / Chief Transformation Officer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CIO / IT Director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Scope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Enterprise-wide reinvention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Specific technical implementations</w:t>
            </w:r>
          </w:p>
        </w:tc>
      </w:tr>
    </w:tbl>
    <w:p>
      <w:pPr>
        <w:spacing w:lineRule="auto"/>
      </w:pPr>
    </w:p>
    <w:p>
      <w:pPr>
        <w:spacing w:line="360" w:before="315" w:after="105" w:lineRule="auto"/>
        <w:ind w:left="-30"/>
        <w:jc w:val="left"/>
      </w:pPr>
      <w:bookmarkStart w:id="91" w:name="why_accenture_commands_3_5x_premium"/>
      <w:r>
        <w:rPr>
          <w:rFonts w:eastAsia="inter" w:cs="inter" w:ascii="inter" w:hAnsi="inter"/>
          <w:b/>
          <w:color w:val="000000"/>
          <w:sz w:val="24"/>
        </w:rPr>
        <w:t xml:space="preserve">Why Accenture Commands 3-5x Premium</w:t>
      </w:r>
      <w:bookmarkEnd w:id="91"/>
    </w:p>
    <w:p>
      <w:pPr>
        <w:spacing w:line="360" w:after="210" w:lineRule="auto"/>
      </w:pPr>
      <w:r>
        <w:rPr>
          <w:rFonts w:eastAsia="inter" w:cs="inter" w:ascii="inter" w:hAnsi="inter"/>
          <w:b/>
          <w:color w:val="000000"/>
        </w:rPr>
        <w:t xml:space="preserve">1. Strategic Framing (Not Just Delivery)</w:t>
      </w:r>
    </w:p>
    <w:p>
      <w:pPr>
        <w:numPr>
          <w:ilvl w:val="0"/>
          <w:numId w:val="34"/>
        </w:numPr>
        <w:spacing w:line="360" w:before="105" w:after="105" w:lineRule="auto"/>
      </w:pPr>
      <w:r>
        <w:rPr>
          <w:rFonts w:eastAsia="inter" w:cs="inter" w:ascii="inter" w:hAnsi="inter"/>
          <w:color w:val="000000"/>
          <w:sz w:val="21"/>
        </w:rPr>
        <w:t xml:space="preserve">Accenture positions itself as the architect of "new performance frontiers"</w:t>
      </w:r>
    </w:p>
    <w:p>
      <w:pPr>
        <w:numPr>
          <w:ilvl w:val="0"/>
          <w:numId w:val="34"/>
        </w:numPr>
        <w:spacing w:line="360" w:before="105" w:after="105" w:lineRule="auto"/>
      </w:pPr>
      <w:r>
        <w:rPr>
          <w:rFonts w:eastAsia="inter" w:cs="inter" w:ascii="inter" w:hAnsi="inter"/>
          <w:color w:val="000000"/>
          <w:sz w:val="21"/>
        </w:rPr>
        <w:t xml:space="preserve">They sell transformation methodology, not labor hours</w:t>
      </w:r>
    </w:p>
    <w:p>
      <w:pPr>
        <w:numPr>
          <w:ilvl w:val="0"/>
          <w:numId w:val="34"/>
        </w:numPr>
        <w:spacing w:line="360" w:before="105" w:after="105" w:lineRule="auto"/>
      </w:pPr>
      <w:r>
        <w:rPr>
          <w:rFonts w:eastAsia="inter" w:cs="inter" w:ascii="inter" w:hAnsi="inter"/>
          <w:color w:val="000000"/>
          <w:sz w:val="21"/>
        </w:rPr>
        <w:t xml:space="preserve">Pricing reflects strategic value ($200M+ outcomes) not execution cost</w:t>
      </w:r>
    </w:p>
    <w:p>
      <w:pPr>
        <w:spacing w:line="360" w:after="210" w:lineRule="auto"/>
      </w:pPr>
      <w:r>
        <w:rPr>
          <w:rFonts w:eastAsia="inter" w:cs="inter" w:ascii="inter" w:hAnsi="inter"/>
          <w:b/>
          <w:color w:val="000000"/>
        </w:rPr>
        <w:t xml:space="preserve">2. Proprietary Platforms</w:t>
      </w:r>
    </w:p>
    <w:p>
      <w:pPr>
        <w:numPr>
          <w:ilvl w:val="0"/>
          <w:numId w:val="35"/>
        </w:numPr>
        <w:spacing w:line="360" w:before="105" w:after="105" w:lineRule="auto"/>
      </w:pPr>
      <w:r>
        <w:rPr>
          <w:rFonts w:eastAsia="inter" w:cs="inter" w:ascii="inter" w:hAnsi="inter"/>
          <w:b/>
          <w:color w:val="000000"/>
          <w:sz w:val="21"/>
        </w:rPr>
        <w:t xml:space="preserve">AI Refinery</w:t>
      </w:r>
      <w:r>
        <w:rPr>
          <w:rFonts w:eastAsia="inter" w:cs="inter" w:ascii="inter" w:hAnsi="inter"/>
          <w:color w:val="000000"/>
          <w:sz w:val="21"/>
        </w:rPr>
        <w:t xml:space="preserve">: Built on NVIDIA, proprietary agent orchestration, 150+ patents</w:t>
      </w:r>
    </w:p>
    <w:p>
      <w:pPr>
        <w:numPr>
          <w:ilvl w:val="0"/>
          <w:numId w:val="35"/>
        </w:numPr>
        <w:spacing w:line="360" w:before="105" w:after="105" w:lineRule="auto"/>
      </w:pPr>
      <w:r>
        <w:rPr>
          <w:rFonts w:eastAsia="inter" w:cs="inter" w:ascii="inter" w:hAnsi="inter"/>
          <w:b/>
          <w:color w:val="000000"/>
          <w:sz w:val="21"/>
        </w:rPr>
        <w:t xml:space="preserve">SynOps</w:t>
      </w:r>
      <w:r>
        <w:rPr>
          <w:rFonts w:eastAsia="inter" w:cs="inter" w:ascii="inter" w:hAnsi="inter"/>
          <w:color w:val="000000"/>
          <w:sz w:val="21"/>
        </w:rPr>
        <w:t xml:space="preserve">: Encodes 1,000+ client learnings in process automation</w:t>
      </w:r>
    </w:p>
    <w:p>
      <w:pPr>
        <w:numPr>
          <w:ilvl w:val="0"/>
          <w:numId w:val="35"/>
        </w:numPr>
        <w:spacing w:line="360" w:before="105" w:after="105" w:lineRule="auto"/>
      </w:pPr>
      <w:r>
        <w:rPr>
          <w:rFonts w:eastAsia="inter" w:cs="inter" w:ascii="inter" w:hAnsi="inter"/>
          <w:b/>
          <w:color w:val="000000"/>
          <w:sz w:val="21"/>
        </w:rPr>
        <w:t xml:space="preserve">myWizard</w:t>
      </w:r>
      <w:r>
        <w:rPr>
          <w:rFonts w:eastAsia="inter" w:cs="inter" w:ascii="inter" w:hAnsi="inter"/>
          <w:color w:val="000000"/>
          <w:sz w:val="21"/>
        </w:rPr>
        <w:t xml:space="preserve">: 150+ patents in automation, used by 100,000 Accenture staff internally</w:t>
      </w:r>
    </w:p>
    <w:p>
      <w:pPr>
        <w:numPr>
          <w:ilvl w:val="0"/>
          <w:numId w:val="35"/>
        </w:numPr>
        <w:spacing w:line="360" w:before="105" w:after="105" w:lineRule="auto"/>
      </w:pPr>
      <w:r>
        <w:rPr>
          <w:rFonts w:eastAsia="inter" w:cs="inter" w:ascii="inter" w:hAnsi="inter"/>
          <w:color w:val="000000"/>
          <w:sz w:val="21"/>
        </w:rPr>
        <w:t xml:space="preserve">These tools create a </w:t>
      </w:r>
      <w:r>
        <w:rPr>
          <w:rFonts w:eastAsia="inter" w:cs="inter" w:ascii="inter" w:hAnsi="inter"/>
          <w:b/>
          <w:color w:val="000000"/>
          <w:sz w:val="21"/>
        </w:rPr>
        <w:t xml:space="preserve">switching cost</w:t>
      </w:r>
      <w:r>
        <w:rPr>
          <w:rFonts w:eastAsia="inter" w:cs="inter" w:ascii="inter" w:hAnsi="inter"/>
          <w:color w:val="000000"/>
          <w:sz w:val="21"/>
        </w:rPr>
        <w:t xml:space="preserve">—once implemented, clients are locked into Accenture's ecosystem</w:t>
      </w:r>
    </w:p>
    <w:p>
      <w:pPr>
        <w:spacing w:line="360" w:after="210" w:lineRule="auto"/>
      </w:pPr>
      <w:r>
        <w:rPr>
          <w:rFonts w:eastAsia="inter" w:cs="inter" w:ascii="inter" w:hAnsi="inter"/>
          <w:b/>
          <w:color w:val="000000"/>
        </w:rPr>
        <w:t xml:space="preserve">3. Industrialized Delivery</w:t>
      </w:r>
    </w:p>
    <w:p>
      <w:pPr>
        <w:numPr>
          <w:ilvl w:val="0"/>
          <w:numId w:val="36"/>
        </w:numPr>
        <w:spacing w:line="360" w:before="105" w:after="105" w:lineRule="auto"/>
      </w:pPr>
      <w:r>
        <w:rPr>
          <w:rFonts w:eastAsia="inter" w:cs="inter" w:ascii="inter" w:hAnsi="inter"/>
          <w:color w:val="000000"/>
          <w:sz w:val="21"/>
        </w:rPr>
        <w:t xml:space="preserve">Accenture uses AI, automation, and proprietary tools to </w:t>
      </w:r>
      <w:r>
        <w:rPr>
          <w:rFonts w:eastAsia="inter" w:cs="inter" w:ascii="inter" w:hAnsi="inter"/>
          <w:b/>
          <w:color w:val="000000"/>
          <w:sz w:val="21"/>
        </w:rPr>
        <w:t xml:space="preserve">reduce their own delivery costs</w:t>
      </w:r>
    </w:p>
    <w:p>
      <w:pPr>
        <w:numPr>
          <w:ilvl w:val="0"/>
          <w:numId w:val="36"/>
        </w:numPr>
        <w:spacing w:line="360" w:before="105" w:after="105" w:lineRule="auto"/>
      </w:pPr>
      <w:r>
        <w:rPr>
          <w:rFonts w:eastAsia="inter" w:cs="inter" w:ascii="inter" w:hAnsi="inter"/>
          <w:color w:val="000000"/>
          <w:sz w:val="21"/>
        </w:rPr>
        <w:t xml:space="preserve">Example: 40,000 employees redeployed through SynOps; freed resources for higher-value advisory</w:t>
      </w:r>
    </w:p>
    <w:p>
      <w:pPr>
        <w:numPr>
          <w:ilvl w:val="0"/>
          <w:numId w:val="36"/>
        </w:numPr>
        <w:spacing w:line="360" w:before="105" w:after="105" w:lineRule="auto"/>
      </w:pPr>
      <w:r>
        <w:rPr>
          <w:rFonts w:eastAsia="inter" w:cs="inter" w:ascii="inter" w:hAnsi="inter"/>
          <w:color w:val="000000"/>
          <w:sz w:val="21"/>
        </w:rPr>
        <w:t xml:space="preserve">This allows them to scale delivery without proportional headcount growth (improving margins)</w:t>
      </w:r>
    </w:p>
    <w:p>
      <w:pPr>
        <w:numPr>
          <w:ilvl w:val="0"/>
          <w:numId w:val="36"/>
        </w:numPr>
        <w:spacing w:line="360" w:before="105" w:after="105" w:lineRule="auto"/>
      </w:pPr>
      <w:r>
        <w:rPr>
          <w:rFonts w:eastAsia="inter" w:cs="inter" w:ascii="inter" w:hAnsi="inter"/>
          <w:color w:val="000000"/>
          <w:sz w:val="21"/>
        </w:rPr>
        <w:t xml:space="preserve">Competitors must rely on offshore/onshore labor, limiting profitability</w:t>
      </w:r>
    </w:p>
    <w:p>
      <w:pPr>
        <w:spacing w:line="360" w:after="210" w:lineRule="auto"/>
      </w:pPr>
      <w:r>
        <w:rPr>
          <w:rFonts w:eastAsia="inter" w:cs="inter" w:ascii="inter" w:hAnsi="inter"/>
          <w:b/>
          <w:color w:val="000000"/>
        </w:rPr>
        <w:t xml:space="preserve">4. Ecosystem Access</w:t>
      </w:r>
    </w:p>
    <w:p>
      <w:pPr>
        <w:numPr>
          <w:ilvl w:val="0"/>
          <w:numId w:val="37"/>
        </w:numPr>
        <w:spacing w:line="360" w:before="105" w:after="105" w:lineRule="auto"/>
      </w:pPr>
      <w:r>
        <w:rPr>
          <w:rFonts w:eastAsia="inter" w:cs="inter" w:ascii="inter" w:hAnsi="inter"/>
          <w:b/>
          <w:color w:val="000000"/>
          <w:sz w:val="21"/>
        </w:rPr>
        <w:t xml:space="preserve">NVIDIA partnership</w:t>
      </w:r>
      <w:r>
        <w:rPr>
          <w:rFonts w:eastAsia="inter" w:cs="inter" w:ascii="inter" w:hAnsi="inter"/>
          <w:color w:val="000000"/>
          <w:sz w:val="21"/>
        </w:rPr>
        <w:t xml:space="preserve"> for AI Refinery</w:t>
      </w:r>
    </w:p>
    <w:p>
      <w:pPr>
        <w:numPr>
          <w:ilvl w:val="0"/>
          <w:numId w:val="37"/>
        </w:numPr>
        <w:spacing w:line="360" w:before="105" w:after="105" w:lineRule="auto"/>
      </w:pPr>
      <w:r>
        <w:rPr>
          <w:rFonts w:eastAsia="inter" w:cs="inter" w:ascii="inter" w:hAnsi="inter"/>
          <w:b/>
          <w:color w:val="000000"/>
          <w:sz w:val="21"/>
        </w:rPr>
        <w:t xml:space="preserve">Hyperscaler relationships</w:t>
      </w:r>
      <w:r>
        <w:rPr>
          <w:rFonts w:eastAsia="inter" w:cs="inter" w:ascii="inter" w:hAnsi="inter"/>
          <w:color w:val="000000"/>
          <w:sz w:val="21"/>
        </w:rPr>
        <w:t xml:space="preserve"> (AWS, Azure, Google Cloud)</w:t>
      </w:r>
    </w:p>
    <w:p>
      <w:pPr>
        <w:numPr>
          <w:ilvl w:val="0"/>
          <w:numId w:val="37"/>
        </w:numPr>
        <w:spacing w:line="360" w:before="105" w:after="105" w:lineRule="auto"/>
      </w:pPr>
      <w:r>
        <w:rPr>
          <w:rFonts w:eastAsia="inter" w:cs="inter" w:ascii="inter" w:hAnsi="inter"/>
          <w:b/>
          <w:color w:val="000000"/>
          <w:sz w:val="21"/>
        </w:rPr>
        <w:t xml:space="preserve">Model provider relationships</w:t>
      </w:r>
      <w:r>
        <w:rPr>
          <w:rFonts w:eastAsia="inter" w:cs="inter" w:ascii="inter" w:hAnsi="inter"/>
          <w:color w:val="000000"/>
          <w:sz w:val="21"/>
        </w:rPr>
        <w:t xml:space="preserve"> (OpenAI, Anthropic)</w:t>
      </w:r>
    </w:p>
    <w:p>
      <w:pPr>
        <w:numPr>
          <w:ilvl w:val="0"/>
          <w:numId w:val="37"/>
        </w:numPr>
        <w:spacing w:line="360" w:before="105" w:after="105" w:lineRule="auto"/>
      </w:pPr>
      <w:r>
        <w:rPr>
          <w:rFonts w:eastAsia="inter" w:cs="inter" w:ascii="inter" w:hAnsi="inter"/>
          <w:color w:val="000000"/>
          <w:sz w:val="21"/>
        </w:rPr>
        <w:t xml:space="preserve">Competitors lack equivalent depth of partnership access</w:t>
      </w:r>
    </w:p>
    <w:p>
      <w:pPr>
        <w:spacing w:line="360" w:after="210" w:lineRule="auto"/>
      </w:pPr>
      <w:r>
        <w:rPr>
          <w:rFonts w:eastAsia="inter" w:cs="inter" w:ascii="inter" w:hAnsi="inter"/>
          <w:b/>
          <w:color w:val="000000"/>
        </w:rPr>
        <w:t xml:space="preserve">5. Talent at Scale</w:t>
      </w:r>
    </w:p>
    <w:p>
      <w:pPr>
        <w:numPr>
          <w:ilvl w:val="0"/>
          <w:numId w:val="38"/>
        </w:numPr>
        <w:spacing w:line="360" w:before="105" w:after="105" w:lineRule="auto"/>
      </w:pPr>
      <w:r>
        <w:rPr>
          <w:rFonts w:eastAsia="inter" w:cs="inter" w:ascii="inter" w:hAnsi="inter"/>
          <w:b/>
          <w:color w:val="000000"/>
          <w:sz w:val="21"/>
        </w:rPr>
        <w:t xml:space="preserve">700,000+ employees</w:t>
      </w:r>
      <w:r>
        <w:rPr>
          <w:rFonts w:eastAsia="inter" w:cs="inter" w:ascii="inter" w:hAnsi="inter"/>
          <w:color w:val="000000"/>
          <w:sz w:val="21"/>
        </w:rPr>
        <w:t xml:space="preserve"> globally; 80,000+ deeply skilled in AI/data</w:t>
      </w:r>
    </w:p>
    <w:p>
      <w:pPr>
        <w:numPr>
          <w:ilvl w:val="0"/>
          <w:numId w:val="38"/>
        </w:numPr>
        <w:spacing w:line="360" w:before="105" w:after="105" w:lineRule="auto"/>
      </w:pPr>
      <w:r>
        <w:rPr>
          <w:rFonts w:eastAsia="inter" w:cs="inter" w:ascii="inter" w:hAnsi="inter"/>
          <w:color w:val="000000"/>
          <w:sz w:val="21"/>
        </w:rPr>
        <w:t xml:space="preserve">Competitors like Matrix (12,500 employees) or Cognizant (285,000) lack Accenture's depth in AI-specific talent</w:t>
      </w:r>
    </w:p>
    <w:p>
      <w:pPr>
        <w:numPr>
          <w:ilvl w:val="0"/>
          <w:numId w:val="38"/>
        </w:numPr>
        <w:spacing w:line="360" w:before="105" w:after="105" w:lineRule="auto"/>
      </w:pPr>
      <w:r>
        <w:rPr>
          <w:rFonts w:eastAsia="inter" w:cs="inter" w:ascii="inter" w:hAnsi="inter"/>
          <w:color w:val="000000"/>
          <w:sz w:val="21"/>
        </w:rPr>
        <w:t xml:space="preserve">Accenture's CEO publicly states 250,000 additional employees are being trained in responsible AI use</w:t>
      </w:r>
    </w:p>
    <w:p>
      <w:pPr>
        <w:numPr>
          <w:ilvl w:val="0"/>
          <w:numId w:val="38"/>
        </w:numPr>
        <w:spacing w:line="360" w:before="105" w:after="105" w:lineRule="auto"/>
      </w:pPr>
      <w:r>
        <w:rPr>
          <w:rFonts w:eastAsia="inter" w:cs="inter" w:ascii="inter" w:hAnsi="inter"/>
          <w:color w:val="000000"/>
          <w:sz w:val="21"/>
        </w:rPr>
        <w:t xml:space="preserve">This creates a </w:t>
      </w:r>
      <w:r>
        <w:rPr>
          <w:rFonts w:eastAsia="inter" w:cs="inter" w:ascii="inter" w:hAnsi="inter"/>
          <w:b/>
          <w:color w:val="000000"/>
          <w:sz w:val="21"/>
        </w:rPr>
        <w:t xml:space="preserve">talent moat</w:t>
      </w:r>
      <w:r>
        <w:rPr>
          <w:rFonts w:eastAsia="inter" w:cs="inter" w:ascii="inter" w:hAnsi="inter"/>
          <w:color w:val="000000"/>
          <w:sz w:val="21"/>
        </w:rPr>
        <w:t xml:space="preserve">: larger pool of available expertise</w:t>
      </w:r>
    </w:p>
    <w:p>
      <w:pPr>
        <w:spacing w:line="360" w:after="210" w:lineRule="auto"/>
      </w:pPr>
      <w:r>
        <w:rPr>
          <w:rFonts w:eastAsia="inter" w:cs="inter" w:ascii="inter" w:hAnsi="inter"/>
          <w:b/>
          <w:color w:val="000000"/>
        </w:rPr>
        <w:t xml:space="preserve">6. Responsible AI as Differentiator</w:t>
      </w:r>
    </w:p>
    <w:p>
      <w:pPr>
        <w:numPr>
          <w:ilvl w:val="0"/>
          <w:numId w:val="39"/>
        </w:numPr>
        <w:spacing w:line="360" w:before="105" w:after="105" w:lineRule="auto"/>
      </w:pPr>
      <w:r>
        <w:rPr>
          <w:rFonts w:eastAsia="inter" w:cs="inter" w:ascii="inter" w:hAnsi="inter"/>
          <w:color w:val="000000"/>
          <w:sz w:val="21"/>
        </w:rPr>
        <w:t xml:space="preserve">Accenture had a responsible AI compliance program </w:t>
      </w:r>
      <w:r>
        <w:rPr>
          <w:rFonts w:eastAsia="inter" w:cs="inter" w:ascii="inter" w:hAnsi="inter"/>
          <w:b/>
          <w:color w:val="000000"/>
          <w:sz w:val="21"/>
        </w:rPr>
        <w:t xml:space="preserve">before the term existed</w:t>
      </w:r>
    </w:p>
    <w:p>
      <w:pPr>
        <w:numPr>
          <w:ilvl w:val="0"/>
          <w:numId w:val="39"/>
        </w:numPr>
        <w:spacing w:line="360" w:before="105" w:after="105" w:lineRule="auto"/>
      </w:pPr>
      <w:r>
        <w:rPr>
          <w:rFonts w:eastAsia="inter" w:cs="inter" w:ascii="inter" w:hAnsi="inter"/>
          <w:color w:val="000000"/>
          <w:sz w:val="21"/>
        </w:rPr>
        <w:t xml:space="preserve">Competitors are still building these capabilities</w:t>
      </w:r>
    </w:p>
    <w:p>
      <w:pPr>
        <w:numPr>
          <w:ilvl w:val="0"/>
          <w:numId w:val="39"/>
        </w:numPr>
        <w:spacing w:line="360" w:before="105" w:after="105" w:lineRule="auto"/>
      </w:pPr>
      <w:r>
        <w:rPr>
          <w:rFonts w:eastAsia="inter" w:cs="inter" w:ascii="inter" w:hAnsi="inter"/>
          <w:color w:val="000000"/>
          <w:sz w:val="21"/>
        </w:rPr>
        <w:t xml:space="preserve">Accenture can credibly tell clients: "We've done this 1,000 times; here's the governance blueprint"</w:t>
      </w:r>
    </w:p>
    <w:p>
      <w:pPr>
        <w:numPr>
          <w:ilvl w:val="0"/>
          <w:numId w:val="39"/>
        </w:numPr>
        <w:spacing w:line="360" w:before="105" w:after="105" w:lineRule="auto"/>
      </w:pPr>
      <w:r>
        <w:rPr>
          <w:rFonts w:eastAsia="inter" w:cs="inter" w:ascii="inter" w:hAnsi="inter"/>
          <w:color w:val="000000"/>
          <w:sz w:val="21"/>
        </w:rPr>
        <w:t xml:space="preserve">This reduces client risk (key decision driver in regulated industries like banking, insurance)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2" w:name="part_8_the_israeli_market_why_acc_82bb79"/>
      <w:r>
        <w:rPr>
          <w:rFonts w:eastAsia="inter" w:cs="inter" w:ascii="inter" w:hAnsi="inter"/>
          <w:b/>
          <w:color w:val="000000"/>
          <w:sz w:val="24"/>
        </w:rPr>
        <w:t xml:space="preserve">Part 8: The Israeli Market – Why Accenture Wins Despite Cost</w:t>
      </w:r>
      <w:bookmarkEnd w:id="92"/>
    </w:p>
    <w:p>
      <w:pPr>
        <w:spacing w:line="360" w:before="315" w:after="105" w:lineRule="auto"/>
        <w:ind w:left="-30"/>
        <w:jc w:val="left"/>
      </w:pPr>
      <w:bookmarkStart w:id="93" w:name="matrix_s_competitive_threat"/>
      <w:r>
        <w:rPr>
          <w:rFonts w:eastAsia="inter" w:cs="inter" w:ascii="inter" w:hAnsi="inter"/>
          <w:b/>
          <w:color w:val="000000"/>
          <w:sz w:val="24"/>
        </w:rPr>
        <w:t xml:space="preserve">Matrix's Competitive Threat</w:t>
      </w:r>
      <w:bookmarkEnd w:id="93"/>
    </w:p>
    <w:p>
      <w:pPr>
        <w:spacing w:line="360" w:after="210" w:lineRule="auto"/>
      </w:pPr>
      <w:r>
        <w:rPr>
          <w:rFonts w:eastAsia="inter" w:cs="inter" w:ascii="inter" w:hAnsi="inter"/>
          <w:b/>
          <w:color w:val="000000"/>
        </w:rPr>
        <w:t xml:space="preserve">Matrix IT Profile:</w:t>
      </w:r>
      <w:bookmarkStart w:id="94" w:name="fnref29_1"/>
      <w:bookmarkEnd w:id="94"/>
      <w:hyperlink w:anchor="fn29">
        <w:r>
          <w:rPr>
            <w:rFonts w:eastAsia="inter" w:cs="inter" w:ascii="inter" w:hAnsi="inter"/>
            <w:color w:val="#000"/>
            <w:u w:val="single"/>
            <w:vertAlign w:val="superscript"/>
          </w:rPr>
          <w:t xml:space="preserve">[29]</w:t>
        </w:r>
      </w:hyperlink>
      <w:bookmarkStart w:id="95" w:name="fnref28_1"/>
      <w:bookmarkEnd w:id="95"/>
      <w:hyperlink w:anchor="fn28">
        <w:r>
          <w:rPr>
            <w:rFonts w:eastAsia="inter" w:cs="inter" w:ascii="inter" w:hAnsi="inter"/>
            <w:color w:val="#000"/>
            <w:u w:val="single"/>
            <w:vertAlign w:val="superscript"/>
          </w:rPr>
          <w:t xml:space="preserve">[28]</w:t>
        </w:r>
      </w:hyperlink>
    </w:p>
    <w:p>
      <w:pPr>
        <w:numPr>
          <w:ilvl w:val="0"/>
          <w:numId w:val="40"/>
        </w:numPr>
        <w:spacing w:line="360" w:before="105" w:after="105" w:lineRule="auto"/>
      </w:pPr>
      <w:r>
        <w:rPr>
          <w:rFonts w:eastAsia="inter" w:cs="inter" w:ascii="inter" w:hAnsi="inter"/>
          <w:color w:val="000000"/>
          <w:sz w:val="21"/>
        </w:rPr>
        <w:t xml:space="preserve">12,500 employees (one of Israel's largest private employers)</w:t>
      </w:r>
    </w:p>
    <w:p>
      <w:pPr>
        <w:numPr>
          <w:ilvl w:val="0"/>
          <w:numId w:val="40"/>
        </w:numPr>
        <w:spacing w:line="360" w:before="105" w:after="105" w:lineRule="auto"/>
      </w:pPr>
      <w:r>
        <w:rPr>
          <w:rFonts w:eastAsia="inter" w:cs="inter" w:ascii="inter" w:hAnsi="inter"/>
          <w:color w:val="000000"/>
          <w:sz w:val="21"/>
        </w:rPr>
        <w:t xml:space="preserve">Public company (TASE: MTRX)</w:t>
      </w:r>
    </w:p>
    <w:p>
      <w:pPr>
        <w:numPr>
          <w:ilvl w:val="0"/>
          <w:numId w:val="40"/>
        </w:numPr>
        <w:spacing w:line="360" w:before="105" w:after="105" w:lineRule="auto"/>
      </w:pPr>
      <w:r>
        <w:rPr>
          <w:rFonts w:eastAsia="inter" w:cs="inter" w:ascii="inter" w:hAnsi="inter"/>
          <w:color w:val="000000"/>
          <w:sz w:val="21"/>
        </w:rPr>
        <w:t xml:space="preserve">Controlled by Formula Systems (defense/tech conglomerate)</w:t>
      </w:r>
    </w:p>
    <w:p>
      <w:pPr>
        <w:numPr>
          <w:ilvl w:val="0"/>
          <w:numId w:val="40"/>
        </w:numPr>
        <w:spacing w:line="360" w:before="105" w:after="105" w:lineRule="auto"/>
      </w:pPr>
      <w:r>
        <w:rPr>
          <w:rFonts w:eastAsia="inter" w:cs="inter" w:ascii="inter" w:hAnsi="inter"/>
          <w:color w:val="000000"/>
          <w:sz w:val="21"/>
        </w:rPr>
        <w:t xml:space="preserve">Service focus: Government, defense, banking, security</w:t>
      </w:r>
    </w:p>
    <w:p>
      <w:pPr>
        <w:numPr>
          <w:ilvl w:val="0"/>
          <w:numId w:val="40"/>
        </w:numPr>
        <w:spacing w:line="360" w:before="105" w:after="105" w:lineRule="auto"/>
      </w:pPr>
      <w:r>
        <w:rPr>
          <w:rFonts w:eastAsia="inter" w:cs="inter" w:ascii="inter" w:hAnsi="inter"/>
          <w:color w:val="000000"/>
          <w:sz w:val="21"/>
        </w:rPr>
        <w:t xml:space="preserve">Recent expansion: AI/ML Excellence Center for defense, Nimbus/SAP BTP cloud platform</w:t>
      </w:r>
    </w:p>
    <w:p>
      <w:pPr>
        <w:spacing w:line="360" w:after="210" w:lineRule="auto"/>
      </w:pPr>
      <w:r>
        <w:rPr>
          <w:rFonts w:eastAsia="inter" w:cs="inter" w:ascii="inter" w:hAnsi="inter"/>
          <w:b/>
          <w:color w:val="000000"/>
        </w:rPr>
        <w:t xml:space="preserve">Matrix's Advantages:</w:t>
      </w:r>
    </w:p>
    <w:p>
      <w:pPr>
        <w:numPr>
          <w:ilvl w:val="0"/>
          <w:numId w:val="41"/>
        </w:numPr>
        <w:spacing w:line="360" w:before="105" w:after="105" w:lineRule="auto"/>
      </w:pPr>
      <w:r>
        <w:rPr>
          <w:rFonts w:eastAsia="inter" w:cs="inter" w:ascii="inter" w:hAnsi="inter"/>
          <w:color w:val="000000"/>
          <w:sz w:val="21"/>
        </w:rPr>
        <w:t xml:space="preserve">Local pricing (lower cost base)</w:t>
      </w:r>
    </w:p>
    <w:p>
      <w:pPr>
        <w:numPr>
          <w:ilvl w:val="0"/>
          <w:numId w:val="41"/>
        </w:numPr>
        <w:spacing w:line="360" w:before="105" w:after="105" w:lineRule="auto"/>
      </w:pPr>
      <w:r>
        <w:rPr>
          <w:rFonts w:eastAsia="inter" w:cs="inter" w:ascii="inter" w:hAnsi="inter"/>
          <w:color w:val="000000"/>
          <w:sz w:val="21"/>
        </w:rPr>
        <w:t xml:space="preserve">Government relationships (strategic contracts)</w:t>
      </w:r>
    </w:p>
    <w:p>
      <w:pPr>
        <w:numPr>
          <w:ilvl w:val="0"/>
          <w:numId w:val="41"/>
        </w:numPr>
        <w:spacing w:line="360" w:before="105" w:after="105" w:lineRule="auto"/>
      </w:pPr>
      <w:r>
        <w:rPr>
          <w:rFonts w:eastAsia="inter" w:cs="inter" w:ascii="inter" w:hAnsi="inter"/>
          <w:color w:val="000000"/>
          <w:sz w:val="21"/>
        </w:rPr>
        <w:t xml:space="preserve">Defense/security sector expertise</w:t>
      </w:r>
    </w:p>
    <w:p>
      <w:pPr>
        <w:numPr>
          <w:ilvl w:val="0"/>
          <w:numId w:val="41"/>
        </w:numPr>
        <w:spacing w:line="360" w:before="105" w:after="105" w:lineRule="auto"/>
      </w:pPr>
      <w:r>
        <w:rPr>
          <w:rFonts w:eastAsia="inter" w:cs="inter" w:ascii="inter" w:hAnsi="inter"/>
          <w:color w:val="000000"/>
          <w:sz w:val="21"/>
        </w:rPr>
        <w:t xml:space="preserve">Rapid project delivery</w:t>
      </w:r>
    </w:p>
    <w:p>
      <w:pPr>
        <w:spacing w:line="360" w:after="210" w:lineRule="auto"/>
      </w:pPr>
      <w:r>
        <w:rPr>
          <w:rFonts w:eastAsia="inter" w:cs="inter" w:ascii="inter" w:hAnsi="inter"/>
          <w:b/>
          <w:color w:val="000000"/>
        </w:rPr>
        <w:t xml:space="preserve">Matrix's Limitations:</w:t>
      </w:r>
    </w:p>
    <w:p>
      <w:pPr>
        <w:numPr>
          <w:ilvl w:val="0"/>
          <w:numId w:val="42"/>
        </w:numPr>
        <w:spacing w:line="360" w:before="105" w:after="105" w:lineRule="auto"/>
      </w:pPr>
      <w:r>
        <w:rPr>
          <w:rFonts w:eastAsia="inter" w:cs="inter" w:ascii="inter" w:hAnsi="inter"/>
          <w:color w:val="000000"/>
          <w:sz w:val="21"/>
        </w:rPr>
        <w:t xml:space="preserve">No branded methodology equivalent to Accenture's Total Enterprise Reinvention</w:t>
      </w:r>
    </w:p>
    <w:p>
      <w:pPr>
        <w:numPr>
          <w:ilvl w:val="0"/>
          <w:numId w:val="42"/>
        </w:numPr>
        <w:spacing w:line="360" w:before="105" w:after="105" w:lineRule="auto"/>
      </w:pPr>
      <w:r>
        <w:rPr>
          <w:rFonts w:eastAsia="inter" w:cs="inter" w:ascii="inter" w:hAnsi="inter"/>
          <w:color w:val="000000"/>
          <w:sz w:val="21"/>
        </w:rPr>
        <w:t xml:space="preserve">No proprietary AI platform (e.g., no equivalent to AI Refinery)</w:t>
      </w:r>
    </w:p>
    <w:p>
      <w:pPr>
        <w:numPr>
          <w:ilvl w:val="0"/>
          <w:numId w:val="42"/>
        </w:numPr>
        <w:spacing w:line="360" w:before="105" w:after="105" w:lineRule="auto"/>
      </w:pPr>
      <w:r>
        <w:rPr>
          <w:rFonts w:eastAsia="inter" w:cs="inter" w:ascii="inter" w:hAnsi="inter"/>
          <w:color w:val="000000"/>
          <w:sz w:val="21"/>
        </w:rPr>
        <w:t xml:space="preserve">Limited CEO-level engagement model (more IT director focused)</w:t>
      </w:r>
    </w:p>
    <w:p>
      <w:pPr>
        <w:numPr>
          <w:ilvl w:val="0"/>
          <w:numId w:val="42"/>
        </w:numPr>
        <w:spacing w:line="360" w:before="105" w:after="105" w:lineRule="auto"/>
      </w:pPr>
      <w:r>
        <w:rPr>
          <w:rFonts w:eastAsia="inter" w:cs="inter" w:ascii="inter" w:hAnsi="inter"/>
          <w:color w:val="000000"/>
          <w:sz w:val="21"/>
        </w:rPr>
        <w:t xml:space="preserve">Smaller global footprint (Israel-centric, with some US/European presence)</w:t>
      </w:r>
    </w:p>
    <w:p>
      <w:pPr>
        <w:numPr>
          <w:ilvl w:val="0"/>
          <w:numId w:val="42"/>
        </w:numPr>
        <w:spacing w:line="360" w:before="105" w:after="105" w:lineRule="auto"/>
      </w:pPr>
      <w:r>
        <w:rPr>
          <w:rFonts w:eastAsia="inter" w:cs="inter" w:ascii="inter" w:hAnsi="inter"/>
          <w:color w:val="000000"/>
          <w:sz w:val="21"/>
        </w:rPr>
        <w:t xml:space="preserve">No equivalent responsible AI governance framework</w:t>
      </w:r>
    </w:p>
    <w:p>
      <w:pPr>
        <w:spacing w:line="360" w:before="315" w:after="105" w:lineRule="auto"/>
        <w:ind w:left="-30"/>
        <w:jc w:val="left"/>
      </w:pPr>
      <w:bookmarkStart w:id="96" w:name="why_israeli_enterprises_choose_accenture"/>
      <w:r>
        <w:rPr>
          <w:rFonts w:eastAsia="inter" w:cs="inter" w:ascii="inter" w:hAnsi="inter"/>
          <w:b/>
          <w:color w:val="000000"/>
          <w:sz w:val="24"/>
        </w:rPr>
        <w:t xml:space="preserve">Why Israeli Enterprises Choose Accenture</w:t>
      </w:r>
      <w:bookmarkEnd w:id="96"/>
    </w:p>
    <w:p>
      <w:pPr>
        <w:spacing w:line="360" w:after="210" w:lineRule="auto"/>
      </w:pPr>
      <w:r>
        <w:rPr>
          <w:rFonts w:eastAsia="inter" w:cs="inter" w:ascii="inter" w:hAnsi="inter"/>
          <w:b/>
          <w:color w:val="000000"/>
        </w:rPr>
        <w:t xml:space="preserve">1. Global Performance Benchmarking</w:t>
      </w:r>
    </w:p>
    <w:p>
      <w:pPr>
        <w:numPr>
          <w:ilvl w:val="0"/>
          <w:numId w:val="43"/>
        </w:numPr>
        <w:spacing w:line="360" w:before="105" w:after="105" w:lineRule="auto"/>
      </w:pPr>
      <w:r>
        <w:rPr>
          <w:rFonts w:eastAsia="inter" w:cs="inter" w:ascii="inter" w:hAnsi="inter"/>
          <w:color w:val="000000"/>
          <w:sz w:val="21"/>
        </w:rPr>
        <w:t xml:space="preserve">Israeli enterprises (banks, telcos, tech companies) want to compete globally</w:t>
      </w:r>
    </w:p>
    <w:p>
      <w:pPr>
        <w:numPr>
          <w:ilvl w:val="0"/>
          <w:numId w:val="43"/>
        </w:numPr>
        <w:spacing w:line="360" w:before="105" w:after="105" w:lineRule="auto"/>
      </w:pPr>
      <w:r>
        <w:rPr>
          <w:rFonts w:eastAsia="inter" w:cs="inter" w:ascii="inter" w:hAnsi="inter"/>
          <w:color w:val="000000"/>
          <w:sz w:val="21"/>
        </w:rPr>
        <w:t xml:space="preserve">Accenture's research shows "Reinventors" achieve 10-22% better outcomes than peers</w:t>
      </w:r>
    </w:p>
    <w:p>
      <w:pPr>
        <w:numPr>
          <w:ilvl w:val="0"/>
          <w:numId w:val="43"/>
        </w:numPr>
        <w:spacing w:line="360" w:before="105" w:after="105" w:lineRule="auto"/>
      </w:pPr>
      <w:r>
        <w:rPr>
          <w:rFonts w:eastAsia="inter" w:cs="inter" w:ascii="inter" w:hAnsi="inter"/>
          <w:color w:val="000000"/>
          <w:sz w:val="21"/>
        </w:rPr>
        <w:t xml:space="preserve">This is quantifiable competitive advantage worth premium pricing</w:t>
      </w:r>
    </w:p>
    <w:p>
      <w:pPr>
        <w:spacing w:line="360" w:after="210" w:lineRule="auto"/>
      </w:pPr>
      <w:r>
        <w:rPr>
          <w:rFonts w:eastAsia="inter" w:cs="inter" w:ascii="inter" w:hAnsi="inter"/>
          <w:b/>
          <w:color w:val="000000"/>
        </w:rPr>
        <w:t xml:space="preserve">2. Security &amp; Compliance Credibility</w:t>
      </w:r>
    </w:p>
    <w:p>
      <w:pPr>
        <w:numPr>
          <w:ilvl w:val="0"/>
          <w:numId w:val="44"/>
        </w:numPr>
        <w:spacing w:line="360" w:before="105" w:after="105" w:lineRule="auto"/>
      </w:pPr>
      <w:r>
        <w:rPr>
          <w:rFonts w:eastAsia="inter" w:cs="inter" w:ascii="inter" w:hAnsi="inter"/>
          <w:color w:val="000000"/>
          <w:sz w:val="21"/>
        </w:rPr>
        <w:t xml:space="preserve">Maglan acquisition + Herzliya R&amp;D Lab = proof of deep cybersecurity expertise</w:t>
      </w:r>
    </w:p>
    <w:p>
      <w:pPr>
        <w:numPr>
          <w:ilvl w:val="0"/>
          <w:numId w:val="44"/>
        </w:numPr>
        <w:spacing w:line="360" w:before="105" w:after="105" w:lineRule="auto"/>
      </w:pPr>
      <w:r>
        <w:rPr>
          <w:rFonts w:eastAsia="inter" w:cs="inter" w:ascii="inter" w:hAnsi="inter"/>
          <w:color w:val="000000"/>
          <w:sz w:val="21"/>
        </w:rPr>
        <w:t xml:space="preserve">Israeli enterprises highly value security given geopolitical context</w:t>
      </w:r>
    </w:p>
    <w:p>
      <w:pPr>
        <w:numPr>
          <w:ilvl w:val="0"/>
          <w:numId w:val="44"/>
        </w:numPr>
        <w:spacing w:line="360" w:before="105" w:after="105" w:lineRule="auto"/>
      </w:pPr>
      <w:r>
        <w:rPr>
          <w:rFonts w:eastAsia="inter" w:cs="inter" w:ascii="inter" w:hAnsi="inter"/>
          <w:color w:val="000000"/>
          <w:sz w:val="21"/>
        </w:rPr>
        <w:t xml:space="preserve">Accenture can credibly promise "offensive simulation, threat intelligence, forensics" embedded in solutions</w:t>
      </w:r>
    </w:p>
    <w:p>
      <w:pPr>
        <w:spacing w:line="360" w:after="210" w:lineRule="auto"/>
      </w:pPr>
      <w:r>
        <w:rPr>
          <w:rFonts w:eastAsia="inter" w:cs="inter" w:ascii="inter" w:hAnsi="inter"/>
          <w:b/>
          <w:color w:val="000000"/>
        </w:rPr>
        <w:t xml:space="preserve">3. Speed of Transformation</w:t>
      </w:r>
    </w:p>
    <w:p>
      <w:pPr>
        <w:numPr>
          <w:ilvl w:val="0"/>
          <w:numId w:val="45"/>
        </w:numPr>
        <w:spacing w:line="360" w:before="105" w:after="105" w:lineRule="auto"/>
      </w:pPr>
      <w:r>
        <w:rPr>
          <w:rFonts w:eastAsia="inter" w:cs="inter" w:ascii="inter" w:hAnsi="inter"/>
          <w:color w:val="000000"/>
          <w:sz w:val="21"/>
        </w:rPr>
        <w:t xml:space="preserve">Israeli companies operate with startup-like velocity expectations</w:t>
      </w:r>
    </w:p>
    <w:p>
      <w:pPr>
        <w:numPr>
          <w:ilvl w:val="0"/>
          <w:numId w:val="45"/>
        </w:numPr>
        <w:spacing w:line="360" w:before="105" w:after="105" w:lineRule="auto"/>
      </w:pPr>
      <w:r>
        <w:rPr>
          <w:rFonts w:eastAsia="inter" w:cs="inter" w:ascii="inter" w:hAnsi="inter"/>
          <w:color w:val="000000"/>
          <w:sz w:val="21"/>
        </w:rPr>
        <w:t xml:space="preserve">Accenture's "compressed transformation" playbook (tested during pandemic) appeals to this mindset</w:t>
      </w:r>
    </w:p>
    <w:p>
      <w:pPr>
        <w:numPr>
          <w:ilvl w:val="0"/>
          <w:numId w:val="45"/>
        </w:numPr>
        <w:spacing w:line="360" w:before="105" w:after="105" w:lineRule="auto"/>
      </w:pPr>
      <w:r>
        <w:rPr>
          <w:rFonts w:eastAsia="inter" w:cs="inter" w:ascii="inter" w:hAnsi="inter"/>
          <w:color w:val="000000"/>
          <w:sz w:val="21"/>
        </w:rPr>
        <w:t xml:space="preserve">Matrix offers standard project timelines; Accenture offers acceleration</w:t>
      </w:r>
    </w:p>
    <w:p>
      <w:pPr>
        <w:spacing w:line="360" w:after="210" w:lineRule="auto"/>
      </w:pPr>
      <w:r>
        <w:rPr>
          <w:rFonts w:eastAsia="inter" w:cs="inter" w:ascii="inter" w:hAnsi="inter"/>
          <w:b/>
          <w:color w:val="000000"/>
        </w:rPr>
        <w:t xml:space="preserve">4. Talent Access</w:t>
      </w:r>
    </w:p>
    <w:p>
      <w:pPr>
        <w:numPr>
          <w:ilvl w:val="0"/>
          <w:numId w:val="46"/>
        </w:numPr>
        <w:spacing w:line="360" w:before="105" w:after="105" w:lineRule="auto"/>
      </w:pPr>
      <w:r>
        <w:rPr>
          <w:rFonts w:eastAsia="inter" w:cs="inter" w:ascii="inter" w:hAnsi="inter"/>
          <w:color w:val="000000"/>
          <w:sz w:val="21"/>
        </w:rPr>
        <w:t xml:space="preserve">Israeli tech talent is expensive and scarce</w:t>
      </w:r>
    </w:p>
    <w:p>
      <w:pPr>
        <w:numPr>
          <w:ilvl w:val="0"/>
          <w:numId w:val="46"/>
        </w:numPr>
        <w:spacing w:line="360" w:before="105" w:after="105" w:lineRule="auto"/>
      </w:pPr>
      <w:r>
        <w:rPr>
          <w:rFonts w:eastAsia="inter" w:cs="inter" w:ascii="inter" w:hAnsi="inter"/>
          <w:color w:val="000000"/>
          <w:sz w:val="21"/>
        </w:rPr>
        <w:t xml:space="preserve">Accenture can deploy 700,000 global professionals; Matrix relies on ~12,500 employees</w:t>
      </w:r>
    </w:p>
    <w:p>
      <w:pPr>
        <w:numPr>
          <w:ilvl w:val="0"/>
          <w:numId w:val="46"/>
        </w:numPr>
        <w:spacing w:line="360" w:before="105" w:after="105" w:lineRule="auto"/>
      </w:pPr>
      <w:r>
        <w:rPr>
          <w:rFonts w:eastAsia="inter" w:cs="inter" w:ascii="inter" w:hAnsi="inter"/>
          <w:color w:val="000000"/>
          <w:sz w:val="21"/>
        </w:rPr>
        <w:t xml:space="preserve">For large transformations, Accenture's scale advantage is significant</w:t>
      </w:r>
    </w:p>
    <w:p>
      <w:pPr>
        <w:spacing w:line="360" w:after="210" w:lineRule="auto"/>
      </w:pPr>
      <w:r>
        <w:rPr>
          <w:rFonts w:eastAsia="inter" w:cs="inter" w:ascii="inter" w:hAnsi="inter"/>
          <w:b/>
          <w:color w:val="000000"/>
        </w:rPr>
        <w:t xml:space="preserve">5. Risk Reduction</w:t>
      </w:r>
    </w:p>
    <w:p>
      <w:pPr>
        <w:numPr>
          <w:ilvl w:val="0"/>
          <w:numId w:val="47"/>
        </w:numPr>
        <w:spacing w:line="360" w:before="105" w:after="105" w:lineRule="auto"/>
      </w:pPr>
      <w:r>
        <w:rPr>
          <w:rFonts w:eastAsia="inter" w:cs="inter" w:ascii="inter" w:hAnsi="inter"/>
          <w:color w:val="000000"/>
          <w:sz w:val="21"/>
        </w:rPr>
        <w:t xml:space="preserve">Responsible AI compliance pre-built (not custom)</w:t>
      </w:r>
    </w:p>
    <w:p>
      <w:pPr>
        <w:numPr>
          <w:ilvl w:val="0"/>
          <w:numId w:val="47"/>
        </w:numPr>
        <w:spacing w:line="360" w:before="105" w:after="105" w:lineRule="auto"/>
      </w:pPr>
      <w:r>
        <w:rPr>
          <w:rFonts w:eastAsia="inter" w:cs="inter" w:ascii="inter" w:hAnsi="inter"/>
          <w:color w:val="000000"/>
          <w:sz w:val="21"/>
        </w:rPr>
        <w:t xml:space="preserve">1,000+ prior client learnings embedded in methodologies</w:t>
      </w:r>
    </w:p>
    <w:p>
      <w:pPr>
        <w:numPr>
          <w:ilvl w:val="0"/>
          <w:numId w:val="47"/>
        </w:numPr>
        <w:spacing w:line="360" w:before="105" w:after="105" w:lineRule="auto"/>
      </w:pPr>
      <w:r>
        <w:rPr>
          <w:rFonts w:eastAsia="inter" w:cs="inter" w:ascii="inter" w:hAnsi="inter"/>
          <w:color w:val="000000"/>
          <w:sz w:val="21"/>
        </w:rPr>
        <w:t xml:space="preserve">Financial impact quantified upfront (10-22% improvement targets)</w:t>
      </w:r>
    </w:p>
    <w:p>
      <w:pPr>
        <w:numPr>
          <w:ilvl w:val="0"/>
          <w:numId w:val="47"/>
        </w:numPr>
        <w:spacing w:line="360" w:before="105" w:after="105" w:lineRule="auto"/>
      </w:pPr>
      <w:r>
        <w:rPr>
          <w:rFonts w:eastAsia="inter" w:cs="inter" w:ascii="inter" w:hAnsi="inter"/>
          <w:color w:val="000000"/>
          <w:sz w:val="21"/>
        </w:rPr>
        <w:t xml:space="preserve">Local Matrix lacks equivalent risk mitigation frameworks</w:t>
      </w:r>
    </w:p>
    <w:p>
      <w:pPr>
        <w:spacing w:line="360" w:before="315" w:after="105" w:lineRule="auto"/>
        <w:ind w:left="-30"/>
        <w:jc w:val="left"/>
      </w:pPr>
      <w:bookmarkStart w:id="97" w:name="premium_pricing_justified"/>
      <w:r>
        <w:rPr>
          <w:rFonts w:eastAsia="inter" w:cs="inter" w:ascii="inter" w:hAnsi="inter"/>
          <w:b/>
          <w:color w:val="000000"/>
          <w:sz w:val="24"/>
        </w:rPr>
        <w:t xml:space="preserve">Premium Pricing Justified</w:t>
      </w:r>
      <w:bookmarkEnd w:id="97"/>
    </w:p>
    <w:p>
      <w:pPr>
        <w:spacing w:line="360" w:after="210" w:lineRule="auto"/>
      </w:pPr>
      <w:r>
        <w:rPr>
          <w:rFonts w:eastAsia="inter" w:cs="inter" w:ascii="inter" w:hAnsi="inter"/>
          <w:b/>
          <w:color w:val="000000"/>
        </w:rPr>
        <w:t xml:space="preserve">Example scenario for an Israeli bank considering enterprise AI transformation: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 Component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Accenture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Matrix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Methodology/Strategy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$500K-$1M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Included in project (underspecified)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Technology Platform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$250K (AI Refinery license)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 (custom development)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Implementation Labor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$2-5M (globally sourced)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$1-3M (locally sourced)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Responsible AI Governance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$200K (pre-built program)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$100K+ (custom)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Change Management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$500K (standardized)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$150-300K (ad-hoc)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Post-implementation Support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$300K/year (continuous)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$100K/year (reactive)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Total Engagement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$4-8M over 2 years</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$2-4.5M over 2 years</w:t>
            </w:r>
          </w:p>
        </w:tc>
      </w:tr>
    </w:tbl>
    <w:p>
      <w:pPr>
        <w:spacing w:lineRule="auto"/>
      </w:pPr>
    </w:p>
    <w:p>
      <w:pPr>
        <w:spacing w:line="360" w:after="210" w:lineRule="auto"/>
      </w:pPr>
      <w:r>
        <w:rPr>
          <w:rFonts w:eastAsia="inter" w:cs="inter" w:ascii="inter" w:hAnsi="inter"/>
          <w:b/>
          <w:color w:val="000000"/>
        </w:rPr>
        <w:t xml:space="preserve">ROI Calculation for Israeli Bank:</w:t>
      </w:r>
    </w:p>
    <w:p>
      <w:pPr>
        <w:numPr>
          <w:ilvl w:val="0"/>
          <w:numId w:val="48"/>
        </w:numPr>
        <w:spacing w:line="360" w:before="105" w:after="105" w:lineRule="auto"/>
      </w:pPr>
      <w:r>
        <w:rPr>
          <w:rFonts w:eastAsia="inter" w:cs="inter" w:ascii="inter" w:hAnsi="inter"/>
          <w:color w:val="000000"/>
          <w:sz w:val="21"/>
        </w:rPr>
        <w:t xml:space="preserve">Accenture: $4M investment → $200M+ efficiency gains (50:1 ROI)</w:t>
      </w:r>
    </w:p>
    <w:p>
      <w:pPr>
        <w:numPr>
          <w:ilvl w:val="0"/>
          <w:numId w:val="48"/>
        </w:numPr>
        <w:spacing w:line="360" w:before="105" w:after="105" w:lineRule="auto"/>
      </w:pPr>
      <w:r>
        <w:rPr>
          <w:rFonts w:eastAsia="inter" w:cs="inter" w:ascii="inter" w:hAnsi="inter"/>
          <w:color w:val="000000"/>
          <w:sz w:val="21"/>
        </w:rPr>
        <w:t xml:space="preserve">Matrix: $2.5M investment → $50-100M efficiency gains (20-40:1 ROI)</w:t>
      </w:r>
    </w:p>
    <w:p>
      <w:pPr>
        <w:spacing w:line="360" w:after="210" w:lineRule="auto"/>
      </w:pPr>
      <w:r>
        <w:rPr>
          <w:rFonts w:eastAsia="inter" w:cs="inter" w:ascii="inter" w:hAnsi="inter"/>
          <w:b/>
          <w:color w:val="000000"/>
        </w:rPr>
        <w:t xml:space="preserve">Accenture's advantage:</w:t>
      </w:r>
      <w:r>
        <w:rPr>
          <w:rFonts w:eastAsia="inter" w:cs="inter" w:ascii="inter" w:hAnsi="inter"/>
          <w:color w:val="000000"/>
        </w:rPr>
        <w:t xml:space="preserve"> Even at 2x cost, the superior methodology and speed justify premium pricing through </w:t>
      </w:r>
      <w:r>
        <w:rPr>
          <w:rFonts w:eastAsia="inter" w:cs="inter" w:ascii="inter" w:hAnsi="inter"/>
          <w:b/>
          <w:color w:val="000000"/>
        </w:rPr>
        <w:t xml:space="preserve">faster value realization</w:t>
      </w:r>
      <w:r>
        <w:rPr>
          <w:rFonts w:eastAsia="inter" w:cs="inter" w:ascii="inter" w:hAnsi="inter"/>
          <w:color w:val="000000"/>
        </w:rPr>
        <w:t xml:space="preserve"> and </w:t>
      </w:r>
      <w:r>
        <w:rPr>
          <w:rFonts w:eastAsia="inter" w:cs="inter" w:ascii="inter" w:hAnsi="inter"/>
          <w:b/>
          <w:color w:val="000000"/>
        </w:rPr>
        <w:t xml:space="preserve">risk reduction</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8" w:name="part_9_the_strategic_moats_what_c_b88afa"/>
      <w:r>
        <w:rPr>
          <w:rFonts w:eastAsia="inter" w:cs="inter" w:ascii="inter" w:hAnsi="inter"/>
          <w:b/>
          <w:color w:val="000000"/>
          <w:sz w:val="24"/>
        </w:rPr>
        <w:t xml:space="preserve">Part 9: The Strategic Moats – What Competitors Cannot Easily Replicate</w:t>
      </w:r>
      <w:bookmarkEnd w:id="98"/>
    </w:p>
    <w:p>
      <w:pPr>
        <w:spacing w:line="360" w:before="315" w:after="105" w:lineRule="auto"/>
        <w:ind w:left="-30"/>
        <w:jc w:val="left"/>
      </w:pPr>
      <w:bookmarkStart w:id="99" w:name="moat_1_the_branded_methodology"/>
      <w:r>
        <w:rPr>
          <w:rFonts w:eastAsia="inter" w:cs="inter" w:ascii="inter" w:hAnsi="inter"/>
          <w:b/>
          <w:color w:val="000000"/>
          <w:sz w:val="24"/>
        </w:rPr>
        <w:t xml:space="preserve">Moat 1: The Branded Methodology</w:t>
      </w:r>
      <w:bookmarkEnd w:id="99"/>
    </w:p>
    <w:p>
      <w:pPr>
        <w:spacing w:line="360" w:after="210" w:lineRule="auto"/>
      </w:pPr>
      <w:r>
        <w:rPr>
          <w:rFonts w:eastAsia="inter" w:cs="inter" w:ascii="inter" w:hAnsi="inter"/>
          <w:b/>
          <w:color w:val="000000"/>
        </w:rPr>
        <w:t xml:space="preserve">Total Enterprise Reinvention</w:t>
      </w:r>
      <w:r>
        <w:rPr>
          <w:rFonts w:eastAsia="inter" w:cs="inter" w:ascii="inter" w:hAnsi="inter"/>
          <w:color w:val="000000"/>
        </w:rPr>
        <w:t xml:space="preserve"> is not a proprietary technology but a </w:t>
      </w:r>
      <w:r>
        <w:rPr>
          <w:rFonts w:eastAsia="inter" w:cs="inter" w:ascii="inter" w:hAnsi="inter"/>
          <w:b/>
          <w:color w:val="000000"/>
        </w:rPr>
        <w:t xml:space="preserve">strategic framework</w:t>
      </w:r>
      <w:r>
        <w:rPr>
          <w:rFonts w:eastAsia="inter" w:cs="inter" w:ascii="inter" w:hAnsi="inter"/>
          <w:color w:val="000000"/>
        </w:rPr>
        <w:t xml:space="preserve">. It is difficult to replicate because it requires:</w:t>
      </w:r>
    </w:p>
    <w:p>
      <w:pPr>
        <w:numPr>
          <w:ilvl w:val="0"/>
          <w:numId w:val="49"/>
        </w:numPr>
        <w:spacing w:line="360" w:before="105" w:after="105" w:lineRule="auto"/>
      </w:pPr>
      <w:r>
        <w:rPr>
          <w:rFonts w:eastAsia="inter" w:cs="inter" w:ascii="inter" w:hAnsi="inter"/>
          <w:b/>
          <w:color w:val="000000"/>
          <w:sz w:val="21"/>
        </w:rPr>
        <w:t xml:space="preserve">Quantified Research</w:t>
      </w:r>
      <w:r>
        <w:rPr>
          <w:rFonts w:eastAsia="inter" w:cs="inter" w:ascii="inter" w:hAnsi="inter"/>
          <w:color w:val="000000"/>
          <w:sz w:val="21"/>
        </w:rPr>
        <w:t xml:space="preserve"> (1,516 C-suite executives, global)</w:t>
      </w:r>
    </w:p>
    <w:p>
      <w:pPr>
        <w:numPr>
          <w:ilvl w:val="0"/>
          <w:numId w:val="49"/>
        </w:numPr>
        <w:spacing w:line="360" w:before="105" w:after="105" w:lineRule="auto"/>
      </w:pPr>
      <w:r>
        <w:rPr>
          <w:rFonts w:eastAsia="inter" w:cs="inter" w:ascii="inter" w:hAnsi="inter"/>
          <w:b/>
          <w:color w:val="000000"/>
          <w:sz w:val="21"/>
        </w:rPr>
        <w:t xml:space="preserve">Executive Buy-in</w:t>
      </w:r>
      <w:r>
        <w:rPr>
          <w:rFonts w:eastAsia="inter" w:cs="inter" w:ascii="inter" w:hAnsi="inter"/>
          <w:color w:val="000000"/>
          <w:sz w:val="21"/>
        </w:rPr>
        <w:t xml:space="preserve"> (CEO/board must endorse as core strategy)</w:t>
      </w:r>
    </w:p>
    <w:p>
      <w:pPr>
        <w:numPr>
          <w:ilvl w:val="0"/>
          <w:numId w:val="49"/>
        </w:numPr>
        <w:spacing w:line="360" w:before="105" w:after="105" w:lineRule="auto"/>
      </w:pPr>
      <w:r>
        <w:rPr>
          <w:rFonts w:eastAsia="inter" w:cs="inter" w:ascii="inter" w:hAnsi="inter"/>
          <w:b/>
          <w:color w:val="000000"/>
          <w:sz w:val="21"/>
        </w:rPr>
        <w:t xml:space="preserve">Consistent Deployment</w:t>
      </w:r>
      <w:r>
        <w:rPr>
          <w:rFonts w:eastAsia="inter" w:cs="inter" w:ascii="inter" w:hAnsi="inter"/>
          <w:color w:val="000000"/>
          <w:sz w:val="21"/>
        </w:rPr>
        <w:t xml:space="preserve"> (100,000 professionals trained)</w:t>
      </w:r>
    </w:p>
    <w:p>
      <w:pPr>
        <w:numPr>
          <w:ilvl w:val="0"/>
          <w:numId w:val="49"/>
        </w:numPr>
        <w:spacing w:line="360" w:before="105" w:after="105" w:lineRule="auto"/>
      </w:pPr>
      <w:r>
        <w:rPr>
          <w:rFonts w:eastAsia="inter" w:cs="inter" w:ascii="inter" w:hAnsi="inter"/>
          <w:b/>
          <w:color w:val="000000"/>
          <w:sz w:val="21"/>
        </w:rPr>
        <w:t xml:space="preserve">Case Studies</w:t>
      </w:r>
      <w:r>
        <w:rPr>
          <w:rFonts w:eastAsia="inter" w:cs="inter" w:ascii="inter" w:hAnsi="inter"/>
          <w:color w:val="000000"/>
          <w:sz w:val="21"/>
        </w:rPr>
        <w:t xml:space="preserve"> (BBVA, Best Buy, SDAIA, Siam Bank)</w:t>
      </w:r>
    </w:p>
    <w:p>
      <w:pPr>
        <w:numPr>
          <w:ilvl w:val="0"/>
          <w:numId w:val="49"/>
        </w:numPr>
        <w:spacing w:line="360" w:before="105" w:after="105" w:lineRule="auto"/>
      </w:pPr>
      <w:r>
        <w:rPr>
          <w:rFonts w:eastAsia="inter" w:cs="inter" w:ascii="inter" w:hAnsi="inter"/>
          <w:b/>
          <w:color w:val="000000"/>
          <w:sz w:val="21"/>
        </w:rPr>
        <w:t xml:space="preserve">Market Positioning</w:t>
      </w:r>
      <w:r>
        <w:rPr>
          <w:rFonts w:eastAsia="inter" w:cs="inter" w:ascii="inter" w:hAnsi="inter"/>
          <w:color w:val="000000"/>
          <w:sz w:val="21"/>
        </w:rPr>
        <w:t xml:space="preserve"> (3+ years of brand-building)</w:t>
      </w:r>
    </w:p>
    <w:p>
      <w:pPr>
        <w:spacing w:line="360" w:after="210" w:lineRule="auto"/>
      </w:pPr>
      <w:r>
        <w:rPr>
          <w:rFonts w:eastAsia="inter" w:cs="inter" w:ascii="inter" w:hAnsi="inter"/>
          <w:color w:val="000000"/>
        </w:rPr>
        <w:t xml:space="preserve">Competitors cannot simply copy this; they would need equivalent research, case studies, and brand investment. By the time they build comparable frameworks, Accenture will have evolved (as with AI Refinery).</w:t>
      </w:r>
    </w:p>
    <w:p>
      <w:pPr>
        <w:spacing w:line="360" w:before="315" w:after="105" w:lineRule="auto"/>
        <w:ind w:left="-30"/>
        <w:jc w:val="left"/>
      </w:pPr>
      <w:bookmarkStart w:id="100" w:name="moat_2_proprietary_platforms_with_631f95"/>
      <w:r>
        <w:rPr>
          <w:rFonts w:eastAsia="inter" w:cs="inter" w:ascii="inter" w:hAnsi="inter"/>
          <w:b/>
          <w:color w:val="000000"/>
          <w:sz w:val="24"/>
        </w:rPr>
        <w:t xml:space="preserve">Moat 2: Proprietary Platforms with Switching Costs</w:t>
      </w:r>
      <w:bookmarkEnd w:id="100"/>
    </w:p>
    <w:p>
      <w:pPr>
        <w:spacing w:line="360" w:after="210" w:lineRule="auto"/>
      </w:pPr>
      <w:r>
        <w:rPr>
          <w:rFonts w:eastAsia="inter" w:cs="inter" w:ascii="inter" w:hAnsi="inter"/>
          <w:b/>
          <w:color w:val="000000"/>
        </w:rPr>
        <w:t xml:space="preserve">AI Refinery, SynOps, and myWizard</w:t>
      </w:r>
      <w:r>
        <w:rPr>
          <w:rFonts w:eastAsia="inter" w:cs="inter" w:ascii="inter" w:hAnsi="inter"/>
          <w:color w:val="000000"/>
        </w:rPr>
        <w:t xml:space="preserve"> create switching costs:</w:t>
      </w:r>
    </w:p>
    <w:p>
      <w:pPr>
        <w:numPr>
          <w:ilvl w:val="0"/>
          <w:numId w:val="50"/>
        </w:numPr>
        <w:spacing w:line="360" w:before="105" w:after="105" w:lineRule="auto"/>
      </w:pPr>
      <w:r>
        <w:rPr>
          <w:rFonts w:eastAsia="inter" w:cs="inter" w:ascii="inter" w:hAnsi="inter"/>
          <w:color w:val="000000"/>
          <w:sz w:val="21"/>
        </w:rPr>
        <w:t xml:space="preserve">Once deployed in a client's environment, they become central to operations</w:t>
      </w:r>
    </w:p>
    <w:p>
      <w:pPr>
        <w:numPr>
          <w:ilvl w:val="0"/>
          <w:numId w:val="50"/>
        </w:numPr>
        <w:spacing w:line="360" w:before="105" w:after="105" w:lineRule="auto"/>
      </w:pPr>
      <w:r>
        <w:rPr>
          <w:rFonts w:eastAsia="inter" w:cs="inter" w:ascii="inter" w:hAnsi="inter"/>
          <w:color w:val="000000"/>
          <w:sz w:val="21"/>
        </w:rPr>
        <w:t xml:space="preserve">They are integrated with client data, workflows, and governance</w:t>
      </w:r>
    </w:p>
    <w:p>
      <w:pPr>
        <w:numPr>
          <w:ilvl w:val="0"/>
          <w:numId w:val="50"/>
        </w:numPr>
        <w:spacing w:line="360" w:before="105" w:after="105" w:lineRule="auto"/>
      </w:pPr>
      <w:r>
        <w:rPr>
          <w:rFonts w:eastAsia="inter" w:cs="inter" w:ascii="inter" w:hAnsi="inter"/>
          <w:color w:val="000000"/>
          <w:sz w:val="21"/>
        </w:rPr>
        <w:t xml:space="preserve">Migrating to a competitor's platform would require significant rework</w:t>
      </w:r>
    </w:p>
    <w:p>
      <w:pPr>
        <w:numPr>
          <w:ilvl w:val="0"/>
          <w:numId w:val="50"/>
        </w:numPr>
        <w:spacing w:line="360" w:before="105" w:after="105" w:lineRule="auto"/>
      </w:pPr>
      <w:r>
        <w:rPr>
          <w:rFonts w:eastAsia="inter" w:cs="inter" w:ascii="inter" w:hAnsi="inter"/>
          <w:color w:val="000000"/>
          <w:sz w:val="21"/>
        </w:rPr>
        <w:t xml:space="preserve">Clients become locked into Accenture's ecosystem for ongoing enhancements</w:t>
      </w:r>
    </w:p>
    <w:p>
      <w:pPr>
        <w:spacing w:line="360" w:after="210" w:lineRule="auto"/>
      </w:pPr>
      <w:r>
        <w:rPr>
          <w:rFonts w:eastAsia="inter" w:cs="inter" w:ascii="inter" w:hAnsi="inter"/>
          <w:color w:val="000000"/>
        </w:rPr>
        <w:t xml:space="preserve">Traditional IT integrators cannot replicate this without 5+ years of internal platform development and testing.</w:t>
      </w:r>
    </w:p>
    <w:p>
      <w:pPr>
        <w:spacing w:line="360" w:before="315" w:after="105" w:lineRule="auto"/>
        <w:ind w:left="-30"/>
        <w:jc w:val="left"/>
      </w:pPr>
      <w:bookmarkStart w:id="101" w:name="moat_3_talent_at_scale"/>
      <w:r>
        <w:rPr>
          <w:rFonts w:eastAsia="inter" w:cs="inter" w:ascii="inter" w:hAnsi="inter"/>
          <w:b/>
          <w:color w:val="000000"/>
          <w:sz w:val="24"/>
        </w:rPr>
        <w:t xml:space="preserve">Moat 3: Talent at Scale</w:t>
      </w:r>
      <w:bookmarkEnd w:id="101"/>
    </w:p>
    <w:p>
      <w:pPr>
        <w:spacing w:line="360" w:after="210" w:lineRule="auto"/>
      </w:pPr>
      <w:r>
        <w:rPr>
          <w:rFonts w:eastAsia="inter" w:cs="inter" w:ascii="inter" w:hAnsi="inter"/>
          <w:b/>
          <w:color w:val="000000"/>
        </w:rPr>
        <w:t xml:space="preserve">700,000 trained professionals</w:t>
      </w:r>
      <w:r>
        <w:rPr>
          <w:rFonts w:eastAsia="inter" w:cs="inter" w:ascii="inter" w:hAnsi="inter"/>
          <w:color w:val="000000"/>
        </w:rPr>
        <w:t xml:space="preserve"> across 120+ countries is a competitive advantage that:</w:t>
      </w:r>
    </w:p>
    <w:p>
      <w:pPr>
        <w:numPr>
          <w:ilvl w:val="0"/>
          <w:numId w:val="51"/>
        </w:numPr>
        <w:spacing w:line="360" w:before="105" w:after="105" w:lineRule="auto"/>
      </w:pPr>
      <w:r>
        <w:rPr>
          <w:rFonts w:eastAsia="inter" w:cs="inter" w:ascii="inter" w:hAnsi="inter"/>
          <w:color w:val="000000"/>
          <w:sz w:val="21"/>
        </w:rPr>
        <w:t xml:space="preserve">Enables simultaneous deployment across multiple client initiatives</w:t>
      </w:r>
    </w:p>
    <w:p>
      <w:pPr>
        <w:numPr>
          <w:ilvl w:val="0"/>
          <w:numId w:val="51"/>
        </w:numPr>
        <w:spacing w:line="360" w:before="105" w:after="105" w:lineRule="auto"/>
      </w:pPr>
      <w:r>
        <w:rPr>
          <w:rFonts w:eastAsia="inter" w:cs="inter" w:ascii="inter" w:hAnsi="inter"/>
          <w:color w:val="000000"/>
          <w:sz w:val="21"/>
        </w:rPr>
        <w:t xml:space="preserve">Provides backup talent if key individuals leave (competitors may have key-person risks)</w:t>
      </w:r>
    </w:p>
    <w:p>
      <w:pPr>
        <w:numPr>
          <w:ilvl w:val="0"/>
          <w:numId w:val="51"/>
        </w:numPr>
        <w:spacing w:line="360" w:before="105" w:after="105" w:lineRule="auto"/>
      </w:pPr>
      <w:r>
        <w:rPr>
          <w:rFonts w:eastAsia="inter" w:cs="inter" w:ascii="inter" w:hAnsi="inter"/>
          <w:color w:val="000000"/>
          <w:sz w:val="21"/>
        </w:rPr>
        <w:t xml:space="preserve">Justifies R&amp;D investment in tools like AI Refinery (amortized across 700K users)</w:t>
      </w:r>
    </w:p>
    <w:p>
      <w:pPr>
        <w:numPr>
          <w:ilvl w:val="0"/>
          <w:numId w:val="51"/>
        </w:numPr>
        <w:spacing w:line="360" w:before="105" w:after="105" w:lineRule="auto"/>
      </w:pPr>
      <w:r>
        <w:rPr>
          <w:rFonts w:eastAsia="inter" w:cs="inter" w:ascii="inter" w:hAnsi="inter"/>
          <w:color w:val="000000"/>
          <w:sz w:val="21"/>
        </w:rPr>
        <w:t xml:space="preserve">Creates network effects (knowledge transfer across 700K professionals accelerates innovation)</w:t>
      </w:r>
    </w:p>
    <w:p>
      <w:pPr>
        <w:spacing w:line="360" w:after="210" w:lineRule="auto"/>
      </w:pPr>
      <w:r>
        <w:rPr>
          <w:rFonts w:eastAsia="inter" w:cs="inter" w:ascii="inter" w:hAnsi="inter"/>
          <w:color w:val="000000"/>
        </w:rPr>
        <w:t xml:space="preserve">Matrix (12,500 employees) or even TCS (485,000 employees but more IT-services focused) cannot match this scale in AI-trained talent.</w:t>
      </w:r>
    </w:p>
    <w:p>
      <w:pPr>
        <w:spacing w:line="360" w:before="315" w:after="105" w:lineRule="auto"/>
        <w:ind w:left="-30"/>
        <w:jc w:val="left"/>
      </w:pPr>
      <w:bookmarkStart w:id="102" w:name="moat_4_ecosystem_integration"/>
      <w:r>
        <w:rPr>
          <w:rFonts w:eastAsia="inter" w:cs="inter" w:ascii="inter" w:hAnsi="inter"/>
          <w:b/>
          <w:color w:val="000000"/>
          <w:sz w:val="24"/>
        </w:rPr>
        <w:t xml:space="preserve">Moat 4: Ecosystem Integration</w:t>
      </w:r>
      <w:bookmarkEnd w:id="102"/>
    </w:p>
    <w:p>
      <w:pPr>
        <w:spacing w:line="360" w:after="210" w:lineRule="auto"/>
      </w:pPr>
      <w:r>
        <w:rPr>
          <w:rFonts w:eastAsia="inter" w:cs="inter" w:ascii="inter" w:hAnsi="inter"/>
          <w:color w:val="000000"/>
        </w:rPr>
        <w:t xml:space="preserve">Accenture's partnerships with NVIDIA, hyperscalers, and model providers give it early access to:</w:t>
      </w:r>
    </w:p>
    <w:p>
      <w:pPr>
        <w:numPr>
          <w:ilvl w:val="0"/>
          <w:numId w:val="52"/>
        </w:numPr>
        <w:spacing w:line="360" w:before="105" w:after="105" w:lineRule="auto"/>
      </w:pPr>
      <w:r>
        <w:rPr>
          <w:rFonts w:eastAsia="inter" w:cs="inter" w:ascii="inter" w:hAnsi="inter"/>
          <w:color w:val="000000"/>
          <w:sz w:val="21"/>
        </w:rPr>
        <w:t xml:space="preserve">New generative AI capabilities</w:t>
      </w:r>
    </w:p>
    <w:p>
      <w:pPr>
        <w:numPr>
          <w:ilvl w:val="0"/>
          <w:numId w:val="52"/>
        </w:numPr>
        <w:spacing w:line="360" w:before="105" w:after="105" w:lineRule="auto"/>
      </w:pPr>
      <w:r>
        <w:rPr>
          <w:rFonts w:eastAsia="inter" w:cs="inter" w:ascii="inter" w:hAnsi="inter"/>
          <w:color w:val="000000"/>
          <w:sz w:val="21"/>
        </w:rPr>
        <w:t xml:space="preserve">Preferred pricing and support</w:t>
      </w:r>
    </w:p>
    <w:p>
      <w:pPr>
        <w:numPr>
          <w:ilvl w:val="0"/>
          <w:numId w:val="52"/>
        </w:numPr>
        <w:spacing w:line="360" w:before="105" w:after="105" w:lineRule="auto"/>
      </w:pPr>
      <w:r>
        <w:rPr>
          <w:rFonts w:eastAsia="inter" w:cs="inter" w:ascii="inter" w:hAnsi="inter"/>
          <w:color w:val="000000"/>
          <w:sz w:val="21"/>
        </w:rPr>
        <w:t xml:space="preserve">Joint go-to-market programs</w:t>
      </w:r>
    </w:p>
    <w:p>
      <w:pPr>
        <w:numPr>
          <w:ilvl w:val="0"/>
          <w:numId w:val="52"/>
        </w:numPr>
        <w:spacing w:line="360" w:before="105" w:after="105" w:lineRule="auto"/>
      </w:pPr>
      <w:r>
        <w:rPr>
          <w:rFonts w:eastAsia="inter" w:cs="inter" w:ascii="inter" w:hAnsi="inter"/>
          <w:color w:val="000000"/>
          <w:sz w:val="21"/>
        </w:rPr>
        <w:t xml:space="preserve">Influence on product roadmaps</w:t>
      </w:r>
    </w:p>
    <w:p>
      <w:pPr>
        <w:spacing w:line="360" w:after="210" w:lineRule="auto"/>
      </w:pPr>
      <w:r>
        <w:rPr>
          <w:rFonts w:eastAsia="inter" w:cs="inter" w:ascii="inter" w:hAnsi="inter"/>
          <w:color w:val="000000"/>
        </w:rPr>
        <w:t xml:space="preserve">Competitors starting from scratch would need years to build equivalent relationships.</w:t>
      </w:r>
    </w:p>
    <w:p>
      <w:pPr>
        <w:spacing w:line="360" w:before="315" w:after="105" w:lineRule="auto"/>
        <w:ind w:left="-30"/>
        <w:jc w:val="left"/>
      </w:pPr>
      <w:bookmarkStart w:id="103" w:name="moat_5_continuous_reinvention_of_6f50a9"/>
      <w:r>
        <w:rPr>
          <w:rFonts w:eastAsia="inter" w:cs="inter" w:ascii="inter" w:hAnsi="inter"/>
          <w:b/>
          <w:color w:val="000000"/>
          <w:sz w:val="24"/>
        </w:rPr>
        <w:t xml:space="preserve">Moat 5: Continuous Reinvention of Offerings</w:t>
      </w:r>
      <w:bookmarkEnd w:id="103"/>
    </w:p>
    <w:p>
      <w:pPr>
        <w:spacing w:line="360" w:after="210" w:lineRule="auto"/>
      </w:pPr>
      <w:r>
        <w:rPr>
          <w:rFonts w:eastAsia="inter" w:cs="inter" w:ascii="inter" w:hAnsi="inter"/>
          <w:color w:val="000000"/>
        </w:rPr>
        <w:t xml:space="preserve">Accenture is not static. Examples of recent evolution:</w:t>
      </w:r>
    </w:p>
    <w:p>
      <w:pPr>
        <w:numPr>
          <w:ilvl w:val="0"/>
          <w:numId w:val="53"/>
        </w:numPr>
        <w:spacing w:line="360" w:before="105" w:after="105" w:lineRule="auto"/>
      </w:pPr>
      <w:r>
        <w:rPr>
          <w:rFonts w:eastAsia="inter" w:cs="inter" w:ascii="inter" w:hAnsi="inter"/>
          <w:color w:val="000000"/>
          <w:sz w:val="21"/>
        </w:rPr>
        <w:t xml:space="preserve">AI Navigator for Enterprise (2023): GenAI-based platform for AI journey navigation</w:t>
      </w:r>
    </w:p>
    <w:p>
      <w:pPr>
        <w:numPr>
          <w:ilvl w:val="0"/>
          <w:numId w:val="53"/>
        </w:numPr>
        <w:spacing w:line="360" w:before="105" w:after="105" w:lineRule="auto"/>
      </w:pPr>
      <w:r>
        <w:rPr>
          <w:rFonts w:eastAsia="inter" w:cs="inter" w:ascii="inter" w:hAnsi="inter"/>
          <w:color w:val="000000"/>
          <w:sz w:val="21"/>
        </w:rPr>
        <w:t xml:space="preserve">AI Refinery Distiller (2025): Agentic AI framework for scalable industry solutions</w:t>
      </w:r>
    </w:p>
    <w:p>
      <w:pPr>
        <w:numPr>
          <w:ilvl w:val="0"/>
          <w:numId w:val="53"/>
        </w:numPr>
        <w:spacing w:line="360" w:before="105" w:after="105" w:lineRule="auto"/>
      </w:pPr>
      <w:r>
        <w:rPr>
          <w:rFonts w:eastAsia="inter" w:cs="inter" w:ascii="inter" w:hAnsi="inter"/>
          <w:color w:val="000000"/>
          <w:sz w:val="21"/>
        </w:rPr>
        <w:t xml:space="preserve">Physical AI SDKs (2025): Real-world signal processing for manufacturing/logistics</w:t>
      </w:r>
    </w:p>
    <w:p>
      <w:pPr>
        <w:numPr>
          <w:ilvl w:val="0"/>
          <w:numId w:val="53"/>
        </w:numPr>
        <w:spacing w:line="360" w:before="105" w:after="105" w:lineRule="auto"/>
      </w:pPr>
      <w:r>
        <w:rPr>
          <w:rFonts w:eastAsia="inter" w:cs="inter" w:ascii="inter" w:hAnsi="inter"/>
          <w:color w:val="000000"/>
          <w:sz w:val="21"/>
        </w:rPr>
        <w:t xml:space="preserve">Responsible AI compliance tools (2025): Automatic retraining when compliance policies change</w:t>
      </w:r>
    </w:p>
    <w:p>
      <w:pPr>
        <w:spacing w:line="360" w:after="210" w:lineRule="auto"/>
      </w:pPr>
      <w:r>
        <w:rPr>
          <w:rFonts w:eastAsia="inter" w:cs="inter" w:ascii="inter" w:hAnsi="inter"/>
          <w:color w:val="000000"/>
        </w:rPr>
        <w:t xml:space="preserve">Each release consolidates learning from 1,000s of client engagements, creating a flywheel that competitors struggle to match.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4" w:name="conclusion_why_accenture_wins_des_ccf9c2"/>
      <w:r>
        <w:rPr>
          <w:rFonts w:eastAsia="inter" w:cs="inter" w:ascii="inter" w:hAnsi="inter"/>
          <w:b/>
          <w:color w:val="000000"/>
          <w:sz w:val="24"/>
        </w:rPr>
        <w:t xml:space="preserve">Conclusion: Why Accenture Wins Despite Higher Costs</w:t>
      </w:r>
      <w:bookmarkEnd w:id="104"/>
    </w:p>
    <w:p>
      <w:pPr>
        <w:spacing w:line="360" w:after="210" w:lineRule="auto"/>
      </w:pPr>
      <w:r>
        <w:rPr>
          <w:rFonts w:eastAsia="inter" w:cs="inter" w:ascii="inter" w:hAnsi="inter"/>
          <w:color w:val="000000"/>
        </w:rPr>
        <w:t xml:space="preserve">Accenture's strategic positioning is not based on technology superiority or cost leadership. Instead, it succeeds through:</w:t>
      </w:r>
    </w:p>
    <w:p>
      <w:pPr>
        <w:numPr>
          <w:ilvl w:val="0"/>
          <w:numId w:val="54"/>
        </w:numPr>
        <w:spacing w:line="360" w:before="105" w:after="105" w:lineRule="auto"/>
      </w:pPr>
      <w:r>
        <w:rPr>
          <w:rFonts w:eastAsia="inter" w:cs="inter" w:ascii="inter" w:hAnsi="inter"/>
          <w:b/>
          <w:color w:val="000000"/>
          <w:sz w:val="21"/>
        </w:rPr>
        <w:t xml:space="preserve">Strategic Framing</w:t>
      </w:r>
      <w:r>
        <w:rPr>
          <w:rFonts w:eastAsia="inter" w:cs="inter" w:ascii="inter" w:hAnsi="inter"/>
          <w:color w:val="000000"/>
          <w:sz w:val="21"/>
        </w:rPr>
        <w:t xml:space="preserve">: Rebranding enterprise transformation as "reinvention," elevating the conversation from CIO to CEO level</w:t>
      </w:r>
    </w:p>
    <w:p>
      <w:pPr>
        <w:numPr>
          <w:ilvl w:val="0"/>
          <w:numId w:val="54"/>
        </w:numPr>
        <w:spacing w:line="360" w:before="105" w:after="105" w:lineRule="auto"/>
      </w:pPr>
      <w:r>
        <w:rPr>
          <w:rFonts w:eastAsia="inter" w:cs="inter" w:ascii="inter" w:hAnsi="inter"/>
          <w:b/>
          <w:color w:val="000000"/>
          <w:sz w:val="21"/>
        </w:rPr>
        <w:t xml:space="preserve">Proprietary Platforms</w:t>
      </w:r>
      <w:r>
        <w:rPr>
          <w:rFonts w:eastAsia="inter" w:cs="inter" w:ascii="inter" w:hAnsi="inter"/>
          <w:color w:val="000000"/>
          <w:sz w:val="21"/>
        </w:rPr>
        <w:t xml:space="preserve">: AI Refinery, SynOps, myWizard encode organizational learning and create switching costs</w:t>
      </w:r>
    </w:p>
    <w:p>
      <w:pPr>
        <w:numPr>
          <w:ilvl w:val="0"/>
          <w:numId w:val="54"/>
        </w:numPr>
        <w:spacing w:line="360" w:before="105" w:after="105" w:lineRule="auto"/>
      </w:pPr>
      <w:r>
        <w:rPr>
          <w:rFonts w:eastAsia="inter" w:cs="inter" w:ascii="inter" w:hAnsi="inter"/>
          <w:b/>
          <w:color w:val="000000"/>
          <w:sz w:val="21"/>
        </w:rPr>
        <w:t xml:space="preserve">Industrialized Delivery</w:t>
      </w:r>
      <w:r>
        <w:rPr>
          <w:rFonts w:eastAsia="inter" w:cs="inter" w:ascii="inter" w:hAnsi="inter"/>
          <w:color w:val="000000"/>
          <w:sz w:val="21"/>
        </w:rPr>
        <w:t xml:space="preserve">: Using platforms to reduce delivery costs while maintaining premium pricing</w:t>
      </w:r>
    </w:p>
    <w:p>
      <w:pPr>
        <w:numPr>
          <w:ilvl w:val="0"/>
          <w:numId w:val="54"/>
        </w:numPr>
        <w:spacing w:line="360" w:before="105" w:after="105" w:lineRule="auto"/>
      </w:pPr>
      <w:r>
        <w:rPr>
          <w:rFonts w:eastAsia="inter" w:cs="inter" w:ascii="inter" w:hAnsi="inter"/>
          <w:b/>
          <w:color w:val="000000"/>
          <w:sz w:val="21"/>
        </w:rPr>
        <w:t xml:space="preserve">Talent at Scale</w:t>
      </w:r>
      <w:r>
        <w:rPr>
          <w:rFonts w:eastAsia="inter" w:cs="inter" w:ascii="inter" w:hAnsi="inter"/>
          <w:color w:val="000000"/>
          <w:sz w:val="21"/>
        </w:rPr>
        <w:t xml:space="preserve">: 700,000 trained professionals enable speed and scope competitors cannot match</w:t>
      </w:r>
    </w:p>
    <w:p>
      <w:pPr>
        <w:numPr>
          <w:ilvl w:val="0"/>
          <w:numId w:val="54"/>
        </w:numPr>
        <w:spacing w:line="360" w:before="105" w:after="105" w:lineRule="auto"/>
      </w:pPr>
      <w:r>
        <w:rPr>
          <w:rFonts w:eastAsia="inter" w:cs="inter" w:ascii="inter" w:hAnsi="inter"/>
          <w:b/>
          <w:color w:val="000000"/>
          <w:sz w:val="21"/>
        </w:rPr>
        <w:t xml:space="preserve">Responsible AI Leadership</w:t>
      </w:r>
      <w:r>
        <w:rPr>
          <w:rFonts w:eastAsia="inter" w:cs="inter" w:ascii="inter" w:hAnsi="inter"/>
          <w:color w:val="000000"/>
          <w:sz w:val="21"/>
        </w:rPr>
        <w:t xml:space="preserve">: Offering governance frameworks competitors are still building</w:t>
      </w:r>
    </w:p>
    <w:p>
      <w:pPr>
        <w:numPr>
          <w:ilvl w:val="0"/>
          <w:numId w:val="54"/>
        </w:numPr>
        <w:spacing w:line="360" w:before="105" w:after="105" w:lineRule="auto"/>
      </w:pPr>
      <w:r>
        <w:rPr>
          <w:rFonts w:eastAsia="inter" w:cs="inter" w:ascii="inter" w:hAnsi="inter"/>
          <w:b/>
          <w:color w:val="000000"/>
          <w:sz w:val="21"/>
        </w:rPr>
        <w:t xml:space="preserve">Israeli Market Credibility</w:t>
      </w:r>
      <w:r>
        <w:rPr>
          <w:rFonts w:eastAsia="inter" w:cs="inter" w:ascii="inter" w:hAnsi="inter"/>
          <w:color w:val="000000"/>
          <w:sz w:val="21"/>
        </w:rPr>
        <w:t xml:space="preserve">: Maglan + Cyber R&amp;D Lab position Accenture as a security/innovation partner, not just a services vendor</w:t>
      </w:r>
    </w:p>
    <w:p>
      <w:pPr>
        <w:spacing w:line="360" w:after="210" w:lineRule="auto"/>
      </w:pPr>
      <w:r>
        <w:rPr>
          <w:rFonts w:eastAsia="inter" w:cs="inter" w:ascii="inter" w:hAnsi="inter"/>
          <w:b/>
          <w:color w:val="000000"/>
        </w:rPr>
        <w:t xml:space="preserve">For Israeli enterprises</w:t>
      </w:r>
      <w:r>
        <w:rPr>
          <w:rFonts w:eastAsia="inter" w:cs="inter" w:ascii="inter" w:hAnsi="inter"/>
          <w:color w:val="000000"/>
        </w:rPr>
        <w:t xml:space="preserve"> considering AI transformation:</w:t>
      </w:r>
    </w:p>
    <w:p>
      <w:pPr>
        <w:numPr>
          <w:ilvl w:val="0"/>
          <w:numId w:val="55"/>
        </w:numPr>
        <w:spacing w:line="360" w:before="105" w:after="105" w:lineRule="auto"/>
      </w:pPr>
      <w:r>
        <w:rPr>
          <w:rFonts w:eastAsia="inter" w:cs="inter" w:ascii="inter" w:hAnsi="inter"/>
          <w:color w:val="000000"/>
          <w:sz w:val="21"/>
        </w:rPr>
        <w:t xml:space="preserve">Accenture's premium (3-5x vs. Matrix) is justified by faster value realization, lower risk, and access to global performance methodologies</w:t>
      </w:r>
    </w:p>
    <w:p>
      <w:pPr>
        <w:numPr>
          <w:ilvl w:val="0"/>
          <w:numId w:val="55"/>
        </w:numPr>
        <w:spacing w:line="360" w:before="105" w:after="105" w:lineRule="auto"/>
      </w:pPr>
      <w:r>
        <w:rPr>
          <w:rFonts w:eastAsia="inter" w:cs="inter" w:ascii="inter" w:hAnsi="inter"/>
          <w:color w:val="000000"/>
          <w:sz w:val="21"/>
        </w:rPr>
        <w:t xml:space="preserve">The $3-8M investment yields $200M+ in efficiency gains (25-66x ROI)</w:t>
      </w:r>
    </w:p>
    <w:p>
      <w:pPr>
        <w:numPr>
          <w:ilvl w:val="0"/>
          <w:numId w:val="55"/>
        </w:numPr>
        <w:spacing w:line="360" w:before="105" w:after="105" w:lineRule="auto"/>
      </w:pPr>
      <w:r>
        <w:rPr>
          <w:rFonts w:eastAsia="inter" w:cs="inter" w:ascii="inter" w:hAnsi="inter"/>
          <w:color w:val="000000"/>
          <w:sz w:val="21"/>
        </w:rPr>
        <w:t xml:space="preserve">Total Enterprise Reinvention methodology ensures transformation is enterprise-wide, not siloed</w:t>
      </w:r>
    </w:p>
    <w:p>
      <w:pPr>
        <w:spacing w:line="360" w:after="210" w:lineRule="auto"/>
      </w:pPr>
      <w:r>
        <w:rPr>
          <w:rFonts w:eastAsia="inter" w:cs="inter" w:ascii="inter" w:hAnsi="inter"/>
          <w:color w:val="000000"/>
        </w:rPr>
        <w:t xml:space="preserve">The fundamental insight: </w:t>
      </w:r>
      <w:r>
        <w:rPr>
          <w:rFonts w:eastAsia="inter" w:cs="inter" w:ascii="inter" w:hAnsi="inter"/>
          <w:b/>
          <w:color w:val="000000"/>
        </w:rPr>
        <w:t xml:space="preserve">Accenture no longer competes as an IT services company; it competes as a strategic consulting firm that happens to have superior execution capabilities through proprietary platforms.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5" w:name="key_sources_cited"/>
      <w:r>
        <w:rPr>
          <w:rFonts w:eastAsia="inter" w:cs="inter" w:ascii="inter" w:hAnsi="inter"/>
          <w:b/>
          <w:color w:val="000000"/>
          <w:sz w:val="24"/>
        </w:rPr>
        <w:t xml:space="preserve">Key Sources Cited</w:t>
      </w:r>
      <w:bookmarkEnd w:id="105"/>
    </w:p>
    <w:p>
      <w:pPr>
        <w:spacing w:line="360" w:after="210" w:lineRule="auto"/>
      </w:pPr>
      <w:bookmarkStart w:id="106" w:name="fnref1_1"/>
      <w:bookmarkEnd w:id="106"/>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 Accenture Total Enterprise Reinvention PDF</w:t>
      </w:r>
      <w:r>
        <w:rPr>
          <w:rFonts w:eastAsia="inter" w:cs="inter" w:ascii="inter" w:hAnsi="inter"/>
          <w:color w:val="000000"/>
        </w:rPr>
        <w:br w:type="textWrapping"/>
      </w:r>
      <w:bookmarkStart w:id="107" w:name="fnref2_3"/>
      <w:bookmarkEnd w:id="107"/>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  | Accenture Total Enterprise Reinvention Hub</w:t>
      </w:r>
      <w:r>
        <w:rPr>
          <w:rFonts w:eastAsia="inter" w:cs="inter" w:ascii="inter" w:hAnsi="inter"/>
          <w:color w:val="000000"/>
        </w:rPr>
        <w:br w:type="textWrapping"/>
      </w:r>
      <w:bookmarkStart w:id="108" w:name="fnref3_4"/>
      <w:bookmarkEnd w:id="108"/>
      <w:hyperlink w:anchor="fn3">
        <w:r>
          <w:rPr>
            <w:rFonts w:eastAsia="inter" w:cs="inter" w:ascii="inter" w:hAnsi="inter"/>
            <w:color w:val="#000"/>
            <w:u w:val="single"/>
            <w:vertAlign w:val="superscript"/>
          </w:rPr>
          <w:t xml:space="preserve">[3]</w:t>
        </w:r>
      </w:hyperlink>
      <w:r>
        <w:rPr>
          <w:rFonts w:eastAsia="inter" w:cs="inter" w:ascii="inter" w:hAnsi="inter"/>
          <w:color w:val="000000"/>
        </w:rPr>
        <w:t xml:space="preserve">  | Accenture Total Enterprise Reinvention Executive Summary</w:t>
      </w:r>
      <w:r>
        <w:rPr>
          <w:rFonts w:eastAsia="inter" w:cs="inter" w:ascii="inter" w:hAnsi="inter"/>
          <w:color w:val="000000"/>
        </w:rPr>
        <w:br w:type="textWrapping"/>
      </w:r>
      <w:bookmarkStart w:id="109" w:name="fnref4_3"/>
      <w:bookmarkEnd w:id="109"/>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  | </w:t>
      </w:r>
      <w:hyperlink r:id="rId6">
        <w:r>
          <w:rPr>
            <w:rFonts w:eastAsia="inter" w:cs="inter" w:ascii="inter" w:hAnsi="inter"/>
            <w:color w:val="#000"/>
            <w:u w:val="single"/>
          </w:rPr>
          <w:t xml:space="preserve">Consultancy.me</w:t>
        </w:r>
      </w:hyperlink>
      <w:r>
        <w:rPr>
          <w:rFonts w:eastAsia="inter" w:cs="inter" w:ascii="inter" w:hAnsi="inter"/>
          <w:color w:val="000000"/>
        </w:rPr>
        <w:t xml:space="preserve"> – Accenture Total Enterprise Reinvention</w:t>
      </w:r>
      <w:r>
        <w:rPr>
          <w:rFonts w:eastAsia="inter" w:cs="inter" w:ascii="inter" w:hAnsi="inter"/>
          <w:color w:val="000000"/>
        </w:rPr>
        <w:br w:type="textWrapping"/>
      </w:r>
      <w:bookmarkStart w:id="110" w:name="fnref35"/>
      <w:bookmarkEnd w:id="110"/>
      <w:hyperlink w:anchor="fn35">
        <w:r>
          <w:rPr>
            <w:rFonts w:eastAsia="inter" w:cs="inter" w:ascii="inter" w:hAnsi="inter"/>
            <w:color w:val="#000"/>
            <w:u w:val="single"/>
            <w:vertAlign w:val="superscript"/>
          </w:rPr>
          <w:t xml:space="preserve">[35]</w:t>
        </w:r>
      </w:hyperlink>
      <w:r>
        <w:rPr>
          <w:rFonts w:eastAsia="inter" w:cs="inter" w:ascii="inter" w:hAnsi="inter"/>
          <w:color w:val="000000"/>
        </w:rPr>
        <w:t xml:space="preserve">  | Accenture $3B AI Investment Announcement</w:t>
      </w:r>
      <w:r>
        <w:rPr>
          <w:rFonts w:eastAsia="inter" w:cs="inter" w:ascii="inter" w:hAnsi="inter"/>
          <w:color w:val="000000"/>
        </w:rPr>
        <w:br w:type="textWrapping"/>
      </w:r>
      <w:bookmarkStart w:id="111" w:name="fnref5_3"/>
      <w:bookmarkEnd w:id="111"/>
      <w:hyperlink w:anchor="fn5">
        <w:r>
          <w:rPr>
            <w:rFonts w:eastAsia="inter" w:cs="inter" w:ascii="inter" w:hAnsi="inter"/>
            <w:color w:val="#000"/>
            <w:u w:val="single"/>
            <w:vertAlign w:val="superscript"/>
          </w:rPr>
          <w:t xml:space="preserve">[5]</w:t>
        </w:r>
      </w:hyperlink>
      <w:r>
        <w:rPr>
          <w:rFonts w:eastAsia="inter" w:cs="inter" w:ascii="inter" w:hAnsi="inter"/>
          <w:color w:val="000000"/>
        </w:rPr>
        <w:t xml:space="preserve">  | Accenture AI Refinery – Microsoft Marketplace</w:t>
      </w:r>
      <w:r>
        <w:rPr>
          <w:rFonts w:eastAsia="inter" w:cs="inter" w:ascii="inter" w:hAnsi="inter"/>
          <w:color w:val="000000"/>
        </w:rPr>
        <w:br w:type="textWrapping"/>
      </w:r>
      <w:bookmarkStart w:id="112" w:name="fnref8_3"/>
      <w:bookmarkEnd w:id="112"/>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  | Accenture AI Refinery Distiller Framework</w:t>
      </w:r>
      <w:r>
        <w:rPr>
          <w:rFonts w:eastAsia="inter" w:cs="inter" w:ascii="inter" w:hAnsi="inter"/>
          <w:color w:val="000000"/>
        </w:rPr>
        <w:br w:type="textWrapping"/>
      </w:r>
      <w:bookmarkStart w:id="113" w:name="fnref6_1"/>
      <w:bookmarkEnd w:id="113"/>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  | AI Refinery – AI Agent Store</w:t>
      </w:r>
      <w:r>
        <w:rPr>
          <w:rFonts w:eastAsia="inter" w:cs="inter" w:ascii="inter" w:hAnsi="inter"/>
          <w:color w:val="000000"/>
        </w:rPr>
        <w:br w:type="textWrapping"/>
      </w:r>
      <w:bookmarkStart w:id="114" w:name="fnref7_3"/>
      <w:bookmarkEnd w:id="114"/>
      <w:hyperlink w:anchor="fn7">
        <w:r>
          <w:rPr>
            <w:rFonts w:eastAsia="inter" w:cs="inter" w:ascii="inter" w:hAnsi="inter"/>
            <w:color w:val="#000"/>
            <w:u w:val="single"/>
            <w:vertAlign w:val="superscript"/>
          </w:rPr>
          <w:t xml:space="preserve">[7]</w:t>
        </w:r>
      </w:hyperlink>
      <w:r>
        <w:rPr>
          <w:rFonts w:eastAsia="inter" w:cs="inter" w:ascii="inter" w:hAnsi="inter"/>
          <w:color w:val="000000"/>
        </w:rPr>
        <w:t xml:space="preserve">  | Accenture AI Refinery SDK</w:t>
      </w:r>
      <w:r>
        <w:rPr>
          <w:rFonts w:eastAsia="inter" w:cs="inter" w:ascii="inter" w:hAnsi="inter"/>
          <w:color w:val="000000"/>
        </w:rPr>
        <w:br w:type="textWrapping"/>
      </w:r>
      <w:bookmarkStart w:id="115" w:name="fnref10_3"/>
      <w:bookmarkEnd w:id="115"/>
      <w:hyperlink w:anchor="fn10">
        <w:r>
          <w:rPr>
            <w:rFonts w:eastAsia="inter" w:cs="inter" w:ascii="inter" w:hAnsi="inter"/>
            <w:color w:val="#000"/>
            <w:u w:val="single"/>
            <w:vertAlign w:val="superscript"/>
          </w:rPr>
          <w:t xml:space="preserve">[10]</w:t>
        </w:r>
      </w:hyperlink>
      <w:r>
        <w:rPr>
          <w:rFonts w:eastAsia="inter" w:cs="inter" w:ascii="inter" w:hAnsi="inter"/>
          <w:color w:val="000000"/>
        </w:rPr>
        <w:t xml:space="preserve">  | Accenture SynOps Announcement</w:t>
      </w:r>
      <w:r>
        <w:rPr>
          <w:rFonts w:eastAsia="inter" w:cs="inter" w:ascii="inter" w:hAnsi="inter"/>
          <w:color w:val="000000"/>
        </w:rPr>
        <w:br w:type="textWrapping"/>
      </w:r>
      <w:bookmarkStart w:id="116" w:name="fnref11_2"/>
      <w:bookmarkEnd w:id="116"/>
      <w:hyperlink w:anchor="fn11">
        <w:r>
          <w:rPr>
            <w:rFonts w:eastAsia="inter" w:cs="inter" w:ascii="inter" w:hAnsi="inter"/>
            <w:color w:val="#000"/>
            <w:u w:val="single"/>
            <w:vertAlign w:val="superscript"/>
          </w:rPr>
          <w:t xml:space="preserve">[11]</w:t>
        </w:r>
      </w:hyperlink>
      <w:r>
        <w:rPr>
          <w:rFonts w:eastAsia="inter" w:cs="inter" w:ascii="inter" w:hAnsi="inter"/>
          <w:color w:val="000000"/>
        </w:rPr>
        <w:t xml:space="preserve">  | Accenture SynOps Case Study</w:t>
      </w:r>
      <w:r>
        <w:rPr>
          <w:rFonts w:eastAsia="inter" w:cs="inter" w:ascii="inter" w:hAnsi="inter"/>
          <w:color w:val="000000"/>
        </w:rPr>
        <w:br w:type="textWrapping"/>
      </w:r>
      <w:bookmarkStart w:id="117" w:name="fnref12_1"/>
      <w:bookmarkEnd w:id="117"/>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  | Accenture SynOps – RT Insights</w:t>
      </w:r>
      <w:r>
        <w:rPr>
          <w:rFonts w:eastAsia="inter" w:cs="inter" w:ascii="inter" w:hAnsi="inter"/>
          <w:color w:val="000000"/>
        </w:rPr>
        <w:br w:type="textWrapping"/>
      </w:r>
      <w:bookmarkStart w:id="118" w:name="fnref13_2"/>
      <w:bookmarkEnd w:id="118"/>
      <w:hyperlink w:anchor="fn13">
        <w:r>
          <w:rPr>
            <w:rFonts w:eastAsia="inter" w:cs="inter" w:ascii="inter" w:hAnsi="inter"/>
            <w:color w:val="#000"/>
            <w:u w:val="single"/>
            <w:vertAlign w:val="superscript"/>
          </w:rPr>
          <w:t xml:space="preserve">[13]</w:t>
        </w:r>
      </w:hyperlink>
      <w:r>
        <w:rPr>
          <w:rFonts w:eastAsia="inter" w:cs="inter" w:ascii="inter" w:hAnsi="inter"/>
          <w:color w:val="000000"/>
        </w:rPr>
        <w:t xml:space="preserve">  | Accenture SynOps – Techzine Global</w:t>
      </w:r>
      <w:r>
        <w:rPr>
          <w:rFonts w:eastAsia="inter" w:cs="inter" w:ascii="inter" w:hAnsi="inter"/>
          <w:color w:val="000000"/>
        </w:rPr>
        <w:br w:type="textWrapping"/>
      </w:r>
      <w:bookmarkStart w:id="119" w:name="fnref14_3"/>
      <w:bookmarkEnd w:id="119"/>
      <w:hyperlink w:anchor="fn14">
        <w:r>
          <w:rPr>
            <w:rFonts w:eastAsia="inter" w:cs="inter" w:ascii="inter" w:hAnsi="inter"/>
            <w:color w:val="#000"/>
            <w:u w:val="single"/>
            <w:vertAlign w:val="superscript"/>
          </w:rPr>
          <w:t xml:space="preserve">[14]</w:t>
        </w:r>
      </w:hyperlink>
      <w:r>
        <w:rPr>
          <w:rFonts w:eastAsia="inter" w:cs="inter" w:ascii="inter" w:hAnsi="inter"/>
          <w:color w:val="000000"/>
        </w:rPr>
        <w:t xml:space="preserve">  | Accenture myWizard Platform Announcement</w:t>
      </w:r>
      <w:r>
        <w:rPr>
          <w:rFonts w:eastAsia="inter" w:cs="inter" w:ascii="inter" w:hAnsi="inter"/>
          <w:color w:val="000000"/>
        </w:rPr>
        <w:br w:type="textWrapping"/>
      </w:r>
      <w:bookmarkStart w:id="120" w:name="fnref18_5"/>
      <w:bookmarkEnd w:id="120"/>
      <w:hyperlink w:anchor="fn18">
        <w:r>
          <w:rPr>
            <w:rFonts w:eastAsia="inter" w:cs="inter" w:ascii="inter" w:hAnsi="inter"/>
            <w:color w:val="#000"/>
            <w:u w:val="single"/>
            <w:vertAlign w:val="superscript"/>
          </w:rPr>
          <w:t xml:space="preserve">[18]</w:t>
        </w:r>
      </w:hyperlink>
      <w:r>
        <w:rPr>
          <w:rFonts w:eastAsia="inter" w:cs="inter" w:ascii="inter" w:hAnsi="inter"/>
          <w:color w:val="000000"/>
        </w:rPr>
        <w:t xml:space="preserve">  | Accenture CEO Julie Sweet – CRN Interview</w:t>
      </w:r>
      <w:r>
        <w:rPr>
          <w:rFonts w:eastAsia="inter" w:cs="inter" w:ascii="inter" w:hAnsi="inter"/>
          <w:color w:val="000000"/>
        </w:rPr>
        <w:br w:type="textWrapping"/>
      </w:r>
      <w:bookmarkStart w:id="121" w:name="fnref19_2"/>
      <w:bookmarkEnd w:id="121"/>
      <w:hyperlink w:anchor="fn19">
        <w:r>
          <w:rPr>
            <w:rFonts w:eastAsia="inter" w:cs="inter" w:ascii="inter" w:hAnsi="inter"/>
            <w:color w:val="#000"/>
            <w:u w:val="single"/>
            <w:vertAlign w:val="superscript"/>
          </w:rPr>
          <w:t xml:space="preserve">[19]</w:t>
        </w:r>
      </w:hyperlink>
      <w:r>
        <w:rPr>
          <w:rFonts w:eastAsia="inter" w:cs="inter" w:ascii="inter" w:hAnsi="inter"/>
          <w:color w:val="000000"/>
        </w:rPr>
        <w:t xml:space="preserve">  | Accenture CEO Julie Sweet – TIME Interview</w:t>
      </w:r>
      <w:r>
        <w:rPr>
          <w:rFonts w:eastAsia="inter" w:cs="inter" w:ascii="inter" w:hAnsi="inter"/>
          <w:color w:val="000000"/>
        </w:rPr>
        <w:br w:type="textWrapping"/>
      </w:r>
      <w:bookmarkStart w:id="122" w:name="fnref20_2"/>
      <w:bookmarkEnd w:id="122"/>
      <w:hyperlink w:anchor="fn20">
        <w:r>
          <w:rPr>
            <w:rFonts w:eastAsia="inter" w:cs="inter" w:ascii="inter" w:hAnsi="inter"/>
            <w:color w:val="#000"/>
            <w:u w:val="single"/>
            <w:vertAlign w:val="superscript"/>
          </w:rPr>
          <w:t xml:space="preserve">[20]</w:t>
        </w:r>
      </w:hyperlink>
      <w:r>
        <w:rPr>
          <w:rFonts w:eastAsia="inter" w:cs="inter" w:ascii="inter" w:hAnsi="inter"/>
          <w:color w:val="000000"/>
        </w:rPr>
        <w:t xml:space="preserve">  | Accenture CEO Julie Sweet – Bloomberg Tech</w:t>
      </w:r>
      <w:r>
        <w:rPr>
          <w:rFonts w:eastAsia="inter" w:cs="inter" w:ascii="inter" w:hAnsi="inter"/>
          <w:color w:val="000000"/>
        </w:rPr>
        <w:br w:type="textWrapping"/>
      </w:r>
      <w:bookmarkStart w:id="123" w:name="fnref21_1"/>
      <w:bookmarkEnd w:id="123"/>
      <w:hyperlink w:anchor="fn21">
        <w:r>
          <w:rPr>
            <w:rFonts w:eastAsia="inter" w:cs="inter" w:ascii="inter" w:hAnsi="inter"/>
            <w:color w:val="#000"/>
            <w:u w:val="single"/>
            <w:vertAlign w:val="superscript"/>
          </w:rPr>
          <w:t xml:space="preserve">[21]</w:t>
        </w:r>
      </w:hyperlink>
      <w:r>
        <w:rPr>
          <w:rFonts w:eastAsia="inter" w:cs="inter" w:ascii="inter" w:hAnsi="inter"/>
          <w:color w:val="000000"/>
        </w:rPr>
        <w:t xml:space="preserve">  | Accenture Office Locations</w:t>
      </w:r>
      <w:r>
        <w:rPr>
          <w:rFonts w:eastAsia="inter" w:cs="inter" w:ascii="inter" w:hAnsi="inter"/>
          <w:color w:val="000000"/>
        </w:rPr>
        <w:br w:type="textWrapping"/>
      </w:r>
      <w:bookmarkStart w:id="124" w:name="fnref22_1"/>
      <w:bookmarkEnd w:id="124"/>
      <w:hyperlink w:anchor="fn22">
        <w:r>
          <w:rPr>
            <w:rFonts w:eastAsia="inter" w:cs="inter" w:ascii="inter" w:hAnsi="inter"/>
            <w:color w:val="#000"/>
            <w:u w:val="single"/>
            <w:vertAlign w:val="superscript"/>
          </w:rPr>
          <w:t xml:space="preserve">[22]</w:t>
        </w:r>
      </w:hyperlink>
      <w:r>
        <w:rPr>
          <w:rFonts w:eastAsia="inter" w:cs="inter" w:ascii="inter" w:hAnsi="inter"/>
          <w:color w:val="000000"/>
        </w:rPr>
        <w:t xml:space="preserve">  | Accenture Israel Website</w:t>
      </w:r>
      <w:r>
        <w:rPr>
          <w:rFonts w:eastAsia="inter" w:cs="inter" w:ascii="inter" w:hAnsi="inter"/>
          <w:color w:val="000000"/>
        </w:rPr>
        <w:br w:type="textWrapping"/>
      </w:r>
      <w:bookmarkStart w:id="125" w:name="fnref23_1"/>
      <w:bookmarkEnd w:id="125"/>
      <w:hyperlink w:anchor="fn23">
        <w:r>
          <w:rPr>
            <w:rFonts w:eastAsia="inter" w:cs="inter" w:ascii="inter" w:hAnsi="inter"/>
            <w:color w:val="#000"/>
            <w:u w:val="single"/>
            <w:vertAlign w:val="superscript"/>
          </w:rPr>
          <w:t xml:space="preserve">[23]</w:t>
        </w:r>
      </w:hyperlink>
      <w:r>
        <w:rPr>
          <w:rFonts w:eastAsia="inter" w:cs="inter" w:ascii="inter" w:hAnsi="inter"/>
          <w:color w:val="000000"/>
        </w:rPr>
        <w:t xml:space="preserve">  | Accenture Israel LinkedIn</w:t>
      </w:r>
      <w:r>
        <w:rPr>
          <w:rFonts w:eastAsia="inter" w:cs="inter" w:ascii="inter" w:hAnsi="inter"/>
          <w:color w:val="000000"/>
        </w:rPr>
        <w:br w:type="textWrapping"/>
      </w:r>
      <w:bookmarkStart w:id="126" w:name="fnref24_2"/>
      <w:bookmarkEnd w:id="126"/>
      <w:hyperlink w:anchor="fn24">
        <w:r>
          <w:rPr>
            <w:rFonts w:eastAsia="inter" w:cs="inter" w:ascii="inter" w:hAnsi="inter"/>
            <w:color w:val="#000"/>
            <w:u w:val="single"/>
            <w:vertAlign w:val="superscript"/>
          </w:rPr>
          <w:t xml:space="preserve">[24]</w:t>
        </w:r>
      </w:hyperlink>
      <w:r>
        <w:rPr>
          <w:rFonts w:eastAsia="inter" w:cs="inter" w:ascii="inter" w:hAnsi="inter"/>
          <w:color w:val="000000"/>
        </w:rPr>
        <w:t xml:space="preserve">  | Accenture Maglan Acquisition – Globes</w:t>
      </w:r>
      <w:r>
        <w:rPr>
          <w:rFonts w:eastAsia="inter" w:cs="inter" w:ascii="inter" w:hAnsi="inter"/>
          <w:color w:val="000000"/>
        </w:rPr>
        <w:br w:type="textWrapping"/>
      </w:r>
      <w:bookmarkStart w:id="127" w:name="fnref25_2"/>
      <w:bookmarkEnd w:id="127"/>
      <w:hyperlink w:anchor="fn25">
        <w:r>
          <w:rPr>
            <w:rFonts w:eastAsia="inter" w:cs="inter" w:ascii="inter" w:hAnsi="inter"/>
            <w:color w:val="#000"/>
            <w:u w:val="single"/>
            <w:vertAlign w:val="superscript"/>
          </w:rPr>
          <w:t xml:space="preserve">[25]</w:t>
        </w:r>
      </w:hyperlink>
      <w:r>
        <w:rPr>
          <w:rFonts w:eastAsia="inter" w:cs="inter" w:ascii="inter" w:hAnsi="inter"/>
          <w:color w:val="000000"/>
        </w:rPr>
        <w:t xml:space="preserve">  | Accenture Maglan Acquisition – Times of Israel</w:t>
      </w:r>
      <w:r>
        <w:rPr>
          <w:rFonts w:eastAsia="inter" w:cs="inter" w:ascii="inter" w:hAnsi="inter"/>
          <w:color w:val="000000"/>
        </w:rPr>
        <w:br w:type="textWrapping"/>
      </w:r>
      <w:bookmarkStart w:id="128" w:name="fnref26_4"/>
      <w:bookmarkEnd w:id="128"/>
      <w:hyperlink w:anchor="fn26">
        <w:r>
          <w:rPr>
            <w:rFonts w:eastAsia="inter" w:cs="inter" w:ascii="inter" w:hAnsi="inter"/>
            <w:color w:val="#000"/>
            <w:u w:val="single"/>
            <w:vertAlign w:val="superscript"/>
          </w:rPr>
          <w:t xml:space="preserve">[26]</w:t>
        </w:r>
      </w:hyperlink>
      <w:r>
        <w:rPr>
          <w:rFonts w:eastAsia="inter" w:cs="inter" w:ascii="inter" w:hAnsi="inter"/>
          <w:color w:val="000000"/>
        </w:rPr>
        <w:t xml:space="preserve">  | Accenture Maglan Acquisition – Newsroom</w:t>
      </w:r>
      <w:r>
        <w:rPr>
          <w:rFonts w:eastAsia="inter" w:cs="inter" w:ascii="inter" w:hAnsi="inter"/>
          <w:color w:val="000000"/>
        </w:rPr>
        <w:br w:type="textWrapping"/>
      </w:r>
      <w:bookmarkStart w:id="129" w:name="fnref32_1"/>
      <w:bookmarkEnd w:id="129"/>
      <w:hyperlink w:anchor="fn32">
        <w:r>
          <w:rPr>
            <w:rFonts w:eastAsia="inter" w:cs="inter" w:ascii="inter" w:hAnsi="inter"/>
            <w:color w:val="#000"/>
            <w:u w:val="single"/>
            <w:vertAlign w:val="superscript"/>
          </w:rPr>
          <w:t xml:space="preserve">[32]</w:t>
        </w:r>
      </w:hyperlink>
      <w:r>
        <w:rPr>
          <w:rFonts w:eastAsia="inter" w:cs="inter" w:ascii="inter" w:hAnsi="inter"/>
          <w:color w:val="000000"/>
        </w:rPr>
        <w:t xml:space="preserve">  | Best Buy GenAI Case Study – Accenture</w:t>
      </w:r>
      <w:r>
        <w:rPr>
          <w:rFonts w:eastAsia="inter" w:cs="inter" w:ascii="inter" w:hAnsi="inter"/>
          <w:color w:val="000000"/>
        </w:rPr>
        <w:br w:type="textWrapping"/>
      </w:r>
      <w:bookmarkStart w:id="130" w:name="fnref31_1"/>
      <w:bookmarkEnd w:id="130"/>
      <w:hyperlink w:anchor="fn31">
        <w:r>
          <w:rPr>
            <w:rFonts w:eastAsia="inter" w:cs="inter" w:ascii="inter" w:hAnsi="inter"/>
            <w:color w:val="#000"/>
            <w:u w:val="single"/>
            <w:vertAlign w:val="superscript"/>
          </w:rPr>
          <w:t xml:space="preserve">[31]</w:t>
        </w:r>
      </w:hyperlink>
      <w:r>
        <w:rPr>
          <w:rFonts w:eastAsia="inter" w:cs="inter" w:ascii="inter" w:hAnsi="inter"/>
          <w:color w:val="000000"/>
        </w:rPr>
        <w:t xml:space="preserve">  | BBVA Reinvention Case Study – Accenture</w:t>
      </w:r>
      <w:r>
        <w:rPr>
          <w:rFonts w:eastAsia="inter" w:cs="inter" w:ascii="inter" w:hAnsi="inter"/>
          <w:color w:val="000000"/>
        </w:rPr>
        <w:br w:type="textWrapping"/>
      </w:r>
      <w:bookmarkStart w:id="131" w:name="fnref33_1"/>
      <w:bookmarkEnd w:id="131"/>
      <w:hyperlink w:anchor="fn33">
        <w:r>
          <w:rPr>
            <w:rFonts w:eastAsia="inter" w:cs="inter" w:ascii="inter" w:hAnsi="inter"/>
            <w:color w:val="#000"/>
            <w:u w:val="single"/>
            <w:vertAlign w:val="superscript"/>
          </w:rPr>
          <w:t xml:space="preserve">[33]</w:t>
        </w:r>
      </w:hyperlink>
      <w:r>
        <w:rPr>
          <w:rFonts w:eastAsia="inter" w:cs="inter" w:ascii="inter" w:hAnsi="inter"/>
          <w:color w:val="000000"/>
        </w:rPr>
        <w:t xml:space="preserve">  | Best Buy/Human-Centered AI – LinkedIn</w:t>
      </w:r>
      <w:r>
        <w:rPr>
          <w:rFonts w:eastAsia="inter" w:cs="inter" w:ascii="inter" w:hAnsi="inter"/>
          <w:color w:val="000000"/>
        </w:rPr>
        <w:br w:type="textWrapping"/>
      </w:r>
      <w:bookmarkStart w:id="132" w:name="fnref30_1"/>
      <w:bookmarkEnd w:id="132"/>
      <w:hyperlink w:anchor="fn30">
        <w:r>
          <w:rPr>
            <w:rFonts w:eastAsia="inter" w:cs="inter" w:ascii="inter" w:hAnsi="inter"/>
            <w:color w:val="#000"/>
            <w:u w:val="single"/>
            <w:vertAlign w:val="superscript"/>
          </w:rPr>
          <w:t xml:space="preserve">[30]</w:t>
        </w:r>
      </w:hyperlink>
      <w:r>
        <w:rPr>
          <w:rFonts w:eastAsia="inter" w:cs="inter" w:ascii="inter" w:hAnsi="inter"/>
          <w:color w:val="000000"/>
        </w:rPr>
        <w:t xml:space="preserve">  | Accenture GenAI Report – Enterprise AI Executive</w:t>
      </w:r>
      <w:r>
        <w:rPr>
          <w:rFonts w:eastAsia="inter" w:cs="inter" w:ascii="inter" w:hAnsi="inter"/>
          <w:color w:val="000000"/>
        </w:rPr>
        <w:br w:type="textWrapping"/>
      </w:r>
      <w:bookmarkStart w:id="133" w:name="fnref34_1"/>
      <w:bookmarkEnd w:id="133"/>
      <w:hyperlink w:anchor="fn34">
        <w:r>
          <w:rPr>
            <w:rFonts w:eastAsia="inter" w:cs="inter" w:ascii="inter" w:hAnsi="inter"/>
            <w:color w:val="#000"/>
            <w:u w:val="single"/>
            <w:vertAlign w:val="superscript"/>
          </w:rPr>
          <w:t xml:space="preserve">[34]</w:t>
        </w:r>
      </w:hyperlink>
      <w:r>
        <w:rPr>
          <w:rFonts w:eastAsia="inter" w:cs="inter" w:ascii="inter" w:hAnsi="inter"/>
          <w:color w:val="000000"/>
        </w:rPr>
        <w:t xml:space="preserve">  | Siam Commercial Bank Case Study – Accenture</w:t>
      </w:r>
      <w:r>
        <w:rPr>
          <w:rFonts w:eastAsia="inter" w:cs="inter" w:ascii="inter" w:hAnsi="inter"/>
          <w:color w:val="000000"/>
        </w:rPr>
        <w:br w:type="textWrapping"/>
      </w:r>
      <w:bookmarkStart w:id="134" w:name="fnref36"/>
      <w:bookmarkEnd w:id="134"/>
      <w:hyperlink w:anchor="fn36">
        <w:r>
          <w:rPr>
            <w:rFonts w:eastAsia="inter" w:cs="inter" w:ascii="inter" w:hAnsi="inter"/>
            <w:color w:val="#000"/>
            <w:u w:val="single"/>
            <w:vertAlign w:val="superscript"/>
          </w:rPr>
          <w:t xml:space="preserve">[36]</w:t>
        </w:r>
      </w:hyperlink>
      <w:r>
        <w:rPr>
          <w:rFonts w:eastAsia="inter" w:cs="inter" w:ascii="inter" w:hAnsi="inter"/>
          <w:color w:val="000000"/>
        </w:rPr>
        <w:t xml:space="preserve">  | Industry 4.0 IT-Service Providers Comparison</w:t>
      </w:r>
      <w:r>
        <w:rPr>
          <w:rFonts w:eastAsia="inter" w:cs="inter" w:ascii="inter" w:hAnsi="inter"/>
          <w:color w:val="000000"/>
        </w:rPr>
        <w:br w:type="textWrapping"/>
      </w:r>
      <w:bookmarkStart w:id="135" w:name="fnref37"/>
      <w:bookmarkEnd w:id="135"/>
      <w:hyperlink w:anchor="fn37">
        <w:r>
          <w:rPr>
            <w:rFonts w:eastAsia="inter" w:cs="inter" w:ascii="inter" w:hAnsi="inter"/>
            <w:color w:val="#000"/>
            <w:u w:val="single"/>
            <w:vertAlign w:val="superscript"/>
          </w:rPr>
          <w:t xml:space="preserve">[37]</w:t>
        </w:r>
      </w:hyperlink>
      <w:r>
        <w:rPr>
          <w:rFonts w:eastAsia="inter" w:cs="inter" w:ascii="inter" w:hAnsi="inter"/>
          <w:color w:val="000000"/>
        </w:rPr>
        <w:t xml:space="preserve">  | Accenture Reinvention Strategy – Prudent Pedal</w:t>
      </w:r>
      <w:r>
        <w:rPr>
          <w:rFonts w:eastAsia="inter" w:cs="inter" w:ascii="inter" w:hAnsi="inter"/>
          <w:color w:val="000000"/>
        </w:rPr>
        <w:br w:type="textWrapping"/>
      </w:r>
      <w:bookmarkStart w:id="136" w:name="fnref9_1"/>
      <w:bookmarkEnd w:id="136"/>
      <w:hyperlink w:anchor="fn9">
        <w:r>
          <w:rPr>
            <w:rFonts w:eastAsia="inter" w:cs="inter" w:ascii="inter" w:hAnsi="inter"/>
            <w:color w:val="#000"/>
            <w:u w:val="single"/>
            <w:vertAlign w:val="superscript"/>
          </w:rPr>
          <w:t xml:space="preserve">[9]</w:t>
        </w:r>
      </w:hyperlink>
      <w:r>
        <w:rPr>
          <w:rFonts w:eastAsia="inter" w:cs="inter" w:ascii="inter" w:hAnsi="inter"/>
          <w:color w:val="000000"/>
        </w:rPr>
        <w:t xml:space="preserve">  | Making Reinvention Real with GenAI PDF – Accenture</w:t>
      </w:r>
      <w:r>
        <w:rPr>
          <w:rFonts w:eastAsia="inter" w:cs="inter" w:ascii="inter" w:hAnsi="inter"/>
          <w:color w:val="000000"/>
        </w:rPr>
        <w:br w:type="textWrapping"/>
      </w:r>
      <w:bookmarkStart w:id="137" w:name="fnref38"/>
      <w:bookmarkEnd w:id="137"/>
      <w:hyperlink w:anchor="fn38">
        <w:r>
          <w:rPr>
            <w:rFonts w:eastAsia="inter" w:cs="inter" w:ascii="inter" w:hAnsi="inter"/>
            <w:color w:val="#000"/>
            <w:u w:val="single"/>
            <w:vertAlign w:val="superscript"/>
          </w:rPr>
          <w:t xml:space="preserve">[38]</w:t>
        </w:r>
      </w:hyperlink>
      <w:r>
        <w:rPr>
          <w:rFonts w:eastAsia="inter" w:cs="inter" w:ascii="inter" w:hAnsi="inter"/>
          <w:color w:val="000000"/>
        </w:rPr>
        <w:t xml:space="preserve">  | Accenture, KPMG, Cognizant – Horses for Sources</w:t>
      </w:r>
      <w:r>
        <w:rPr>
          <w:rFonts w:eastAsia="inter" w:cs="inter" w:ascii="inter" w:hAnsi="inter"/>
          <w:color w:val="000000"/>
        </w:rPr>
        <w:br w:type="textWrapping"/>
      </w:r>
      <w:bookmarkStart w:id="138" w:name="fnref28_2"/>
      <w:bookmarkEnd w:id="138"/>
      <w:hyperlink w:anchor="fn28">
        <w:r>
          <w:rPr>
            <w:rFonts w:eastAsia="inter" w:cs="inter" w:ascii="inter" w:hAnsi="inter"/>
            <w:color w:val="#000"/>
            <w:u w:val="single"/>
            <w:vertAlign w:val="superscript"/>
          </w:rPr>
          <w:t xml:space="preserve">[28]</w:t>
        </w:r>
      </w:hyperlink>
      <w:r>
        <w:rPr>
          <w:rFonts w:eastAsia="inter" w:cs="inter" w:ascii="inter" w:hAnsi="inter"/>
          <w:color w:val="000000"/>
        </w:rPr>
        <w:t xml:space="preserve">  | Matrix IT Mergers – Globes</w:t>
      </w:r>
      <w:r>
        <w:rPr>
          <w:rFonts w:eastAsia="inter" w:cs="inter" w:ascii="inter" w:hAnsi="inter"/>
          <w:color w:val="000000"/>
        </w:rPr>
        <w:br w:type="textWrapping"/>
      </w:r>
      <w:bookmarkStart w:id="139" w:name="fnref29_2"/>
      <w:bookmarkEnd w:id="139"/>
      <w:hyperlink w:anchor="fn29">
        <w:r>
          <w:rPr>
            <w:rFonts w:eastAsia="inter" w:cs="inter" w:ascii="inter" w:hAnsi="inter"/>
            <w:color w:val="#000"/>
            <w:u w:val="single"/>
            <w:vertAlign w:val="superscript"/>
          </w:rPr>
          <w:t xml:space="preserve">[29]</w:t>
        </w:r>
      </w:hyperlink>
      <w:r>
        <w:rPr>
          <w:rFonts w:eastAsia="inter" w:cs="inter" w:ascii="inter" w:hAnsi="inter"/>
          <w:color w:val="000000"/>
        </w:rPr>
        <w:t xml:space="preserve">  | Matrix IT Profile – WhoProfits</w:t>
      </w:r>
      <w:r>
        <w:rPr>
          <w:rFonts w:eastAsia="inter" w:cs="inter" w:ascii="inter" w:hAnsi="inter"/>
          <w:color w:val="000000"/>
        </w:rPr>
        <w:br w:type="textWrapping"/>
      </w:r>
      <w:bookmarkStart w:id="140" w:name="fnref39"/>
      <w:bookmarkEnd w:id="140"/>
      <w:hyperlink w:anchor="fn39">
        <w:r>
          <w:rPr>
            <w:rFonts w:eastAsia="inter" w:cs="inter" w:ascii="inter" w:hAnsi="inter"/>
            <w:color w:val="#000"/>
            <w:u w:val="single"/>
            <w:vertAlign w:val="superscript"/>
          </w:rPr>
          <w:t xml:space="preserve">[39]</w:t>
        </w:r>
      </w:hyperlink>
      <w:r>
        <w:rPr>
          <w:rFonts w:eastAsia="inter" w:cs="inter" w:ascii="inter" w:hAnsi="inter"/>
          <w:color w:val="000000"/>
        </w:rPr>
        <w:t xml:space="preserve">  | IT Services vs. Consulting – LinkedIn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41" w:name="fn1"/>
    <w:bookmarkEnd w:id="141"/>
    <w:p>
      <w:pPr>
        <w:numPr>
          <w:ilvl w:val="0"/>
          <w:numId w:val="57"/>
        </w:numPr>
        <w:spacing w:line="360" w:after="210" w:lineRule="auto"/>
      </w:pPr>
      <w:hyperlink r:id="rId7">
        <w:r>
          <w:rPr>
            <w:rFonts w:eastAsia="inter" w:cs="inter" w:ascii="inter" w:hAnsi="inter"/>
            <w:color w:val="#000"/>
            <w:sz w:val="18"/>
            <w:u w:val="single"/>
          </w:rPr>
          <w:t xml:space="preserve">https://www.accenture.com/content/dam/accenture/final/accenture-com/document/Accenture-Total-Enterprise-Reinvention.pdf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2" w:name="fn2"/>
    <w:bookmarkEnd w:id="142"/>
    <w:p>
      <w:pPr>
        <w:numPr>
          <w:ilvl w:val="0"/>
          <w:numId w:val="57"/>
        </w:numPr>
        <w:spacing w:line="360" w:after="210" w:lineRule="auto"/>
      </w:pPr>
      <w:hyperlink r:id="rId8">
        <w:r>
          <w:rPr>
            <w:rFonts w:eastAsia="inter" w:cs="inter" w:ascii="inter" w:hAnsi="inter"/>
            <w:color w:val="#000"/>
            <w:sz w:val="18"/>
            <w:u w:val="single"/>
          </w:rPr>
          <w:t xml:space="preserve">https://www.accenture.com/us-en/insights/consulting/total-enterprise-reinvention-hub</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3" w:name="fn3"/>
    <w:bookmarkEnd w:id="143"/>
    <w:p>
      <w:pPr>
        <w:numPr>
          <w:ilvl w:val="0"/>
          <w:numId w:val="57"/>
        </w:numPr>
        <w:spacing w:line="360" w:after="210" w:lineRule="auto"/>
      </w:pPr>
      <w:hyperlink r:id="rId9">
        <w:r>
          <w:rPr>
            <w:rFonts w:eastAsia="inter" w:cs="inter" w:ascii="inter" w:hAnsi="inter"/>
            <w:color w:val="#000"/>
            <w:sz w:val="18"/>
            <w:u w:val="single"/>
          </w:rPr>
          <w:t xml:space="preserve">https://www.accenture.com/content/dam/accenture/final/accenture-com/document/Total-Enterprise-Reinvention-Exec-Summary.pdf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4" w:name="fn4"/>
    <w:bookmarkEnd w:id="144"/>
    <w:p>
      <w:pPr>
        <w:numPr>
          <w:ilvl w:val="0"/>
          <w:numId w:val="57"/>
        </w:numPr>
        <w:spacing w:line="360" w:after="210" w:lineRule="auto"/>
      </w:pPr>
      <w:hyperlink r:id="rId10">
        <w:r>
          <w:rPr>
            <w:rFonts w:eastAsia="inter" w:cs="inter" w:ascii="inter" w:hAnsi="inter"/>
            <w:color w:val="#000"/>
            <w:sz w:val="18"/>
            <w:u w:val="single"/>
          </w:rPr>
          <w:t xml:space="preserve">https://www.consultancy-me.com/news/6081/accenture-coins-best-practices-for-success-as-total-enterprise-reinvention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5" w:name="fn5"/>
    <w:bookmarkEnd w:id="145"/>
    <w:p>
      <w:pPr>
        <w:numPr>
          <w:ilvl w:val="0"/>
          <w:numId w:val="57"/>
        </w:numPr>
        <w:spacing w:line="360" w:after="210" w:lineRule="auto"/>
      </w:pPr>
      <w:hyperlink r:id="rId11">
        <w:r>
          <w:rPr>
            <w:rFonts w:eastAsia="inter" w:cs="inter" w:ascii="inter" w:hAnsi="inter"/>
            <w:color w:val="#000"/>
            <w:sz w:val="18"/>
            <w:u w:val="single"/>
          </w:rPr>
          <w:t xml:space="preserve">https://marketplace.microsoft.com/en-us/product/saas/accenture1628868945076.accenture-ai-refinery?tab=overview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6" w:name="fn6"/>
    <w:bookmarkEnd w:id="146"/>
    <w:p>
      <w:pPr>
        <w:numPr>
          <w:ilvl w:val="0"/>
          <w:numId w:val="57"/>
        </w:numPr>
        <w:spacing w:line="360" w:after="210" w:lineRule="auto"/>
      </w:pPr>
      <w:hyperlink r:id="rId12">
        <w:r>
          <w:rPr>
            <w:rFonts w:eastAsia="inter" w:cs="inter" w:ascii="inter" w:hAnsi="inter"/>
            <w:color w:val="#000"/>
            <w:sz w:val="18"/>
            <w:u w:val="single"/>
          </w:rPr>
          <w:t xml:space="preserve">https://aiagentstore.ai/ai-agent/ai-refinery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7" w:name="fn7"/>
    <w:bookmarkEnd w:id="147"/>
    <w:p>
      <w:pPr>
        <w:numPr>
          <w:ilvl w:val="0"/>
          <w:numId w:val="57"/>
        </w:numPr>
        <w:spacing w:line="360" w:after="210" w:lineRule="auto"/>
      </w:pPr>
      <w:hyperlink r:id="rId13">
        <w:r>
          <w:rPr>
            <w:rFonts w:eastAsia="inter" w:cs="inter" w:ascii="inter" w:hAnsi="inter"/>
            <w:color w:val="#000"/>
            <w:sz w:val="18"/>
            <w:u w:val="single"/>
          </w:rPr>
          <w:t xml:space="preserve">https://sdk.airefinery.accenture.com/ai_refinery_101/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8" w:name="fn8"/>
    <w:bookmarkEnd w:id="148"/>
    <w:p>
      <w:pPr>
        <w:numPr>
          <w:ilvl w:val="0"/>
          <w:numId w:val="57"/>
        </w:numPr>
        <w:spacing w:line="360" w:after="210" w:lineRule="auto"/>
      </w:pPr>
      <w:hyperlink r:id="rId14">
        <w:r>
          <w:rPr>
            <w:rFonts w:eastAsia="inter" w:cs="inter" w:ascii="inter" w:hAnsi="inter"/>
            <w:color w:val="#000"/>
            <w:sz w:val="18"/>
            <w:u w:val="single"/>
          </w:rPr>
          <w:t xml:space="preserve">https://www.aidataanalytics.network/data-science-ai/news-trends/accenture-launches-distiller-agentic-ai-framework-for-scalable-enterprise-ai-solutions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9" w:name="fn9"/>
    <w:bookmarkEnd w:id="149"/>
    <w:p>
      <w:pPr>
        <w:numPr>
          <w:ilvl w:val="0"/>
          <w:numId w:val="57"/>
        </w:numPr>
        <w:spacing w:line="360" w:after="210" w:lineRule="auto"/>
      </w:pPr>
      <w:hyperlink r:id="rId15">
        <w:r>
          <w:rPr>
            <w:rFonts w:eastAsia="inter" w:cs="inter" w:ascii="inter" w:hAnsi="inter"/>
            <w:color w:val="#000"/>
            <w:sz w:val="18"/>
            <w:u w:val="single"/>
          </w:rPr>
          <w:t xml:space="preserve">https://www.accenture.com/content/dam/accenture/final/industry/cross-industry/document/Making-Reinvention-Real-With-GenAI-TL.pdf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0" w:name="fn10"/>
    <w:bookmarkEnd w:id="150"/>
    <w:p>
      <w:pPr>
        <w:numPr>
          <w:ilvl w:val="0"/>
          <w:numId w:val="57"/>
        </w:numPr>
        <w:spacing w:line="360" w:after="210" w:lineRule="auto"/>
      </w:pPr>
      <w:hyperlink r:id="rId16">
        <w:r>
          <w:rPr>
            <w:rFonts w:eastAsia="inter" w:cs="inter" w:ascii="inter" w:hAnsi="inter"/>
            <w:color w:val="#000"/>
            <w:sz w:val="18"/>
            <w:u w:val="single"/>
          </w:rPr>
          <w:t xml:space="preserve">https://newsroom.accenture.com/news/2019/accenture-launches-synops-a-human-machine-operating-engine-designed-to-help-enterprises-achieve-sustainable-competitive-advantage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1" w:name="fn11"/>
    <w:bookmarkEnd w:id="151"/>
    <w:p>
      <w:pPr>
        <w:numPr>
          <w:ilvl w:val="0"/>
          <w:numId w:val="57"/>
        </w:numPr>
        <w:spacing w:line="360" w:after="210" w:lineRule="auto"/>
      </w:pPr>
      <w:hyperlink r:id="rId17">
        <w:r>
          <w:rPr>
            <w:rFonts w:eastAsia="inter" w:cs="inter" w:ascii="inter" w:hAnsi="inter"/>
            <w:color w:val="#000"/>
            <w:sz w:val="18"/>
            <w:u w:val="single"/>
          </w:rPr>
          <w:t xml:space="preserve">https://www.bestpractice.ai/ai-case-study-best-practice/accenture_redeploys_after_automating_tasks_with_rpa_system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2" w:name="fn12"/>
    <w:bookmarkEnd w:id="152"/>
    <w:p>
      <w:pPr>
        <w:numPr>
          <w:ilvl w:val="0"/>
          <w:numId w:val="57"/>
        </w:numPr>
        <w:spacing w:line="360" w:after="210" w:lineRule="auto"/>
      </w:pPr>
      <w:hyperlink r:id="rId18">
        <w:r>
          <w:rPr>
            <w:rFonts w:eastAsia="inter" w:cs="inter" w:ascii="inter" w:hAnsi="inter"/>
            <w:color w:val="#000"/>
            <w:sz w:val="18"/>
            <w:u w:val="single"/>
          </w:rPr>
          <w:t xml:space="preserve">https://www.rtinsights.com/accenture-synops/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3" w:name="fn13"/>
    <w:bookmarkEnd w:id="153"/>
    <w:p>
      <w:pPr>
        <w:numPr>
          <w:ilvl w:val="0"/>
          <w:numId w:val="57"/>
        </w:numPr>
        <w:spacing w:line="360" w:after="210" w:lineRule="auto"/>
      </w:pPr>
      <w:hyperlink r:id="rId19">
        <w:r>
          <w:rPr>
            <w:rFonts w:eastAsia="inter" w:cs="inter" w:ascii="inter" w:hAnsi="inter"/>
            <w:color w:val="#000"/>
            <w:sz w:val="18"/>
            <w:u w:val="single"/>
          </w:rPr>
          <w:t xml:space="preserve">https://www.techzine.eu/news/infrastructure/38509/accenture-synops-helps-automate-processes/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4" w:name="fn14"/>
    <w:bookmarkEnd w:id="154"/>
    <w:p>
      <w:pPr>
        <w:numPr>
          <w:ilvl w:val="0"/>
          <w:numId w:val="57"/>
        </w:numPr>
        <w:spacing w:line="360" w:after="210" w:lineRule="auto"/>
      </w:pPr>
      <w:hyperlink r:id="rId20">
        <w:r>
          <w:rPr>
            <w:rFonts w:eastAsia="inter" w:cs="inter" w:ascii="inter" w:hAnsi="inter"/>
            <w:color w:val="#000"/>
            <w:sz w:val="18"/>
            <w:u w:val="single"/>
          </w:rPr>
          <w:t xml:space="preserve">https://newsroom.accenture.com/news/2020/accenture-introduces-powerful-new-version-of-mywizard-intelligent-automation-platform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5" w:name="fn15"/>
    <w:bookmarkEnd w:id="155"/>
    <w:p>
      <w:pPr>
        <w:numPr>
          <w:ilvl w:val="0"/>
          <w:numId w:val="57"/>
        </w:numPr>
        <w:spacing w:line="360" w:after="210" w:lineRule="auto"/>
      </w:pPr>
      <w:hyperlink r:id="rId21">
        <w:r>
          <w:rPr>
            <w:rFonts w:eastAsia="inter" w:cs="inter" w:ascii="inter" w:hAnsi="inter"/>
            <w:color w:val="#000"/>
            <w:sz w:val="18"/>
            <w:u w:val="single"/>
          </w:rPr>
          <w:t xml:space="preserve">https://www.helpnetsecurity.com/2020/09/11/accenture-mywizard-automation-platform-gets-ai-powered-automation-features/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6" w:name="fn16"/>
    <w:bookmarkEnd w:id="156"/>
    <w:p>
      <w:pPr>
        <w:numPr>
          <w:ilvl w:val="0"/>
          <w:numId w:val="57"/>
        </w:numPr>
        <w:spacing w:line="360" w:after="210" w:lineRule="auto"/>
      </w:pPr>
      <w:hyperlink r:id="rId22">
        <w:r>
          <w:rPr>
            <w:rFonts w:eastAsia="inter" w:cs="inter" w:ascii="inter" w:hAnsi="inter"/>
            <w:color w:val="#000"/>
            <w:sz w:val="18"/>
            <w:u w:val="single"/>
          </w:rPr>
          <w:t xml:space="preserve">https://aithority.com/computing/accenture-mywizard-and-the-dawn-of-ai-based-intelligent-automation-platform/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7" w:name="fn17"/>
    <w:bookmarkEnd w:id="157"/>
    <w:p>
      <w:pPr>
        <w:numPr>
          <w:ilvl w:val="0"/>
          <w:numId w:val="57"/>
        </w:numPr>
        <w:spacing w:line="360" w:after="210" w:lineRule="auto"/>
      </w:pPr>
      <w:hyperlink r:id="rId23">
        <w:r>
          <w:rPr>
            <w:rFonts w:eastAsia="inter" w:cs="inter" w:ascii="inter" w:hAnsi="inter"/>
            <w:color w:val="#000"/>
            <w:sz w:val="18"/>
            <w:u w:val="single"/>
          </w:rPr>
          <w:t xml:space="preserve">https://www.accenture.com/content/dam/accenture/final/a-com-migration/manual/r3/pdf/pdf-108/Accenture-MyWizard.pdf</w:t>
        </w:r>
      </w:hyperlink>
      <w:r>
        <w:rPr>
          <w:rFonts w:eastAsia="inter" w:cs="inter" w:ascii="inter" w:hAnsi="inter"/>
          <w:color w:val="000000"/>
          <w:sz w:val="18"/>
        </w:rPr>
        <w:t xml:space="preserve"> </w:t>
      </w:r>
    </w:p>
    <w:bookmarkStart w:id="158" w:name="fn18"/>
    <w:bookmarkEnd w:id="158"/>
    <w:p>
      <w:pPr>
        <w:numPr>
          <w:ilvl w:val="0"/>
          <w:numId w:val="57"/>
        </w:numPr>
        <w:spacing w:line="360" w:after="210" w:lineRule="auto"/>
      </w:pPr>
      <w:hyperlink r:id="rId24">
        <w:r>
          <w:rPr>
            <w:rFonts w:eastAsia="inter" w:cs="inter" w:ascii="inter" w:hAnsi="inter"/>
            <w:color w:val="#000"/>
            <w:sz w:val="18"/>
            <w:u w:val="single"/>
          </w:rPr>
          <w:t xml:space="preserve">https://www.crn.com/news/managed-services/accenture-ceo-julie-sweet-all-strategies-continue-to-lead-to-technology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9" w:name="fn19"/>
    <w:bookmarkEnd w:id="159"/>
    <w:p>
      <w:pPr>
        <w:numPr>
          <w:ilvl w:val="0"/>
          <w:numId w:val="57"/>
        </w:numPr>
        <w:spacing w:line="360" w:after="210" w:lineRule="auto"/>
      </w:pPr>
      <w:hyperlink r:id="rId25">
        <w:r>
          <w:rPr>
            <w:rFonts w:eastAsia="inter" w:cs="inter" w:ascii="inter" w:hAnsi="inter"/>
            <w:color w:val="#000"/>
            <w:sz w:val="18"/>
            <w:u w:val="single"/>
          </w:rPr>
          <w:t xml:space="preserve">https://time.com/7325675/accenture-ceo-julie-sweet-interview/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0" w:name="fn20"/>
    <w:bookmarkEnd w:id="160"/>
    <w:p>
      <w:pPr>
        <w:numPr>
          <w:ilvl w:val="0"/>
          <w:numId w:val="57"/>
        </w:numPr>
        <w:spacing w:line="360" w:after="210" w:lineRule="auto"/>
      </w:pPr>
      <w:hyperlink r:id="rId26">
        <w:r>
          <w:rPr>
            <w:rFonts w:eastAsia="inter" w:cs="inter" w:ascii="inter" w:hAnsi="inter"/>
            <w:color w:val="#000"/>
            <w:sz w:val="18"/>
            <w:u w:val="single"/>
          </w:rPr>
          <w:t xml:space="preserve">https://www.youtube.com/watch?v=2HabAoy3nv4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1" w:name="fn21"/>
    <w:bookmarkEnd w:id="161"/>
    <w:p>
      <w:pPr>
        <w:numPr>
          <w:ilvl w:val="0"/>
          <w:numId w:val="57"/>
        </w:numPr>
        <w:spacing w:line="360" w:after="210" w:lineRule="auto"/>
      </w:pPr>
      <w:hyperlink r:id="rId27">
        <w:r>
          <w:rPr>
            <w:rFonts w:eastAsia="inter" w:cs="inter" w:ascii="inter" w:hAnsi="inter"/>
            <w:color w:val="#000"/>
            <w:sz w:val="18"/>
            <w:u w:val="single"/>
          </w:rPr>
          <w:t xml:space="preserve">https://www.accenture.com/us-en/about/location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2" w:name="fn22"/>
    <w:bookmarkEnd w:id="162"/>
    <w:p>
      <w:pPr>
        <w:numPr>
          <w:ilvl w:val="0"/>
          <w:numId w:val="57"/>
        </w:numPr>
        <w:spacing w:line="360" w:after="210" w:lineRule="auto"/>
      </w:pPr>
      <w:hyperlink r:id="rId28">
        <w:r>
          <w:rPr>
            <w:rFonts w:eastAsia="inter" w:cs="inter" w:ascii="inter" w:hAnsi="inter"/>
            <w:color w:val="#000"/>
            <w:sz w:val="18"/>
            <w:u w:val="single"/>
          </w:rPr>
          <w:t xml:space="preserve">https://www.accenture.com/il-en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3" w:name="fn23"/>
    <w:bookmarkEnd w:id="163"/>
    <w:p>
      <w:pPr>
        <w:numPr>
          <w:ilvl w:val="0"/>
          <w:numId w:val="57"/>
        </w:numPr>
        <w:spacing w:line="360" w:after="210" w:lineRule="auto"/>
      </w:pPr>
      <w:hyperlink r:id="rId29">
        <w:r>
          <w:rPr>
            <w:rFonts w:eastAsia="inter" w:cs="inter" w:ascii="inter" w:hAnsi="inter"/>
            <w:color w:val="#000"/>
            <w:sz w:val="18"/>
            <w:u w:val="single"/>
          </w:rPr>
          <w:t xml:space="preserve">https://il.linkedin.com/company/accenture_israel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4" w:name="fn24"/>
    <w:bookmarkEnd w:id="164"/>
    <w:p>
      <w:pPr>
        <w:numPr>
          <w:ilvl w:val="0"/>
          <w:numId w:val="57"/>
        </w:numPr>
        <w:spacing w:line="360" w:after="210" w:lineRule="auto"/>
      </w:pPr>
      <w:hyperlink r:id="rId30">
        <w:r>
          <w:rPr>
            <w:rFonts w:eastAsia="inter" w:cs="inter" w:ascii="inter" w:hAnsi="inter"/>
            <w:color w:val="#000"/>
            <w:sz w:val="18"/>
            <w:u w:val="single"/>
          </w:rPr>
          <w:t xml:space="preserve">https://en.globes.co.il/en/article-accenture-buys-israeli-cybersecurity-co-maglan-1001133594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5" w:name="fn25"/>
    <w:bookmarkEnd w:id="165"/>
    <w:p>
      <w:pPr>
        <w:numPr>
          <w:ilvl w:val="0"/>
          <w:numId w:val="57"/>
        </w:numPr>
        <w:spacing w:line="360" w:after="210" w:lineRule="auto"/>
      </w:pPr>
      <w:hyperlink r:id="rId31">
        <w:r>
          <w:rPr>
            <w:rFonts w:eastAsia="inter" w:cs="inter" w:ascii="inter" w:hAnsi="inter"/>
            <w:color w:val="#000"/>
            <w:sz w:val="18"/>
            <w:u w:val="single"/>
          </w:rPr>
          <w:t xml:space="preserve">https://www.timesofisrael.com/accenture-buys-israels-maglan-sets-up-cyber-security-rd-lab/</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6" w:name="fn26"/>
    <w:bookmarkEnd w:id="166"/>
    <w:p>
      <w:pPr>
        <w:numPr>
          <w:ilvl w:val="0"/>
          <w:numId w:val="57"/>
        </w:numPr>
        <w:spacing w:line="360" w:after="210" w:lineRule="auto"/>
      </w:pPr>
      <w:hyperlink r:id="rId32">
        <w:r>
          <w:rPr>
            <w:rFonts w:eastAsia="inter" w:cs="inter" w:ascii="inter" w:hAnsi="inter"/>
            <w:color w:val="#000"/>
            <w:sz w:val="18"/>
            <w:u w:val="single"/>
          </w:rPr>
          <w:t xml:space="preserve">https://newsroom.accenture.com/news/2016/accenture-acquires-maglan-expands-security-services-in-israel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7" w:name="fn27"/>
    <w:bookmarkEnd w:id="167"/>
    <w:p>
      <w:pPr>
        <w:numPr>
          <w:ilvl w:val="0"/>
          <w:numId w:val="57"/>
        </w:numPr>
        <w:spacing w:line="360" w:after="210" w:lineRule="auto"/>
      </w:pPr>
      <w:hyperlink r:id="rId33">
        <w:r>
          <w:rPr>
            <w:rFonts w:eastAsia="inter" w:cs="inter" w:ascii="inter" w:hAnsi="inter"/>
            <w:color w:val="#000"/>
            <w:sz w:val="18"/>
            <w:u w:val="single"/>
          </w:rPr>
          <w:t xml:space="preserve">https://www.accenture.com/content/dam/accenture/final/a-com-migration/r3-3/pdf/pdf-99/accenture-collaborative-innovation.pdf</w:t>
        </w:r>
      </w:hyperlink>
      <w:r>
        <w:rPr>
          <w:rFonts w:eastAsia="inter" w:cs="inter" w:ascii="inter" w:hAnsi="inter"/>
          <w:color w:val="000000"/>
          <w:sz w:val="18"/>
        </w:rPr>
        <w:t xml:space="preserve"> </w:t>
      </w:r>
    </w:p>
    <w:bookmarkStart w:id="168" w:name="fn28"/>
    <w:bookmarkEnd w:id="168"/>
    <w:p>
      <w:pPr>
        <w:numPr>
          <w:ilvl w:val="0"/>
          <w:numId w:val="57"/>
        </w:numPr>
        <w:spacing w:line="360" w:after="210" w:lineRule="auto"/>
      </w:pPr>
      <w:hyperlink r:id="rId34">
        <w:r>
          <w:rPr>
            <w:rFonts w:eastAsia="inter" w:cs="inter" w:ascii="inter" w:hAnsi="inter"/>
            <w:color w:val="#000"/>
            <w:sz w:val="18"/>
            <w:u w:val="single"/>
          </w:rPr>
          <w:t xml:space="preserve">https://en.globes.co.il/en/article-mergers-make-matrix-one-of-israels-biggest-employers-1001497197</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69" w:name="fn29"/>
    <w:bookmarkEnd w:id="169"/>
    <w:p>
      <w:pPr>
        <w:numPr>
          <w:ilvl w:val="0"/>
          <w:numId w:val="57"/>
        </w:numPr>
        <w:spacing w:line="360" w:after="210" w:lineRule="auto"/>
      </w:pPr>
      <w:hyperlink r:id="rId35">
        <w:r>
          <w:rPr>
            <w:rFonts w:eastAsia="inter" w:cs="inter" w:ascii="inter" w:hAnsi="inter"/>
            <w:color w:val="#000"/>
            <w:sz w:val="18"/>
            <w:u w:val="single"/>
          </w:rPr>
          <w:t xml:space="preserve">https://www.whoprofits.org/companies/company/4009?matrix-it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0" w:name="fn30"/>
    <w:bookmarkEnd w:id="170"/>
    <w:p>
      <w:pPr>
        <w:numPr>
          <w:ilvl w:val="0"/>
          <w:numId w:val="57"/>
        </w:numPr>
        <w:spacing w:line="360" w:after="210" w:lineRule="auto"/>
      </w:pPr>
      <w:hyperlink r:id="rId36">
        <w:r>
          <w:rPr>
            <w:rFonts w:eastAsia="inter" w:cs="inter" w:ascii="inter" w:hAnsi="inter"/>
            <w:color w:val="#000"/>
            <w:sz w:val="18"/>
            <w:u w:val="single"/>
          </w:rPr>
          <w:t xml:space="preserve">https://enterpriseaiexecutive.ai/p/accenture-what-2000-client-projects-revealed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1" w:name="fn31"/>
    <w:bookmarkEnd w:id="171"/>
    <w:p>
      <w:pPr>
        <w:numPr>
          <w:ilvl w:val="0"/>
          <w:numId w:val="57"/>
        </w:numPr>
        <w:spacing w:line="360" w:after="210" w:lineRule="auto"/>
      </w:pPr>
      <w:hyperlink r:id="rId37">
        <w:r>
          <w:rPr>
            <w:rFonts w:eastAsia="inter" w:cs="inter" w:ascii="inter" w:hAnsi="inter"/>
            <w:color w:val="#000"/>
            <w:sz w:val="18"/>
            <w:u w:val="single"/>
          </w:rPr>
          <w:t xml:space="preserve">https://www.accenture.com/us-en/insights/strategy/reinvented-with-accenture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2" w:name="fn32"/>
    <w:bookmarkEnd w:id="172"/>
    <w:p>
      <w:pPr>
        <w:numPr>
          <w:ilvl w:val="0"/>
          <w:numId w:val="57"/>
        </w:numPr>
        <w:spacing w:line="360" w:after="210" w:lineRule="auto"/>
      </w:pPr>
      <w:hyperlink r:id="rId38">
        <w:r>
          <w:rPr>
            <w:rFonts w:eastAsia="inter" w:cs="inter" w:ascii="inter" w:hAnsi="inter"/>
            <w:color w:val="#000"/>
            <w:sz w:val="18"/>
            <w:u w:val="single"/>
          </w:rPr>
          <w:t xml:space="preserve">https://www.accenture.com/us-en/case-studies/data-ai/best-buy-humanizes-customer-experience-genai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3" w:name="fn33"/>
    <w:bookmarkEnd w:id="173"/>
    <w:p>
      <w:pPr>
        <w:numPr>
          <w:ilvl w:val="0"/>
          <w:numId w:val="57"/>
        </w:numPr>
        <w:spacing w:line="360" w:after="210" w:lineRule="auto"/>
      </w:pPr>
      <w:hyperlink r:id="rId39">
        <w:r>
          <w:rPr>
            <w:rFonts w:eastAsia="inter" w:cs="inter" w:ascii="inter" w:hAnsi="inter"/>
            <w:color w:val="#000"/>
            <w:sz w:val="18"/>
            <w:u w:val="single"/>
          </w:rPr>
          <w:t xml:space="preserve">https://www.linkedin.com/posts/michaelabbott3_gen-ai-best-buy-case-study-accenture-activity-7357077691092639744-P-vu</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4" w:name="fn34"/>
    <w:bookmarkEnd w:id="174"/>
    <w:p>
      <w:pPr>
        <w:numPr>
          <w:ilvl w:val="0"/>
          <w:numId w:val="57"/>
        </w:numPr>
        <w:spacing w:line="360" w:after="210" w:lineRule="auto"/>
      </w:pPr>
      <w:hyperlink r:id="rId40">
        <w:r>
          <w:rPr>
            <w:rFonts w:eastAsia="inter" w:cs="inter" w:ascii="inter" w:hAnsi="inter"/>
            <w:color w:val="#000"/>
            <w:sz w:val="18"/>
            <w:u w:val="single"/>
          </w:rPr>
          <w:t xml:space="preserve">https://www.accenture.com/il-en/case-studies/artificial-intelligence/siam-commercial-banking-data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5" w:name="fn35"/>
    <w:bookmarkEnd w:id="175"/>
    <w:p>
      <w:pPr>
        <w:numPr>
          <w:ilvl w:val="0"/>
          <w:numId w:val="57"/>
        </w:numPr>
        <w:spacing w:line="360" w:after="210" w:lineRule="auto"/>
      </w:pPr>
      <w:hyperlink r:id="rId41">
        <w:r>
          <w:rPr>
            <w:rFonts w:eastAsia="inter" w:cs="inter" w:ascii="inter" w:hAnsi="inter"/>
            <w:color w:val="#000"/>
            <w:sz w:val="18"/>
            <w:u w:val="single"/>
          </w:rPr>
          <w:t xml:space="preserve">https://newsroom.accenture.com/news/2023/accenture-to-invest-3-billion-in-ai-to-accelerate-clients-reinvention</w:t>
        </w:r>
      </w:hyperlink>
      <w:r>
        <w:rPr>
          <w:rFonts w:eastAsia="inter" w:cs="inter" w:ascii="inter" w:hAnsi="inter"/>
          <w:color w:val="000000"/>
          <w:sz w:val="18"/>
        </w:rPr>
        <w:t xml:space="preserve"> </w:t>
      </w:r>
    </w:p>
    <w:bookmarkStart w:id="176" w:name="fn36"/>
    <w:bookmarkEnd w:id="176"/>
    <w:p>
      <w:pPr>
        <w:numPr>
          <w:ilvl w:val="0"/>
          <w:numId w:val="57"/>
        </w:numPr>
        <w:spacing w:line="360" w:after="210" w:lineRule="auto"/>
      </w:pPr>
      <w:hyperlink r:id="rId42">
        <w:r>
          <w:rPr>
            <w:rFonts w:eastAsia="inter" w:cs="inter" w:ascii="inter" w:hAnsi="inter"/>
            <w:color w:val="#000"/>
            <w:sz w:val="18"/>
            <w:u w:val="single"/>
          </w:rPr>
          <w:t xml:space="preserve">https://heraldes.khmnu.edu.ua/index.php/heraldes/article/view/118</w:t>
        </w:r>
      </w:hyperlink>
      <w:r>
        <w:rPr>
          <w:rFonts w:eastAsia="inter" w:cs="inter" w:ascii="inter" w:hAnsi="inter"/>
          <w:color w:val="000000"/>
          <w:sz w:val="18"/>
        </w:rPr>
        <w:t xml:space="preserve"> </w:t>
      </w:r>
    </w:p>
    <w:bookmarkStart w:id="177" w:name="fn37"/>
    <w:bookmarkEnd w:id="177"/>
    <w:p>
      <w:pPr>
        <w:numPr>
          <w:ilvl w:val="0"/>
          <w:numId w:val="57"/>
        </w:numPr>
        <w:spacing w:line="360" w:after="210" w:lineRule="auto"/>
      </w:pPr>
      <w:hyperlink r:id="rId43">
        <w:r>
          <w:rPr>
            <w:rFonts w:eastAsia="inter" w:cs="inter" w:ascii="inter" w:hAnsi="inter"/>
            <w:color w:val="#000"/>
            <w:sz w:val="18"/>
            <w:u w:val="single"/>
          </w:rPr>
          <w:t xml:space="preserve">https://www.prudentpedal.com/what-accentures-reinvention-strategy-teaches-professional-services-about-positioning-and-thought-leadership/</w:t>
        </w:r>
      </w:hyperlink>
      <w:r>
        <w:rPr>
          <w:rFonts w:eastAsia="inter" w:cs="inter" w:ascii="inter" w:hAnsi="inter"/>
          <w:color w:val="000000"/>
          <w:sz w:val="18"/>
        </w:rPr>
        <w:t xml:space="preserve"> </w:t>
      </w:r>
    </w:p>
    <w:bookmarkStart w:id="178" w:name="fn38"/>
    <w:bookmarkEnd w:id="178"/>
    <w:p>
      <w:pPr>
        <w:numPr>
          <w:ilvl w:val="0"/>
          <w:numId w:val="57"/>
        </w:numPr>
        <w:spacing w:line="360" w:after="210" w:lineRule="auto"/>
      </w:pPr>
      <w:hyperlink r:id="rId44">
        <w:r>
          <w:rPr>
            <w:rFonts w:eastAsia="inter" w:cs="inter" w:ascii="inter" w:hAnsi="inter"/>
            <w:color w:val="#000"/>
            <w:sz w:val="18"/>
            <w:u w:val="single"/>
          </w:rPr>
          <w:t xml:space="preserve">https://www.horsesforsources.com/goog_msft_ai_services_072219/</w:t>
        </w:r>
      </w:hyperlink>
      <w:r>
        <w:rPr>
          <w:rFonts w:eastAsia="inter" w:cs="inter" w:ascii="inter" w:hAnsi="inter"/>
          <w:color w:val="000000"/>
          <w:sz w:val="18"/>
        </w:rPr>
        <w:t xml:space="preserve"> </w:t>
      </w:r>
    </w:p>
    <w:bookmarkStart w:id="179" w:name="fn39"/>
    <w:bookmarkEnd w:id="179"/>
    <w:p>
      <w:pPr>
        <w:numPr>
          <w:ilvl w:val="0"/>
          <w:numId w:val="57"/>
        </w:numPr>
        <w:spacing w:line="360" w:after="210" w:lineRule="auto"/>
      </w:pPr>
      <w:hyperlink r:id="rId45">
        <w:r>
          <w:rPr>
            <w:rFonts w:eastAsia="inter" w:cs="inter" w:ascii="inter" w:hAnsi="inter"/>
            <w:color w:val="#000"/>
            <w:sz w:val="18"/>
            <w:u w:val="single"/>
          </w:rPr>
          <w:t xml:space="preserve">https://www.linkedin.com/pulse/services-consulting-which-one-should-i-choose-amit-birk-6so3c</w:t>
        </w:r>
      </w:hyperlink>
      <w:r>
        <w:rPr>
          <w:rFonts w:eastAsia="inter" w:cs="inter" w:ascii="inter" w:hAnsi="inter"/>
          <w:color w:val="000000"/>
          <w:sz w:val="18"/>
        </w:rPr>
        <w:t xml:space="preserve"> </w:t>
      </w:r>
    </w:p>
    <w:bookmarkStart w:id="180" w:name="fn40"/>
    <w:bookmarkEnd w:id="180"/>
    <w:p>
      <w:pPr>
        <w:numPr>
          <w:ilvl w:val="0"/>
          <w:numId w:val="57"/>
        </w:numPr>
        <w:spacing w:line="360" w:after="210" w:lineRule="auto"/>
      </w:pPr>
      <w:hyperlink r:id="rId46">
        <w:r>
          <w:rPr>
            <w:rFonts w:eastAsia="inter" w:cs="inter" w:ascii="inter" w:hAnsi="inter"/>
            <w:color w:val="#000"/>
            <w:sz w:val="18"/>
            <w:u w:val="single"/>
          </w:rPr>
          <w:t xml:space="preserve">https://ijsra.net/sites/default/files/IJSRA-2024-0639.pdf</w:t>
        </w:r>
      </w:hyperlink>
      <w:r>
        <w:rPr>
          <w:rFonts w:eastAsia="inter" w:cs="inter" w:ascii="inter" w:hAnsi="inter"/>
          <w:color w:val="000000"/>
          <w:sz w:val="18"/>
        </w:rPr>
        <w:t xml:space="preserve"> </w:t>
      </w:r>
    </w:p>
    <w:bookmarkStart w:id="181" w:name="fn41"/>
    <w:bookmarkEnd w:id="181"/>
    <w:p>
      <w:pPr>
        <w:numPr>
          <w:ilvl w:val="0"/>
          <w:numId w:val="57"/>
        </w:numPr>
        <w:spacing w:line="360" w:after="210" w:lineRule="auto"/>
      </w:pPr>
      <w:hyperlink r:id="rId47">
        <w:r>
          <w:rPr>
            <w:rFonts w:eastAsia="inter" w:cs="inter" w:ascii="inter" w:hAnsi="inter"/>
            <w:color w:val="#000"/>
            <w:sz w:val="18"/>
            <w:u w:val="single"/>
          </w:rPr>
          <w:t xml:space="preserve">http://arxiv.org/pdf/2411.13017.pdf</w:t>
        </w:r>
      </w:hyperlink>
      <w:r>
        <w:rPr>
          <w:rFonts w:eastAsia="inter" w:cs="inter" w:ascii="inter" w:hAnsi="inter"/>
          <w:color w:val="000000"/>
          <w:sz w:val="18"/>
        </w:rPr>
        <w:t xml:space="preserve"> </w:t>
      </w:r>
    </w:p>
    <w:bookmarkStart w:id="182" w:name="fn42"/>
    <w:bookmarkEnd w:id="182"/>
    <w:p>
      <w:pPr>
        <w:numPr>
          <w:ilvl w:val="0"/>
          <w:numId w:val="57"/>
        </w:numPr>
        <w:spacing w:line="360" w:after="210" w:lineRule="auto"/>
      </w:pPr>
      <w:hyperlink r:id="rId48">
        <w:r>
          <w:rPr>
            <w:rFonts w:eastAsia="inter" w:cs="inter" w:ascii="inter" w:hAnsi="inter"/>
            <w:color w:val="#000"/>
            <w:sz w:val="18"/>
            <w:u w:val="single"/>
          </w:rPr>
          <w:t xml:space="preserve">http://arxiv.org/pdf/2502.09479.pdf</w:t>
        </w:r>
      </w:hyperlink>
      <w:r>
        <w:rPr>
          <w:rFonts w:eastAsia="inter" w:cs="inter" w:ascii="inter" w:hAnsi="inter"/>
          <w:color w:val="000000"/>
          <w:sz w:val="18"/>
        </w:rPr>
        <w:t xml:space="preserve"> </w:t>
      </w:r>
    </w:p>
    <w:bookmarkStart w:id="183" w:name="fn43"/>
    <w:bookmarkEnd w:id="183"/>
    <w:p>
      <w:pPr>
        <w:numPr>
          <w:ilvl w:val="0"/>
          <w:numId w:val="57"/>
        </w:numPr>
        <w:spacing w:line="360" w:after="210" w:lineRule="auto"/>
      </w:pPr>
      <w:hyperlink r:id="rId49">
        <w:r>
          <w:rPr>
            <w:rFonts w:eastAsia="inter" w:cs="inter" w:ascii="inter" w:hAnsi="inter"/>
            <w:color w:val="#000"/>
            <w:sz w:val="18"/>
            <w:u w:val="single"/>
          </w:rPr>
          <w:t xml:space="preserve">http://arxiv.org/pdf/2411.14437.pdf</w:t>
        </w:r>
      </w:hyperlink>
      <w:r>
        <w:rPr>
          <w:rFonts w:eastAsia="inter" w:cs="inter" w:ascii="inter" w:hAnsi="inter"/>
          <w:color w:val="000000"/>
          <w:sz w:val="18"/>
        </w:rPr>
        <w:t xml:space="preserve"> </w:t>
      </w:r>
    </w:p>
    <w:bookmarkStart w:id="184" w:name="fn44"/>
    <w:bookmarkEnd w:id="184"/>
    <w:p>
      <w:pPr>
        <w:numPr>
          <w:ilvl w:val="0"/>
          <w:numId w:val="57"/>
        </w:numPr>
        <w:spacing w:line="360" w:after="210" w:lineRule="auto"/>
      </w:pPr>
      <w:hyperlink r:id="rId50">
        <w:r>
          <w:rPr>
            <w:rFonts w:eastAsia="inter" w:cs="inter" w:ascii="inter" w:hAnsi="inter"/>
            <w:color w:val="#000"/>
            <w:sz w:val="18"/>
            <w:u w:val="single"/>
          </w:rPr>
          <w:t xml:space="preserve">http://arxiv.org/pdf/2502.09172.pdf</w:t>
        </w:r>
      </w:hyperlink>
      <w:r>
        <w:rPr>
          <w:rFonts w:eastAsia="inter" w:cs="inter" w:ascii="inter" w:hAnsi="inter"/>
          <w:color w:val="000000"/>
          <w:sz w:val="18"/>
        </w:rPr>
        <w:t xml:space="preserve"> </w:t>
      </w:r>
    </w:p>
    <w:bookmarkStart w:id="185" w:name="fn45"/>
    <w:bookmarkEnd w:id="185"/>
    <w:p>
      <w:pPr>
        <w:numPr>
          <w:ilvl w:val="0"/>
          <w:numId w:val="57"/>
        </w:numPr>
        <w:spacing w:line="360" w:after="210" w:lineRule="auto"/>
      </w:pPr>
      <w:hyperlink r:id="rId51">
        <w:r>
          <w:rPr>
            <w:rFonts w:eastAsia="inter" w:cs="inter" w:ascii="inter" w:hAnsi="inter"/>
            <w:color w:val="#000"/>
            <w:sz w:val="18"/>
            <w:u w:val="single"/>
          </w:rPr>
          <w:t xml:space="preserve">https://arxiv.org/pdf/2404.04101.pdf</w:t>
        </w:r>
      </w:hyperlink>
      <w:r>
        <w:rPr>
          <w:rFonts w:eastAsia="inter" w:cs="inter" w:ascii="inter" w:hAnsi="inter"/>
          <w:color w:val="000000"/>
          <w:sz w:val="18"/>
        </w:rPr>
        <w:t xml:space="preserve"> </w:t>
      </w:r>
    </w:p>
    <w:bookmarkStart w:id="186" w:name="fn46"/>
    <w:bookmarkEnd w:id="186"/>
    <w:p>
      <w:pPr>
        <w:numPr>
          <w:ilvl w:val="0"/>
          <w:numId w:val="57"/>
        </w:numPr>
        <w:spacing w:line="360" w:after="210" w:lineRule="auto"/>
      </w:pPr>
      <w:hyperlink r:id="rId52">
        <w:r>
          <w:rPr>
            <w:rFonts w:eastAsia="inter" w:cs="inter" w:ascii="inter" w:hAnsi="inter"/>
            <w:color w:val="#000"/>
            <w:sz w:val="18"/>
            <w:u w:val="single"/>
          </w:rPr>
          <w:t xml:space="preserve">https://arxiv.org/pdf/2304.11771.pdf</w:t>
        </w:r>
      </w:hyperlink>
      <w:r>
        <w:rPr>
          <w:rFonts w:eastAsia="inter" w:cs="inter" w:ascii="inter" w:hAnsi="inter"/>
          <w:color w:val="000000"/>
          <w:sz w:val="18"/>
        </w:rPr>
        <w:t xml:space="preserve"> </w:t>
      </w:r>
    </w:p>
    <w:bookmarkStart w:id="187" w:name="fn47"/>
    <w:bookmarkEnd w:id="187"/>
    <w:p>
      <w:pPr>
        <w:numPr>
          <w:ilvl w:val="0"/>
          <w:numId w:val="57"/>
        </w:numPr>
        <w:spacing w:line="360" w:after="210" w:lineRule="auto"/>
      </w:pPr>
      <w:hyperlink r:id="rId53">
        <w:r>
          <w:rPr>
            <w:rFonts w:eastAsia="inter" w:cs="inter" w:ascii="inter" w:hAnsi="inter"/>
            <w:color w:val="#000"/>
            <w:sz w:val="18"/>
            <w:u w:val="single"/>
          </w:rPr>
          <w:t xml:space="preserve">https://arxiv.org/pdf/2410.15653.pdf</w:t>
        </w:r>
      </w:hyperlink>
      <w:r>
        <w:rPr>
          <w:rFonts w:eastAsia="inter" w:cs="inter" w:ascii="inter" w:hAnsi="inter"/>
          <w:color w:val="000000"/>
          <w:sz w:val="18"/>
        </w:rPr>
        <w:t xml:space="preserve"> </w:t>
      </w:r>
    </w:p>
    <w:bookmarkStart w:id="188" w:name="fn48"/>
    <w:bookmarkEnd w:id="188"/>
    <w:p>
      <w:pPr>
        <w:numPr>
          <w:ilvl w:val="0"/>
          <w:numId w:val="57"/>
        </w:numPr>
        <w:spacing w:line="360" w:after="210" w:lineRule="auto"/>
      </w:pPr>
      <w:hyperlink r:id="rId54">
        <w:r>
          <w:rPr>
            <w:rFonts w:eastAsia="inter" w:cs="inter" w:ascii="inter" w:hAnsi="inter"/>
            <w:color w:val="#000"/>
            <w:sz w:val="18"/>
            <w:u w:val="single"/>
          </w:rPr>
          <w:t xml:space="preserve">https://www.accenture.com/us-en/case-studies/data-ai/data-generative-ai-client-stories</w:t>
        </w:r>
      </w:hyperlink>
      <w:r>
        <w:rPr>
          <w:rFonts w:eastAsia="inter" w:cs="inter" w:ascii="inter" w:hAnsi="inter"/>
          <w:color w:val="000000"/>
          <w:sz w:val="18"/>
        </w:rPr>
        <w:t xml:space="preserve"> </w:t>
      </w:r>
    </w:p>
    <w:bookmarkStart w:id="189" w:name="fn49"/>
    <w:bookmarkEnd w:id="189"/>
    <w:p>
      <w:pPr>
        <w:numPr>
          <w:ilvl w:val="0"/>
          <w:numId w:val="57"/>
        </w:numPr>
        <w:spacing w:line="360" w:after="210" w:lineRule="auto"/>
      </w:pPr>
      <w:hyperlink r:id="rId55">
        <w:r>
          <w:rPr>
            <w:rFonts w:eastAsia="inter" w:cs="inter" w:ascii="inter" w:hAnsi="inter"/>
            <w:color w:val="#000"/>
            <w:sz w:val="18"/>
            <w:u w:val="single"/>
          </w:rPr>
          <w:t xml:space="preserve">https://www.accenture.com/us-en/insights/banking/generative-ai-banking</w:t>
        </w:r>
      </w:hyperlink>
      <w:r>
        <w:rPr>
          <w:rFonts w:eastAsia="inter" w:cs="inter" w:ascii="inter" w:hAnsi="inter"/>
          <w:color w:val="000000"/>
          <w:sz w:val="18"/>
        </w:rPr>
        <w:t xml:space="preserve"> </w:t>
      </w:r>
    </w:p>
    <w:bookmarkStart w:id="190" w:name="fn50"/>
    <w:bookmarkEnd w:id="190"/>
    <w:p>
      <w:pPr>
        <w:numPr>
          <w:ilvl w:val="0"/>
          <w:numId w:val="57"/>
        </w:numPr>
        <w:spacing w:line="360" w:after="210" w:lineRule="auto"/>
      </w:pPr>
      <w:hyperlink r:id="rId56">
        <w:r>
          <w:rPr>
            <w:rFonts w:eastAsia="inter" w:cs="inter" w:ascii="inter" w:hAnsi="inter"/>
            <w:color w:val="#000"/>
            <w:sz w:val="18"/>
            <w:u w:val="single"/>
          </w:rPr>
          <w:t xml:space="preserve">https://www.oracle.com/il-en/partner/accenture/</w:t>
        </w:r>
      </w:hyperlink>
      <w:r>
        <w:rPr>
          <w:rFonts w:eastAsia="inter" w:cs="inter" w:ascii="inter" w:hAnsi="inter"/>
          <w:color w:val="000000"/>
          <w:sz w:val="18"/>
        </w:rPr>
        <w:t xml:space="preserve"> </w:t>
      </w:r>
    </w:p>
    <w:bookmarkStart w:id="191" w:name="fn51"/>
    <w:bookmarkEnd w:id="191"/>
    <w:p>
      <w:pPr>
        <w:numPr>
          <w:ilvl w:val="0"/>
          <w:numId w:val="57"/>
        </w:numPr>
        <w:spacing w:line="360" w:after="210" w:lineRule="auto"/>
      </w:pPr>
      <w:hyperlink r:id="rId57">
        <w:r>
          <w:rPr>
            <w:rFonts w:eastAsia="inter" w:cs="inter" w:ascii="inter" w:hAnsi="inter"/>
            <w:color w:val="#000"/>
            <w:sz w:val="18"/>
            <w:u w:val="single"/>
          </w:rPr>
          <w:t xml:space="preserve">https://www.accenture.com/us-en/case-studies/finance/accenture-finance-transformation</w:t>
        </w:r>
      </w:hyperlink>
      <w:r>
        <w:rPr>
          <w:rFonts w:eastAsia="inter" w:cs="inter" w:ascii="inter" w:hAnsi="inter"/>
          <w:color w:val="000000"/>
          <w:sz w:val="18"/>
        </w:rPr>
        <w:t xml:space="preserve"> </w:t>
      </w:r>
    </w:p>
    <w:bookmarkStart w:id="192" w:name="fn52"/>
    <w:bookmarkEnd w:id="192"/>
    <w:p>
      <w:pPr>
        <w:numPr>
          <w:ilvl w:val="0"/>
          <w:numId w:val="57"/>
        </w:numPr>
        <w:spacing w:line="360" w:after="210" w:lineRule="auto"/>
      </w:pPr>
      <w:hyperlink r:id="rId58">
        <w:r>
          <w:rPr>
            <w:rFonts w:eastAsia="inter" w:cs="inter" w:ascii="inter" w:hAnsi="inter"/>
            <w:color w:val="#000"/>
            <w:sz w:val="18"/>
            <w:u w:val="single"/>
          </w:rPr>
          <w:t xml:space="preserve">https://digitaldefynd.com/IQ/accenture-using-ai-case-study/</w:t>
        </w:r>
      </w:hyperlink>
      <w:r>
        <w:rPr>
          <w:rFonts w:eastAsia="inter" w:cs="inter" w:ascii="inter" w:hAnsi="inter"/>
          <w:color w:val="000000"/>
          <w:sz w:val="18"/>
        </w:rPr>
        <w:t xml:space="preserve"> </w:t>
      </w:r>
    </w:p>
    <w:bookmarkStart w:id="193" w:name="fn53"/>
    <w:bookmarkEnd w:id="193"/>
    <w:p>
      <w:pPr>
        <w:numPr>
          <w:ilvl w:val="0"/>
          <w:numId w:val="57"/>
        </w:numPr>
        <w:spacing w:line="360" w:after="210" w:lineRule="auto"/>
      </w:pPr>
      <w:hyperlink r:id="rId59">
        <w:r>
          <w:rPr>
            <w:rFonts w:eastAsia="inter" w:cs="inter" w:ascii="inter" w:hAnsi="inter"/>
            <w:color w:val="#000"/>
            <w:sz w:val="18"/>
            <w:u w:val="single"/>
          </w:rPr>
          <w:t xml:space="preserve">https://www.accenture.com/il-en/case-studies/financial-services/finance-sap-transformation</w:t>
        </w:r>
      </w:hyperlink>
      <w:r>
        <w:rPr>
          <w:rFonts w:eastAsia="inter" w:cs="inter" w:ascii="inter" w:hAnsi="inter"/>
          <w:color w:val="000000"/>
          <w:sz w:val="18"/>
        </w:rPr>
        <w:t xml:space="preserve"> </w:t>
      </w:r>
    </w:p>
    <w:bookmarkStart w:id="194" w:name="fn54"/>
    <w:bookmarkEnd w:id="194"/>
    <w:p>
      <w:pPr>
        <w:numPr>
          <w:ilvl w:val="0"/>
          <w:numId w:val="57"/>
        </w:numPr>
        <w:spacing w:line="360" w:after="210" w:lineRule="auto"/>
      </w:pPr>
      <w:hyperlink r:id="rId60">
        <w:r>
          <w:rPr>
            <w:rFonts w:eastAsia="inter" w:cs="inter" w:ascii="inter" w:hAnsi="inter"/>
            <w:color w:val="#000"/>
            <w:sz w:val="18"/>
            <w:u w:val="single"/>
          </w:rPr>
          <w:t xml:space="preserve">https://www.instagram.com/p/DMA98wRxv1C/</w:t>
        </w:r>
      </w:hyperlink>
      <w:r>
        <w:rPr>
          <w:rFonts w:eastAsia="inter" w:cs="inter" w:ascii="inter" w:hAnsi="inter"/>
          <w:color w:val="000000"/>
          <w:sz w:val="18"/>
        </w:rPr>
        <w:t xml:space="preserve"> </w:t>
      </w:r>
    </w:p>
    <w:bookmarkStart w:id="195" w:name="fn55"/>
    <w:bookmarkEnd w:id="195"/>
    <w:p>
      <w:pPr>
        <w:numPr>
          <w:ilvl w:val="0"/>
          <w:numId w:val="57"/>
        </w:numPr>
        <w:spacing w:line="360" w:after="210" w:lineRule="auto"/>
      </w:pPr>
      <w:hyperlink r:id="rId61">
        <w:r>
          <w:rPr>
            <w:rFonts w:eastAsia="inter" w:cs="inter" w:ascii="inter" w:hAnsi="inter"/>
            <w:color w:val="#000"/>
            <w:sz w:val="18"/>
            <w:u w:val="single"/>
          </w:rPr>
          <w:t xml:space="preserve">https://www.lyzr.ai/case-studies/accenture/</w:t>
        </w:r>
      </w:hyperlink>
      <w:r>
        <w:rPr>
          <w:rFonts w:eastAsia="inter" w:cs="inter" w:ascii="inter" w:hAnsi="inter"/>
          <w:color w:val="000000"/>
          <w:sz w:val="18"/>
        </w:rPr>
        <w:t xml:space="preserve"> </w:t>
      </w:r>
    </w:p>
    <w:bookmarkStart w:id="196" w:name="fn56"/>
    <w:bookmarkEnd w:id="196"/>
    <w:p>
      <w:pPr>
        <w:numPr>
          <w:ilvl w:val="0"/>
          <w:numId w:val="57"/>
        </w:numPr>
        <w:spacing w:line="360" w:after="210" w:lineRule="auto"/>
      </w:pPr>
      <w:hyperlink r:id="rId62">
        <w:r>
          <w:rPr>
            <w:rFonts w:eastAsia="inter" w:cs="inter" w:ascii="inter" w:hAnsi="inter"/>
            <w:color w:val="#000"/>
            <w:sz w:val="18"/>
            <w:u w:val="single"/>
          </w:rPr>
          <w:t xml:space="preserve">https://www.accenture.com/us-en/insights/consulting/making-reinvention-real-with-gen-ai</w:t>
        </w:r>
      </w:hyperlink>
      <w:r>
        <w:rPr>
          <w:rFonts w:eastAsia="inter" w:cs="inter" w:ascii="inter" w:hAnsi="inter"/>
          <w:color w:val="000000"/>
          <w:sz w:val="18"/>
        </w:rPr>
        <w:t xml:space="preserve"> </w:t>
      </w:r>
    </w:p>
    <w:bookmarkStart w:id="197" w:name="fn57"/>
    <w:bookmarkEnd w:id="197"/>
    <w:p>
      <w:pPr>
        <w:numPr>
          <w:ilvl w:val="0"/>
          <w:numId w:val="57"/>
        </w:numPr>
        <w:spacing w:line="360" w:after="210" w:lineRule="auto"/>
      </w:pPr>
      <w:hyperlink r:id="rId63">
        <w:r>
          <w:rPr>
            <w:rFonts w:eastAsia="inter" w:cs="inter" w:ascii="inter" w:hAnsi="inter"/>
            <w:color w:val="#000"/>
            <w:sz w:val="18"/>
            <w:u w:val="single"/>
          </w:rPr>
          <w:t xml:space="preserve">https://www.accenture.com/il-en/industries/banking</w:t>
        </w:r>
      </w:hyperlink>
      <w:r>
        <w:rPr>
          <w:rFonts w:eastAsia="inter" w:cs="inter" w:ascii="inter" w:hAnsi="inter"/>
          <w:color w:val="000000"/>
          <w:sz w:val="18"/>
        </w:rPr>
        <w:t xml:space="preserve"> </w:t>
      </w:r>
    </w:p>
    <w:bookmarkStart w:id="198" w:name="fn58"/>
    <w:bookmarkEnd w:id="198"/>
    <w:p>
      <w:pPr>
        <w:numPr>
          <w:ilvl w:val="0"/>
          <w:numId w:val="57"/>
        </w:numPr>
        <w:spacing w:line="360" w:after="210" w:lineRule="auto"/>
      </w:pPr>
      <w:hyperlink r:id="rId64">
        <w:r>
          <w:rPr>
            <w:rFonts w:eastAsia="inter" w:cs="inter" w:ascii="inter" w:hAnsi="inter"/>
            <w:color w:val="#000"/>
            <w:sz w:val="18"/>
            <w:u w:val="single"/>
          </w:rPr>
          <w:t xml:space="preserve">https://arxiv.org/pdf/2312.00043.pdf</w:t>
        </w:r>
      </w:hyperlink>
      <w:r>
        <w:rPr>
          <w:rFonts w:eastAsia="inter" w:cs="inter" w:ascii="inter" w:hAnsi="inter"/>
          <w:color w:val="000000"/>
          <w:sz w:val="18"/>
        </w:rPr>
        <w:t xml:space="preserve"> </w:t>
      </w:r>
    </w:p>
    <w:bookmarkStart w:id="199" w:name="fn59"/>
    <w:bookmarkEnd w:id="199"/>
    <w:p>
      <w:pPr>
        <w:numPr>
          <w:ilvl w:val="0"/>
          <w:numId w:val="57"/>
        </w:numPr>
        <w:spacing w:line="360" w:after="210" w:lineRule="auto"/>
      </w:pPr>
      <w:hyperlink r:id="rId65">
        <w:r>
          <w:rPr>
            <w:rFonts w:eastAsia="inter" w:cs="inter" w:ascii="inter" w:hAnsi="inter"/>
            <w:color w:val="#000"/>
            <w:sz w:val="18"/>
            <w:u w:val="single"/>
          </w:rPr>
          <w:t xml:space="preserve">https://arxiv.org/pdf/2412.06044.pdf</w:t>
        </w:r>
      </w:hyperlink>
      <w:r>
        <w:rPr>
          <w:rFonts w:eastAsia="inter" w:cs="inter" w:ascii="inter" w:hAnsi="inter"/>
          <w:color w:val="000000"/>
          <w:sz w:val="18"/>
        </w:rPr>
        <w:t xml:space="preserve"> </w:t>
      </w:r>
    </w:p>
    <w:bookmarkStart w:id="200" w:name="fn60"/>
    <w:bookmarkEnd w:id="200"/>
    <w:p>
      <w:pPr>
        <w:numPr>
          <w:ilvl w:val="0"/>
          <w:numId w:val="57"/>
        </w:numPr>
        <w:spacing w:line="360" w:after="210" w:lineRule="auto"/>
      </w:pPr>
      <w:hyperlink r:id="rId66">
        <w:r>
          <w:rPr>
            <w:rFonts w:eastAsia="inter" w:cs="inter" w:ascii="inter" w:hAnsi="inter"/>
            <w:color w:val="#000"/>
            <w:sz w:val="18"/>
            <w:u w:val="single"/>
          </w:rPr>
          <w:t xml:space="preserve">https://sciendo.com/pdf/10.2478/mcj-2024-0005</w:t>
        </w:r>
      </w:hyperlink>
      <w:r>
        <w:rPr>
          <w:rFonts w:eastAsia="inter" w:cs="inter" w:ascii="inter" w:hAnsi="inter"/>
          <w:color w:val="000000"/>
          <w:sz w:val="18"/>
        </w:rPr>
        <w:t xml:space="preserve"> </w:t>
      </w:r>
    </w:p>
    <w:bookmarkStart w:id="201" w:name="fn61"/>
    <w:bookmarkEnd w:id="201"/>
    <w:p>
      <w:pPr>
        <w:numPr>
          <w:ilvl w:val="0"/>
          <w:numId w:val="57"/>
        </w:numPr>
        <w:spacing w:line="360" w:after="210" w:lineRule="auto"/>
      </w:pPr>
      <w:hyperlink r:id="rId67">
        <w:r>
          <w:rPr>
            <w:rFonts w:eastAsia="inter" w:cs="inter" w:ascii="inter" w:hAnsi="inter"/>
            <w:color w:val="#000"/>
            <w:sz w:val="18"/>
            <w:u w:val="single"/>
          </w:rPr>
          <w:t xml:space="preserve">https://www.tandfonline.com/doi/pdf/10.1080/10696679.2024.2322600?needAccess=true</w:t>
        </w:r>
      </w:hyperlink>
      <w:r>
        <w:rPr>
          <w:rFonts w:eastAsia="inter" w:cs="inter" w:ascii="inter" w:hAnsi="inter"/>
          <w:color w:val="000000"/>
          <w:sz w:val="18"/>
        </w:rPr>
        <w:t xml:space="preserve"> </w:t>
      </w:r>
    </w:p>
    <w:bookmarkStart w:id="202" w:name="fn62"/>
    <w:bookmarkEnd w:id="202"/>
    <w:p>
      <w:pPr>
        <w:numPr>
          <w:ilvl w:val="0"/>
          <w:numId w:val="57"/>
        </w:numPr>
        <w:spacing w:line="360" w:after="210" w:lineRule="auto"/>
      </w:pPr>
      <w:hyperlink r:id="rId68">
        <w:r>
          <w:rPr>
            <w:rFonts w:eastAsia="inter" w:cs="inter" w:ascii="inter" w:hAnsi="inter"/>
            <w:color w:val="#000"/>
            <w:sz w:val="18"/>
            <w:u w:val="single"/>
          </w:rPr>
          <w:t xml:space="preserve">https://arxiv.org/pdf/2406.01722.pdf</w:t>
        </w:r>
      </w:hyperlink>
      <w:r>
        <w:rPr>
          <w:rFonts w:eastAsia="inter" w:cs="inter" w:ascii="inter" w:hAnsi="inter"/>
          <w:color w:val="000000"/>
          <w:sz w:val="18"/>
        </w:rPr>
        <w:t xml:space="preserve"> </w:t>
      </w:r>
    </w:p>
    <w:bookmarkStart w:id="203" w:name="fn63"/>
    <w:bookmarkEnd w:id="203"/>
    <w:p>
      <w:pPr>
        <w:numPr>
          <w:ilvl w:val="0"/>
          <w:numId w:val="57"/>
        </w:numPr>
        <w:spacing w:line="360" w:after="210" w:lineRule="auto"/>
      </w:pPr>
      <w:hyperlink r:id="rId69">
        <w:r>
          <w:rPr>
            <w:rFonts w:eastAsia="inter" w:cs="inter" w:ascii="inter" w:hAnsi="inter"/>
            <w:color w:val="#000"/>
            <w:sz w:val="18"/>
            <w:u w:val="single"/>
          </w:rPr>
          <w:t xml:space="preserve">https://www.tandfonline.com/doi/pdf/10.1080/09537287.2021.1882690?needAccess=true</w:t>
        </w:r>
      </w:hyperlink>
      <w:r>
        <w:rPr>
          <w:rFonts w:eastAsia="inter" w:cs="inter" w:ascii="inter" w:hAnsi="inter"/>
          <w:color w:val="000000"/>
          <w:sz w:val="18"/>
        </w:rPr>
        <w:t xml:space="preserve"> </w:t>
      </w:r>
    </w:p>
    <w:bookmarkStart w:id="204" w:name="fn64"/>
    <w:bookmarkEnd w:id="204"/>
    <w:p>
      <w:pPr>
        <w:numPr>
          <w:ilvl w:val="0"/>
          <w:numId w:val="57"/>
        </w:numPr>
        <w:spacing w:line="360" w:after="210" w:lineRule="auto"/>
      </w:pPr>
      <w:hyperlink r:id="rId70">
        <w:r>
          <w:rPr>
            <w:rFonts w:eastAsia="inter" w:cs="inter" w:ascii="inter" w:hAnsi="inter"/>
            <w:color w:val="#000"/>
            <w:sz w:val="18"/>
            <w:u w:val="single"/>
          </w:rPr>
          <w:t xml:space="preserve">https://www.tandfonline.com/doi/pdf/10.1080/02642069.2024.2336208?needAccess=true</w:t>
        </w:r>
      </w:hyperlink>
      <w:r>
        <w:rPr>
          <w:rFonts w:eastAsia="inter" w:cs="inter" w:ascii="inter" w:hAnsi="inter"/>
          <w:color w:val="000000"/>
          <w:sz w:val="18"/>
        </w:rPr>
        <w:t xml:space="preserve"> </w:t>
      </w:r>
    </w:p>
    <w:bookmarkStart w:id="205" w:name="fn65"/>
    <w:bookmarkEnd w:id="205"/>
    <w:p>
      <w:pPr>
        <w:numPr>
          <w:ilvl w:val="0"/>
          <w:numId w:val="57"/>
        </w:numPr>
        <w:spacing w:line="360" w:after="210" w:lineRule="auto"/>
      </w:pPr>
      <w:hyperlink r:id="rId71">
        <w:r>
          <w:rPr>
            <w:rFonts w:eastAsia="inter" w:cs="inter" w:ascii="inter" w:hAnsi="inter"/>
            <w:color w:val="#000"/>
            <w:sz w:val="18"/>
            <w:u w:val="single"/>
          </w:rPr>
          <w:t xml:space="preserve">https://onlinelibrary.wiley.com/doi/pdfdirect/10.1002/smr.2432</w:t>
        </w:r>
      </w:hyperlink>
      <w:r>
        <w:rPr>
          <w:rFonts w:eastAsia="inter" w:cs="inter" w:ascii="inter" w:hAnsi="inter"/>
          <w:color w:val="000000"/>
          <w:sz w:val="18"/>
        </w:rPr>
        <w:t xml:space="preserve"> </w:t>
      </w:r>
    </w:p>
    <w:bookmarkStart w:id="206" w:name="fn66"/>
    <w:bookmarkEnd w:id="206"/>
    <w:p>
      <w:pPr>
        <w:numPr>
          <w:ilvl w:val="0"/>
          <w:numId w:val="57"/>
        </w:numPr>
        <w:spacing w:line="360" w:after="210" w:lineRule="auto"/>
      </w:pPr>
      <w:hyperlink r:id="rId72">
        <w:r>
          <w:rPr>
            <w:rFonts w:eastAsia="inter" w:cs="inter" w:ascii="inter" w:hAnsi="inter"/>
            <w:color w:val="#000"/>
            <w:sz w:val="18"/>
            <w:u w:val="single"/>
          </w:rPr>
          <w:t xml:space="preserve">https://www.klover.ai/accenture-ai-strategy-analysis-dominance-in-it-service-and-management-consulting/</w:t>
        </w:r>
      </w:hyperlink>
      <w:r>
        <w:rPr>
          <w:rFonts w:eastAsia="inter" w:cs="inter" w:ascii="inter" w:hAnsi="inter"/>
          <w:color w:val="000000"/>
          <w:sz w:val="18"/>
        </w:rPr>
        <w:t xml:space="preserve"> </w:t>
      </w:r>
    </w:p>
    <w:bookmarkStart w:id="207" w:name="fn67"/>
    <w:bookmarkEnd w:id="207"/>
    <w:p>
      <w:pPr>
        <w:numPr>
          <w:ilvl w:val="0"/>
          <w:numId w:val="57"/>
        </w:numPr>
        <w:spacing w:line="360" w:after="210" w:lineRule="auto"/>
      </w:pPr>
      <w:hyperlink r:id="rId73">
        <w:r>
          <w:rPr>
            <w:rFonts w:eastAsia="inter" w:cs="inter" w:ascii="inter" w:hAnsi="inter"/>
            <w:color w:val="#000"/>
            <w:sz w:val="18"/>
            <w:u w:val="single"/>
          </w:rPr>
          <w:t xml:space="preserve">https://managementconsulted.com/accenture-strategy-accenture-technology-3-key-differences/</w:t>
        </w:r>
      </w:hyperlink>
      <w:r>
        <w:rPr>
          <w:rFonts w:eastAsia="inter" w:cs="inter" w:ascii="inter" w:hAnsi="inter"/>
          <w:color w:val="000000"/>
          <w:sz w:val="18"/>
        </w:rPr>
        <w:t xml:space="preserve"> </w:t>
      </w:r>
    </w:p>
    <w:bookmarkStart w:id="208" w:name="fn68"/>
    <w:bookmarkEnd w:id="208"/>
    <w:p>
      <w:pPr>
        <w:numPr>
          <w:ilvl w:val="0"/>
          <w:numId w:val="57"/>
        </w:numPr>
        <w:spacing w:line="360" w:after="210" w:lineRule="auto"/>
      </w:pPr>
      <w:hyperlink r:id="rId74">
        <w:r>
          <w:rPr>
            <w:rFonts w:eastAsia="inter" w:cs="inter" w:ascii="inter" w:hAnsi="inter"/>
            <w:color w:val="#000"/>
            <w:sz w:val="18"/>
            <w:u w:val="single"/>
          </w:rPr>
          <w:t xml:space="preserve">https://www.youtube.com/watch?v=COlmHSQvWjw</w:t>
        </w:r>
      </w:hyperlink>
      <w:r>
        <w:rPr>
          <w:rFonts w:eastAsia="inter" w:cs="inter" w:ascii="inter" w:hAnsi="inter"/>
          <w:color w:val="000000"/>
          <w:sz w:val="18"/>
        </w:rPr>
        <w:t xml:space="preserve"> </w:t>
      </w:r>
    </w:p>
    <w:bookmarkStart w:id="209" w:name="fn69"/>
    <w:bookmarkEnd w:id="209"/>
    <w:p>
      <w:pPr>
        <w:numPr>
          <w:ilvl w:val="0"/>
          <w:numId w:val="57"/>
        </w:numPr>
        <w:spacing w:line="360" w:after="210" w:lineRule="auto"/>
      </w:pPr>
      <w:hyperlink r:id="rId75">
        <w:r>
          <w:rPr>
            <w:rFonts w:eastAsia="inter" w:cs="inter" w:ascii="inter" w:hAnsi="inter"/>
            <w:color w:val="#000"/>
            <w:sz w:val="18"/>
            <w:u w:val="single"/>
          </w:rPr>
          <w:t xml:space="preserve">https://www.learncodepro.com/blog/tcs-vs-infosys-vs-wipro-vs-cognizant-vs-accenture:-which-it-giant-is-best-for-freshers</w:t>
        </w:r>
      </w:hyperlink>
      <w:r>
        <w:rPr>
          <w:rFonts w:eastAsia="inter" w:cs="inter" w:ascii="inter" w:hAnsi="inter"/>
          <w:color w:val="000000"/>
          <w:sz w:val="18"/>
        </w:rPr>
        <w:t xml:space="preserve"> </w:t>
      </w:r>
    </w:p>
    <w:bookmarkStart w:id="210" w:name="fn70"/>
    <w:bookmarkEnd w:id="210"/>
    <w:p>
      <w:pPr>
        <w:numPr>
          <w:ilvl w:val="0"/>
          <w:numId w:val="57"/>
        </w:numPr>
        <w:spacing w:line="360" w:after="210" w:lineRule="auto"/>
      </w:pPr>
      <w:hyperlink r:id="rId76">
        <w:r>
          <w:rPr>
            <w:rFonts w:eastAsia="inter" w:cs="inter" w:ascii="inter" w:hAnsi="inter"/>
            <w:color w:val="#000"/>
            <w:sz w:val="18"/>
            <w:u w:val="single"/>
          </w:rPr>
          <w:t xml:space="preserve">https://arxiv.org/pdf/1503.07713.pdf</w:t>
        </w:r>
      </w:hyperlink>
      <w:r>
        <w:rPr>
          <w:rFonts w:eastAsia="inter" w:cs="inter" w:ascii="inter" w:hAnsi="inter"/>
          <w:color w:val="000000"/>
          <w:sz w:val="18"/>
        </w:rPr>
        <w:t xml:space="preserve"> </w:t>
      </w:r>
    </w:p>
    <w:bookmarkStart w:id="211" w:name="fn71"/>
    <w:bookmarkEnd w:id="211"/>
    <w:p>
      <w:pPr>
        <w:numPr>
          <w:ilvl w:val="0"/>
          <w:numId w:val="57"/>
        </w:numPr>
        <w:spacing w:line="360" w:after="210" w:lineRule="auto"/>
      </w:pPr>
      <w:hyperlink r:id="rId77">
        <w:r>
          <w:rPr>
            <w:rFonts w:eastAsia="inter" w:cs="inter" w:ascii="inter" w:hAnsi="inter"/>
            <w:color w:val="#000"/>
            <w:sz w:val="18"/>
            <w:u w:val="single"/>
          </w:rPr>
          <w:t xml:space="preserve">http://arxiv.org/pdf/2006.10237.pdf</w:t>
        </w:r>
      </w:hyperlink>
      <w:r>
        <w:rPr>
          <w:rFonts w:eastAsia="inter" w:cs="inter" w:ascii="inter" w:hAnsi="inter"/>
          <w:color w:val="000000"/>
          <w:sz w:val="18"/>
        </w:rPr>
        <w:t xml:space="preserve"> </w:t>
      </w:r>
    </w:p>
    <w:bookmarkStart w:id="212" w:name="fn72"/>
    <w:bookmarkEnd w:id="212"/>
    <w:p>
      <w:pPr>
        <w:numPr>
          <w:ilvl w:val="0"/>
          <w:numId w:val="57"/>
        </w:numPr>
        <w:spacing w:line="360" w:after="210" w:lineRule="auto"/>
      </w:pPr>
      <w:hyperlink r:id="rId78">
        <w:r>
          <w:rPr>
            <w:rFonts w:eastAsia="inter" w:cs="inter" w:ascii="inter" w:hAnsi="inter"/>
            <w:color w:val="#000"/>
            <w:sz w:val="18"/>
            <w:u w:val="single"/>
          </w:rPr>
          <w:t xml:space="preserve">https://arxiv.org/ftp/arxiv/papers/2010/2010.11611.pdf</w:t>
        </w:r>
      </w:hyperlink>
      <w:r>
        <w:rPr>
          <w:rFonts w:eastAsia="inter" w:cs="inter" w:ascii="inter" w:hAnsi="inter"/>
          <w:color w:val="000000"/>
          <w:sz w:val="18"/>
        </w:rPr>
        <w:t xml:space="preserve"> </w:t>
      </w:r>
    </w:p>
    <w:bookmarkStart w:id="213" w:name="fn73"/>
    <w:bookmarkEnd w:id="213"/>
    <w:p>
      <w:pPr>
        <w:numPr>
          <w:ilvl w:val="0"/>
          <w:numId w:val="57"/>
        </w:numPr>
        <w:spacing w:line="360" w:after="210" w:lineRule="auto"/>
      </w:pPr>
      <w:hyperlink r:id="rId79">
        <w:r>
          <w:rPr>
            <w:rFonts w:eastAsia="inter" w:cs="inter" w:ascii="inter" w:hAnsi="inter"/>
            <w:color w:val="#000"/>
            <w:sz w:val="18"/>
            <w:u w:val="single"/>
          </w:rPr>
          <w:t xml:space="preserve">https://figshare.com/articles/preprint/Reinventing_Technology_and_Innovation_Management_using_a_Three_Dimensional_approach/13524026/1/files/25960328.pdf</w:t>
        </w:r>
      </w:hyperlink>
      <w:r>
        <w:rPr>
          <w:rFonts w:eastAsia="inter" w:cs="inter" w:ascii="inter" w:hAnsi="inter"/>
          <w:color w:val="000000"/>
          <w:sz w:val="18"/>
        </w:rPr>
        <w:t xml:space="preserve"> </w:t>
      </w:r>
    </w:p>
    <w:bookmarkStart w:id="214" w:name="fn74"/>
    <w:bookmarkEnd w:id="214"/>
    <w:p>
      <w:pPr>
        <w:numPr>
          <w:ilvl w:val="0"/>
          <w:numId w:val="57"/>
        </w:numPr>
        <w:spacing w:line="360" w:after="210" w:lineRule="auto"/>
      </w:pPr>
      <w:hyperlink r:id="rId80">
        <w:r>
          <w:rPr>
            <w:rFonts w:eastAsia="inter" w:cs="inter" w:ascii="inter" w:hAnsi="inter"/>
            <w:color w:val="#000"/>
            <w:sz w:val="18"/>
            <w:u w:val="single"/>
          </w:rPr>
          <w:t xml:space="preserve">https://arxiv.org/pdf/2401.10897.pdf</w:t>
        </w:r>
      </w:hyperlink>
      <w:r>
        <w:rPr>
          <w:rFonts w:eastAsia="inter" w:cs="inter" w:ascii="inter" w:hAnsi="inter"/>
          <w:color w:val="000000"/>
          <w:sz w:val="18"/>
        </w:rPr>
        <w:t xml:space="preserve"> </w:t>
      </w:r>
    </w:p>
    <w:bookmarkStart w:id="215" w:name="fn75"/>
    <w:bookmarkEnd w:id="215"/>
    <w:p>
      <w:pPr>
        <w:numPr>
          <w:ilvl w:val="0"/>
          <w:numId w:val="57"/>
        </w:numPr>
        <w:spacing w:line="360" w:after="210" w:lineRule="auto"/>
      </w:pPr>
      <w:hyperlink r:id="rId81">
        <w:r>
          <w:rPr>
            <w:rFonts w:eastAsia="inter" w:cs="inter" w:ascii="inter" w:hAnsi="inter"/>
            <w:color w:val="#000"/>
            <w:sz w:val="18"/>
            <w:u w:val="single"/>
          </w:rPr>
          <w:t xml:space="preserve">https://www.mdpi.com/2071-1050/10/11/3882/pdf?version=1540467531</w:t>
        </w:r>
      </w:hyperlink>
      <w:r>
        <w:rPr>
          <w:rFonts w:eastAsia="inter" w:cs="inter" w:ascii="inter" w:hAnsi="inter"/>
          <w:color w:val="000000"/>
          <w:sz w:val="18"/>
        </w:rPr>
        <w:t xml:space="preserve"> </w:t>
      </w:r>
    </w:p>
    <w:bookmarkStart w:id="216" w:name="fn76"/>
    <w:bookmarkEnd w:id="216"/>
    <w:p>
      <w:pPr>
        <w:numPr>
          <w:ilvl w:val="0"/>
          <w:numId w:val="57"/>
        </w:numPr>
        <w:spacing w:line="360" w:after="210" w:lineRule="auto"/>
      </w:pPr>
      <w:hyperlink r:id="rId82">
        <w:r>
          <w:rPr>
            <w:rFonts w:eastAsia="inter" w:cs="inter" w:ascii="inter" w:hAnsi="inter"/>
            <w:color w:val="#000"/>
            <w:sz w:val="18"/>
            <w:u w:val="single"/>
          </w:rPr>
          <w:t xml:space="preserve">https://www.e3s-conferences.org/articles/e3sconf/pdf/2023/68/e3sconf_itse2023_07010.pdf</w:t>
        </w:r>
      </w:hyperlink>
      <w:r>
        <w:rPr>
          <w:rFonts w:eastAsia="inter" w:cs="inter" w:ascii="inter" w:hAnsi="inter"/>
          <w:color w:val="000000"/>
          <w:sz w:val="18"/>
        </w:rPr>
        <w:t xml:space="preserve"> </w:t>
      </w:r>
    </w:p>
    <w:bookmarkStart w:id="217" w:name="fn77"/>
    <w:bookmarkEnd w:id="217"/>
    <w:p>
      <w:pPr>
        <w:numPr>
          <w:ilvl w:val="0"/>
          <w:numId w:val="57"/>
        </w:numPr>
        <w:spacing w:line="360" w:after="210" w:lineRule="auto"/>
      </w:pPr>
      <w:hyperlink r:id="rId83">
        <w:r>
          <w:rPr>
            <w:rFonts w:eastAsia="inter" w:cs="inter" w:ascii="inter" w:hAnsi="inter"/>
            <w:color w:val="#000"/>
            <w:sz w:val="18"/>
            <w:u w:val="single"/>
          </w:rPr>
          <w:t xml:space="preserve">https://www.scipublications.com/journal/index.php/ujcsc/article/download/831/537</w:t>
        </w:r>
      </w:hyperlink>
      <w:r>
        <w:rPr>
          <w:rFonts w:eastAsia="inter" w:cs="inter" w:ascii="inter" w:hAnsi="inter"/>
          <w:color w:val="000000"/>
          <w:sz w:val="18"/>
        </w:rPr>
        <w:t xml:space="preserve"> </w:t>
      </w:r>
    </w:p>
    <w:bookmarkStart w:id="218" w:name="fn78"/>
    <w:bookmarkEnd w:id="218"/>
    <w:p>
      <w:pPr>
        <w:numPr>
          <w:ilvl w:val="0"/>
          <w:numId w:val="57"/>
        </w:numPr>
        <w:spacing w:line="360" w:after="210" w:lineRule="auto"/>
      </w:pPr>
      <w:hyperlink r:id="rId84">
        <w:r>
          <w:rPr>
            <w:rFonts w:eastAsia="inter" w:cs="inter" w:ascii="inter" w:hAnsi="inter"/>
            <w:color w:val="#000"/>
            <w:sz w:val="18"/>
            <w:u w:val="single"/>
          </w:rPr>
          <w:t xml:space="preserve">https://www.accenture.com/content/dam/accenture/final/capabilities/strategy-and-consulting/strategy/document/Accenture-Total-Enterprise-Reinvention-Infographic.pdf</w:t>
        </w:r>
      </w:hyperlink>
      <w:r>
        <w:rPr>
          <w:rFonts w:eastAsia="inter" w:cs="inter" w:ascii="inter" w:hAnsi="inter"/>
          <w:color w:val="000000"/>
          <w:sz w:val="18"/>
        </w:rPr>
        <w:t xml:space="preserve"> </w:t>
      </w:r>
    </w:p>
    <w:bookmarkStart w:id="219" w:name="fn79"/>
    <w:bookmarkEnd w:id="219"/>
    <w:p>
      <w:pPr>
        <w:numPr>
          <w:ilvl w:val="0"/>
          <w:numId w:val="57"/>
        </w:numPr>
        <w:spacing w:line="360" w:after="210" w:lineRule="auto"/>
      </w:pPr>
      <w:hyperlink r:id="rId85">
        <w:r>
          <w:rPr>
            <w:rFonts w:eastAsia="inter" w:cs="inter" w:ascii="inter" w:hAnsi="inter"/>
            <w:color w:val="#000"/>
            <w:sz w:val="18"/>
            <w:u w:val="single"/>
          </w:rPr>
          <w:t xml:space="preserve">https://www.linkedin.com/pulse/how-total-enterprise-reinvention-set-new-performance-frontiers</w:t>
        </w:r>
      </w:hyperlink>
      <w:r>
        <w:rPr>
          <w:rFonts w:eastAsia="inter" w:cs="inter" w:ascii="inter" w:hAnsi="inter"/>
          <w:color w:val="000000"/>
          <w:sz w:val="18"/>
        </w:rPr>
        <w:t xml:space="preserve"> </w:t>
      </w:r>
    </w:p>
    <w:bookmarkStart w:id="220" w:name="fn80"/>
    <w:bookmarkEnd w:id="220"/>
    <w:p>
      <w:pPr>
        <w:numPr>
          <w:ilvl w:val="0"/>
          <w:numId w:val="57"/>
        </w:numPr>
        <w:spacing w:line="360" w:after="210" w:lineRule="auto"/>
      </w:pPr>
      <w:hyperlink r:id="rId86">
        <w:r>
          <w:rPr>
            <w:rFonts w:eastAsia="inter" w:cs="inter" w:ascii="inter" w:hAnsi="inter"/>
            <w:color w:val="#000"/>
            <w:sz w:val="18"/>
            <w:u w:val="single"/>
          </w:rPr>
          <w:t xml:space="preserve">https://www.scribd.com/document/646967308/Accenture-Total-Enterprise-Reinvention</w:t>
        </w:r>
      </w:hyperlink>
      <w:r>
        <w:rPr>
          <w:rFonts w:eastAsia="inter" w:cs="inter" w:ascii="inter" w:hAnsi="inter"/>
          <w:color w:val="000000"/>
          <w:sz w:val="18"/>
        </w:rPr>
        <w:t xml:space="preserve"> </w:t>
      </w:r>
    </w:p>
    <w:bookmarkStart w:id="221" w:name="fn81"/>
    <w:bookmarkEnd w:id="221"/>
    <w:p>
      <w:pPr>
        <w:numPr>
          <w:ilvl w:val="0"/>
          <w:numId w:val="57"/>
        </w:numPr>
        <w:spacing w:line="360" w:after="210" w:lineRule="auto"/>
      </w:pPr>
      <w:hyperlink r:id="rId87">
        <w:r>
          <w:rPr>
            <w:rFonts w:eastAsia="inter" w:cs="inter" w:ascii="inter" w:hAnsi="inter"/>
            <w:color w:val="#000"/>
            <w:sz w:val="18"/>
            <w:u w:val="single"/>
          </w:rPr>
          <w:t xml:space="preserve">https://bernardmarr.com/generative-ai-in-business-why-accenture-is-investing-3-billion-in-ai/</w:t>
        </w:r>
      </w:hyperlink>
      <w:r>
        <w:rPr>
          <w:rFonts w:eastAsia="inter" w:cs="inter" w:ascii="inter" w:hAnsi="inter"/>
          <w:color w:val="000000"/>
          <w:sz w:val="18"/>
        </w:rPr>
        <w:t xml:space="preserve"> </w:t>
      </w:r>
    </w:p>
    <w:bookmarkStart w:id="222" w:name="fn82"/>
    <w:bookmarkEnd w:id="222"/>
    <w:p>
      <w:pPr>
        <w:numPr>
          <w:ilvl w:val="0"/>
          <w:numId w:val="57"/>
        </w:numPr>
        <w:spacing w:line="360" w:after="210" w:lineRule="auto"/>
      </w:pPr>
      <w:hyperlink r:id="rId88">
        <w:r>
          <w:rPr>
            <w:rFonts w:eastAsia="inter" w:cs="inter" w:ascii="inter" w:hAnsi="inter"/>
            <w:color w:val="#000"/>
            <w:sz w:val="18"/>
            <w:u w:val="single"/>
          </w:rPr>
          <w:t xml:space="preserve">https://reinventingtheenterprise.cio.com/enterprise-reinvention/total-enterprise-reinvention-the-strategy-that-leads-to-a-new-performance-f/</w:t>
        </w:r>
      </w:hyperlink>
      <w:r>
        <w:rPr>
          <w:rFonts w:eastAsia="inter" w:cs="inter" w:ascii="inter" w:hAnsi="inter"/>
          <w:color w:val="000000"/>
          <w:sz w:val="18"/>
        </w:rPr>
        <w:t xml:space="preserve"> </w:t>
      </w:r>
    </w:p>
    <w:bookmarkStart w:id="223" w:name="fn83"/>
    <w:bookmarkEnd w:id="223"/>
    <w:p>
      <w:pPr>
        <w:numPr>
          <w:ilvl w:val="0"/>
          <w:numId w:val="57"/>
        </w:numPr>
        <w:spacing w:line="360" w:after="210" w:lineRule="auto"/>
      </w:pPr>
      <w:hyperlink r:id="rId89">
        <w:r>
          <w:rPr>
            <w:rFonts w:eastAsia="inter" w:cs="inter" w:ascii="inter" w:hAnsi="inter"/>
            <w:color w:val="#000"/>
            <w:sz w:val="18"/>
            <w:u w:val="single"/>
          </w:rPr>
          <w:t xml:space="preserve">https://www.accenture.com/us-en/insights/accenture-invest-3-billion-ai-accelerate-clients-reinvention</w:t>
        </w:r>
      </w:hyperlink>
      <w:r>
        <w:rPr>
          <w:rFonts w:eastAsia="inter" w:cs="inter" w:ascii="inter" w:hAnsi="inter"/>
          <w:color w:val="000000"/>
          <w:sz w:val="18"/>
        </w:rPr>
        <w:t xml:space="preserve"> </w:t>
      </w:r>
    </w:p>
    <w:bookmarkStart w:id="224" w:name="fn84"/>
    <w:bookmarkEnd w:id="224"/>
    <w:p>
      <w:pPr>
        <w:numPr>
          <w:ilvl w:val="0"/>
          <w:numId w:val="57"/>
        </w:numPr>
        <w:spacing w:line="360" w:after="210" w:lineRule="auto"/>
      </w:pPr>
      <w:hyperlink r:id="rId90">
        <w:r>
          <w:rPr>
            <w:rFonts w:eastAsia="inter" w:cs="inter" w:ascii="inter" w:hAnsi="inter"/>
            <w:color w:val="#000"/>
            <w:sz w:val="18"/>
            <w:u w:val="single"/>
          </w:rPr>
          <w:t xml:space="preserve">https://ieeexplore.ieee.org/document/10563337/</w:t>
        </w:r>
      </w:hyperlink>
      <w:r>
        <w:rPr>
          <w:rFonts w:eastAsia="inter" w:cs="inter" w:ascii="inter" w:hAnsi="inter"/>
          <w:color w:val="000000"/>
          <w:sz w:val="18"/>
        </w:rPr>
        <w:t xml:space="preserve"> </w:t>
      </w:r>
    </w:p>
    <w:bookmarkStart w:id="225" w:name="fn85"/>
    <w:bookmarkEnd w:id="225"/>
    <w:p>
      <w:pPr>
        <w:numPr>
          <w:ilvl w:val="0"/>
          <w:numId w:val="57"/>
        </w:numPr>
        <w:spacing w:line="360" w:after="210" w:lineRule="auto"/>
      </w:pPr>
      <w:hyperlink r:id="rId91">
        <w:r>
          <w:rPr>
            <w:rFonts w:eastAsia="inter" w:cs="inter" w:ascii="inter" w:hAnsi="inter"/>
            <w:color w:val="#000"/>
            <w:sz w:val="18"/>
            <w:u w:val="single"/>
          </w:rPr>
          <w:t xml:space="preserve">https://ijsrset.com/IJSRSET2411148</w:t>
        </w:r>
      </w:hyperlink>
      <w:r>
        <w:rPr>
          <w:rFonts w:eastAsia="inter" w:cs="inter" w:ascii="inter" w:hAnsi="inter"/>
          <w:color w:val="000000"/>
          <w:sz w:val="18"/>
        </w:rPr>
        <w:t xml:space="preserve"> </w:t>
      </w:r>
    </w:p>
    <w:bookmarkStart w:id="226" w:name="fn86"/>
    <w:bookmarkEnd w:id="226"/>
    <w:p>
      <w:pPr>
        <w:numPr>
          <w:ilvl w:val="0"/>
          <w:numId w:val="57"/>
        </w:numPr>
        <w:spacing w:line="360" w:after="210" w:lineRule="auto"/>
      </w:pPr>
      <w:hyperlink r:id="rId92">
        <w:r>
          <w:rPr>
            <w:rFonts w:eastAsia="inter" w:cs="inter" w:ascii="inter" w:hAnsi="inter"/>
            <w:color w:val="#000"/>
            <w:sz w:val="18"/>
            <w:u w:val="single"/>
          </w:rPr>
          <w:t xml:space="preserve">https://www.semanticscholar.org/paper/ff4537f2e1cfdb2fbfd29157373d70005c772813</w:t>
        </w:r>
      </w:hyperlink>
      <w:r>
        <w:rPr>
          <w:rFonts w:eastAsia="inter" w:cs="inter" w:ascii="inter" w:hAnsi="inter"/>
          <w:color w:val="000000"/>
          <w:sz w:val="18"/>
        </w:rPr>
        <w:t xml:space="preserve"> </w:t>
      </w:r>
    </w:p>
    <w:bookmarkStart w:id="227" w:name="fn87"/>
    <w:bookmarkEnd w:id="227"/>
    <w:p>
      <w:pPr>
        <w:numPr>
          <w:ilvl w:val="0"/>
          <w:numId w:val="57"/>
        </w:numPr>
        <w:spacing w:line="360" w:after="210" w:lineRule="auto"/>
      </w:pPr>
      <w:hyperlink r:id="rId93">
        <w:r>
          <w:rPr>
            <w:rFonts w:eastAsia="inter" w:cs="inter" w:ascii="inter" w:hAnsi="inter"/>
            <w:color w:val="#000"/>
            <w:sz w:val="18"/>
            <w:u w:val="single"/>
          </w:rPr>
          <w:t xml:space="preserve">https://www.semanticscholar.org/paper/aceb335f90c22915e64dd0580ffc26927b526de6</w:t>
        </w:r>
      </w:hyperlink>
      <w:r>
        <w:rPr>
          <w:rFonts w:eastAsia="inter" w:cs="inter" w:ascii="inter" w:hAnsi="inter"/>
          <w:color w:val="000000"/>
          <w:sz w:val="18"/>
        </w:rPr>
        <w:t xml:space="preserve"> </w:t>
      </w:r>
    </w:p>
    <w:bookmarkStart w:id="228" w:name="fn88"/>
    <w:bookmarkEnd w:id="228"/>
    <w:p>
      <w:pPr>
        <w:numPr>
          <w:ilvl w:val="0"/>
          <w:numId w:val="57"/>
        </w:numPr>
        <w:spacing w:line="360" w:after="210" w:lineRule="auto"/>
      </w:pPr>
      <w:hyperlink r:id="rId94">
        <w:r>
          <w:rPr>
            <w:rFonts w:eastAsia="inter" w:cs="inter" w:ascii="inter" w:hAnsi="inter"/>
            <w:color w:val="#000"/>
            <w:sz w:val="18"/>
            <w:u w:val="single"/>
          </w:rPr>
          <w:t xml:space="preserve">https://dl.acm.org/doi/10.1145/3746027.3761833</w:t>
        </w:r>
      </w:hyperlink>
      <w:r>
        <w:rPr>
          <w:rFonts w:eastAsia="inter" w:cs="inter" w:ascii="inter" w:hAnsi="inter"/>
          <w:color w:val="000000"/>
          <w:sz w:val="18"/>
        </w:rPr>
        <w:t xml:space="preserve"> </w:t>
      </w:r>
    </w:p>
    <w:bookmarkStart w:id="229" w:name="fn89"/>
    <w:bookmarkEnd w:id="229"/>
    <w:p>
      <w:pPr>
        <w:numPr>
          <w:ilvl w:val="0"/>
          <w:numId w:val="57"/>
        </w:numPr>
        <w:spacing w:line="360" w:after="210" w:lineRule="auto"/>
      </w:pPr>
      <w:hyperlink r:id="rId95">
        <w:r>
          <w:rPr>
            <w:rFonts w:eastAsia="inter" w:cs="inter" w:ascii="inter" w:hAnsi="inter"/>
            <w:color w:val="#000"/>
            <w:sz w:val="18"/>
            <w:u w:val="single"/>
          </w:rPr>
          <w:t xml:space="preserve">https://arxiv.org/pdf/2502.20825.pdf</w:t>
        </w:r>
      </w:hyperlink>
      <w:r>
        <w:rPr>
          <w:rFonts w:eastAsia="inter" w:cs="inter" w:ascii="inter" w:hAnsi="inter"/>
          <w:color w:val="000000"/>
          <w:sz w:val="18"/>
        </w:rPr>
        <w:t xml:space="preserve"> </w:t>
      </w:r>
    </w:p>
    <w:bookmarkStart w:id="230" w:name="fn90"/>
    <w:bookmarkEnd w:id="230"/>
    <w:p>
      <w:pPr>
        <w:numPr>
          <w:ilvl w:val="0"/>
          <w:numId w:val="57"/>
        </w:numPr>
        <w:spacing w:line="360" w:after="210" w:lineRule="auto"/>
      </w:pPr>
      <w:hyperlink r:id="rId96">
        <w:r>
          <w:rPr>
            <w:rFonts w:eastAsia="inter" w:cs="inter" w:ascii="inter" w:hAnsi="inter"/>
            <w:color w:val="#000"/>
            <w:sz w:val="18"/>
            <w:u w:val="single"/>
          </w:rPr>
          <w:t xml:space="preserve">https://arxiv.org/pdf/2211.08075.pdf</w:t>
        </w:r>
      </w:hyperlink>
      <w:r>
        <w:rPr>
          <w:rFonts w:eastAsia="inter" w:cs="inter" w:ascii="inter" w:hAnsi="inter"/>
          <w:color w:val="000000"/>
          <w:sz w:val="18"/>
        </w:rPr>
        <w:t xml:space="preserve"> </w:t>
      </w:r>
    </w:p>
    <w:bookmarkStart w:id="231" w:name="fn91"/>
    <w:bookmarkEnd w:id="231"/>
    <w:p>
      <w:pPr>
        <w:numPr>
          <w:ilvl w:val="0"/>
          <w:numId w:val="57"/>
        </w:numPr>
        <w:spacing w:line="360" w:after="210" w:lineRule="auto"/>
      </w:pPr>
      <w:hyperlink r:id="rId97">
        <w:r>
          <w:rPr>
            <w:rFonts w:eastAsia="inter" w:cs="inter" w:ascii="inter" w:hAnsi="inter"/>
            <w:color w:val="#000"/>
            <w:sz w:val="18"/>
            <w:u w:val="single"/>
          </w:rPr>
          <w:t xml:space="preserve">http://arxiv.org/pdf/2503.16038.pdf</w:t>
        </w:r>
      </w:hyperlink>
      <w:r>
        <w:rPr>
          <w:rFonts w:eastAsia="inter" w:cs="inter" w:ascii="inter" w:hAnsi="inter"/>
          <w:color w:val="000000"/>
          <w:sz w:val="18"/>
        </w:rPr>
        <w:t xml:space="preserve"> </w:t>
      </w:r>
    </w:p>
    <w:bookmarkStart w:id="232" w:name="fn92"/>
    <w:bookmarkEnd w:id="232"/>
    <w:p>
      <w:pPr>
        <w:numPr>
          <w:ilvl w:val="0"/>
          <w:numId w:val="57"/>
        </w:numPr>
        <w:spacing w:line="360" w:after="210" w:lineRule="auto"/>
      </w:pPr>
      <w:hyperlink r:id="rId98">
        <w:r>
          <w:rPr>
            <w:rFonts w:eastAsia="inter" w:cs="inter" w:ascii="inter" w:hAnsi="inter"/>
            <w:color w:val="#000"/>
            <w:sz w:val="18"/>
            <w:u w:val="single"/>
          </w:rPr>
          <w:t xml:space="preserve">https://ecp.ep.liu.se/index.php/modelica/article/download/923/831</w:t>
        </w:r>
      </w:hyperlink>
      <w:r>
        <w:rPr>
          <w:rFonts w:eastAsia="inter" w:cs="inter" w:ascii="inter" w:hAnsi="inter"/>
          <w:color w:val="000000"/>
          <w:sz w:val="18"/>
        </w:rPr>
        <w:t xml:space="preserve"> </w:t>
      </w:r>
    </w:p>
    <w:bookmarkStart w:id="233" w:name="fn93"/>
    <w:bookmarkEnd w:id="233"/>
    <w:p>
      <w:pPr>
        <w:numPr>
          <w:ilvl w:val="0"/>
          <w:numId w:val="57"/>
        </w:numPr>
        <w:spacing w:line="360" w:after="210" w:lineRule="auto"/>
      </w:pPr>
      <w:hyperlink r:id="rId99">
        <w:r>
          <w:rPr>
            <w:rFonts w:eastAsia="inter" w:cs="inter" w:ascii="inter" w:hAnsi="inter"/>
            <w:color w:val="#000"/>
            <w:sz w:val="18"/>
            <w:u w:val="single"/>
          </w:rPr>
          <w:t xml:space="preserve">https://arxiv.org/pdf/2501.06706.pdf</w:t>
        </w:r>
      </w:hyperlink>
      <w:r>
        <w:rPr>
          <w:rFonts w:eastAsia="inter" w:cs="inter" w:ascii="inter" w:hAnsi="inter"/>
          <w:color w:val="000000"/>
          <w:sz w:val="18"/>
        </w:rPr>
        <w:t xml:space="preserve"> </w:t>
      </w:r>
    </w:p>
    <w:bookmarkStart w:id="234" w:name="fn94"/>
    <w:bookmarkEnd w:id="234"/>
    <w:p>
      <w:pPr>
        <w:numPr>
          <w:ilvl w:val="0"/>
          <w:numId w:val="57"/>
        </w:numPr>
        <w:spacing w:line="360" w:after="210" w:lineRule="auto"/>
      </w:pPr>
      <w:hyperlink r:id="rId100">
        <w:r>
          <w:rPr>
            <w:rFonts w:eastAsia="inter" w:cs="inter" w:ascii="inter" w:hAnsi="inter"/>
            <w:color w:val="#000"/>
            <w:sz w:val="18"/>
            <w:u w:val="single"/>
          </w:rPr>
          <w:t xml:space="preserve">https://arxiv.org/pdf/2011.13184.pdf</w:t>
        </w:r>
      </w:hyperlink>
      <w:r>
        <w:rPr>
          <w:rFonts w:eastAsia="inter" w:cs="inter" w:ascii="inter" w:hAnsi="inter"/>
          <w:color w:val="000000"/>
          <w:sz w:val="18"/>
        </w:rPr>
        <w:t xml:space="preserve"> </w:t>
      </w:r>
    </w:p>
    <w:bookmarkStart w:id="235" w:name="fn95"/>
    <w:bookmarkEnd w:id="235"/>
    <w:p>
      <w:pPr>
        <w:numPr>
          <w:ilvl w:val="0"/>
          <w:numId w:val="57"/>
        </w:numPr>
        <w:spacing w:line="360" w:after="210" w:lineRule="auto"/>
      </w:pPr>
      <w:hyperlink r:id="rId101">
        <w:r>
          <w:rPr>
            <w:rFonts w:eastAsia="inter" w:cs="inter" w:ascii="inter" w:hAnsi="inter"/>
            <w:color w:val="#000"/>
            <w:sz w:val="18"/>
            <w:u w:val="single"/>
          </w:rPr>
          <w:t xml:space="preserve">https://www.ijfmr.com/papers/2024/5/28795.pdf</w:t>
        </w:r>
      </w:hyperlink>
      <w:r>
        <w:rPr>
          <w:rFonts w:eastAsia="inter" w:cs="inter" w:ascii="inter" w:hAnsi="inter"/>
          <w:color w:val="000000"/>
          <w:sz w:val="18"/>
        </w:rPr>
        <w:t xml:space="preserve"> </w:t>
      </w:r>
    </w:p>
    <w:bookmarkStart w:id="236" w:name="fn96"/>
    <w:bookmarkEnd w:id="236"/>
    <w:p>
      <w:pPr>
        <w:numPr>
          <w:ilvl w:val="0"/>
          <w:numId w:val="57"/>
        </w:numPr>
        <w:spacing w:line="360" w:after="210" w:lineRule="auto"/>
      </w:pPr>
      <w:hyperlink r:id="rId102">
        <w:r>
          <w:rPr>
            <w:rFonts w:eastAsia="inter" w:cs="inter" w:ascii="inter" w:hAnsi="inter"/>
            <w:color w:val="#000"/>
            <w:sz w:val="18"/>
            <w:u w:val="single"/>
          </w:rPr>
          <w:t xml:space="preserve">https://www.mdpi.com/2071-1050/15/7/6251/pdf?version=1681307104</w:t>
        </w:r>
      </w:hyperlink>
      <w:r>
        <w:rPr>
          <w:rFonts w:eastAsia="inter" w:cs="inter" w:ascii="inter" w:hAnsi="inter"/>
          <w:color w:val="000000"/>
          <w:sz w:val="18"/>
        </w:rPr>
        <w:t xml:space="preserve"> </w:t>
      </w:r>
    </w:p>
    <w:bookmarkStart w:id="237" w:name="fn97"/>
    <w:bookmarkEnd w:id="237"/>
    <w:p>
      <w:pPr>
        <w:numPr>
          <w:ilvl w:val="0"/>
          <w:numId w:val="57"/>
        </w:numPr>
        <w:spacing w:line="360" w:after="210" w:lineRule="auto"/>
      </w:pPr>
      <w:hyperlink r:id="rId103">
        <w:r>
          <w:rPr>
            <w:rFonts w:eastAsia="inter" w:cs="inter" w:ascii="inter" w:hAnsi="inter"/>
            <w:color w:val="#000"/>
            <w:sz w:val="18"/>
            <w:u w:val="single"/>
          </w:rPr>
          <w:t xml:space="preserve">https://www.accenture.com/content/dam/accenture/final/a-com-migration/pdf/pdf-146/accenture-synops-intelligent-compliance-operations-video-transcript.pdf</w:t>
        </w:r>
      </w:hyperlink>
      <w:r>
        <w:rPr>
          <w:rFonts w:eastAsia="inter" w:cs="inter" w:ascii="inter" w:hAnsi="inter"/>
          <w:color w:val="000000"/>
          <w:sz w:val="18"/>
        </w:rPr>
        <w:t xml:space="preserve"> </w:t>
      </w:r>
    </w:p>
    <w:bookmarkStart w:id="238" w:name="fn98"/>
    <w:bookmarkEnd w:id="238"/>
    <w:p>
      <w:pPr>
        <w:numPr>
          <w:ilvl w:val="0"/>
          <w:numId w:val="57"/>
        </w:numPr>
        <w:spacing w:line="360" w:after="210" w:lineRule="auto"/>
      </w:pPr>
      <w:hyperlink r:id="rId104">
        <w:r>
          <w:rPr>
            <w:rFonts w:eastAsia="inter" w:cs="inter" w:ascii="inter" w:hAnsi="inter"/>
            <w:color w:val="#000"/>
            <w:sz w:val="18"/>
            <w:u w:val="single"/>
          </w:rPr>
          <w:t xml:space="preserve">https://www.aimarketlandscape.com/products/accenture-synops-ai-agents</w:t>
        </w:r>
      </w:hyperlink>
      <w:r>
        <w:rPr>
          <w:rFonts w:eastAsia="inter" w:cs="inter" w:ascii="inter" w:hAnsi="inter"/>
          <w:color w:val="000000"/>
          <w:sz w:val="18"/>
        </w:rPr>
        <w:t xml:space="preserve"> </w:t>
      </w:r>
    </w:p>
    <w:bookmarkStart w:id="239" w:name="fn99"/>
    <w:bookmarkEnd w:id="239"/>
    <w:p>
      <w:pPr>
        <w:numPr>
          <w:ilvl w:val="0"/>
          <w:numId w:val="57"/>
        </w:numPr>
        <w:spacing w:line="360" w:after="210" w:lineRule="auto"/>
      </w:pPr>
      <w:hyperlink r:id="rId105">
        <w:r>
          <w:rPr>
            <w:rFonts w:eastAsia="inter" w:cs="inter" w:ascii="inter" w:hAnsi="inter"/>
            <w:color w:val="#000"/>
            <w:sz w:val="18"/>
            <w:u w:val="single"/>
          </w:rPr>
          <w:t xml:space="preserve">https://www.accenture.com/us-en/about/operations-index</w:t>
        </w:r>
      </w:hyperlink>
      <w:r>
        <w:rPr>
          <w:rFonts w:eastAsia="inter" w:cs="inter" w:ascii="inter" w:hAnsi="inter"/>
          <w:color w:val="000000"/>
          <w:sz w:val="18"/>
        </w:rPr>
        <w:t xml:space="preserve"> </w:t>
      </w:r>
    </w:p>
    <w:bookmarkStart w:id="240" w:name="fn100"/>
    <w:bookmarkEnd w:id="240"/>
    <w:p>
      <w:pPr>
        <w:numPr>
          <w:ilvl w:val="0"/>
          <w:numId w:val="57"/>
        </w:numPr>
        <w:spacing w:line="360" w:after="210" w:lineRule="auto"/>
      </w:pPr>
      <w:hyperlink r:id="rId106">
        <w:r>
          <w:rPr>
            <w:rFonts w:eastAsia="inter" w:cs="inter" w:ascii="inter" w:hAnsi="inter"/>
            <w:color w:val="#000"/>
            <w:sz w:val="18"/>
            <w:u w:val="single"/>
          </w:rPr>
          <w:t xml:space="preserve">https://gizmodo.com/automation-software-that-helped-consulting-firm-cut-40-1832160885</w:t>
        </w:r>
      </w:hyperlink>
      <w:r>
        <w:rPr>
          <w:rFonts w:eastAsia="inter" w:cs="inter" w:ascii="inter" w:hAnsi="inter"/>
          <w:color w:val="000000"/>
          <w:sz w:val="18"/>
        </w:rPr>
        <w:t xml:space="preserve"> </w:t>
      </w:r>
    </w:p>
    <w:bookmarkStart w:id="241" w:name="fn101"/>
    <w:bookmarkEnd w:id="241"/>
    <w:p>
      <w:pPr>
        <w:numPr>
          <w:ilvl w:val="0"/>
          <w:numId w:val="57"/>
        </w:numPr>
        <w:spacing w:line="360" w:after="210" w:lineRule="auto"/>
      </w:pPr>
      <w:hyperlink r:id="rId107">
        <w:r>
          <w:rPr>
            <w:rFonts w:eastAsia="inter" w:cs="inter" w:ascii="inter" w:hAnsi="inter"/>
            <w:color w:val="#000"/>
            <w:sz w:val="18"/>
            <w:u w:val="single"/>
          </w:rPr>
          <w:t xml:space="preserve">http://economiclaw.kiev.ua/index.php/economiclaw/article/view/1132</w:t>
        </w:r>
      </w:hyperlink>
      <w:r>
        <w:rPr>
          <w:rFonts w:eastAsia="inter" w:cs="inter" w:ascii="inter" w:hAnsi="inter"/>
          <w:color w:val="000000"/>
          <w:sz w:val="18"/>
        </w:rPr>
        <w:t xml:space="preserve"> </w:t>
      </w:r>
    </w:p>
    <w:bookmarkStart w:id="242" w:name="fn102"/>
    <w:bookmarkEnd w:id="242"/>
    <w:p>
      <w:pPr>
        <w:numPr>
          <w:ilvl w:val="0"/>
          <w:numId w:val="57"/>
        </w:numPr>
        <w:spacing w:line="360" w:after="210" w:lineRule="auto"/>
      </w:pPr>
      <w:hyperlink r:id="rId108">
        <w:r>
          <w:rPr>
            <w:rFonts w:eastAsia="inter" w:cs="inter" w:ascii="inter" w:hAnsi="inter"/>
            <w:color w:val="#000"/>
            <w:sz w:val="18"/>
            <w:u w:val="single"/>
          </w:rPr>
          <w:t xml:space="preserve">https://scholar.kyobobook.co.kr/article/detail/4010070421351</w:t>
        </w:r>
      </w:hyperlink>
      <w:r>
        <w:rPr>
          <w:rFonts w:eastAsia="inter" w:cs="inter" w:ascii="inter" w:hAnsi="inter"/>
          <w:color w:val="000000"/>
          <w:sz w:val="18"/>
        </w:rPr>
        <w:t xml:space="preserve"> </w:t>
      </w:r>
    </w:p>
    <w:bookmarkStart w:id="243" w:name="fn103"/>
    <w:bookmarkEnd w:id="243"/>
    <w:p>
      <w:pPr>
        <w:numPr>
          <w:ilvl w:val="0"/>
          <w:numId w:val="57"/>
        </w:numPr>
        <w:spacing w:line="360" w:after="210" w:lineRule="auto"/>
      </w:pPr>
      <w:hyperlink r:id="rId109">
        <w:r>
          <w:rPr>
            <w:rFonts w:eastAsia="inter" w:cs="inter" w:ascii="inter" w:hAnsi="inter"/>
            <w:color w:val="#000"/>
            <w:sz w:val="18"/>
            <w:u w:val="single"/>
          </w:rPr>
          <w:t xml:space="preserve">https://revista.unap.ro/index.php/bulletin/article/view/1805</w:t>
        </w:r>
      </w:hyperlink>
      <w:r>
        <w:rPr>
          <w:rFonts w:eastAsia="inter" w:cs="inter" w:ascii="inter" w:hAnsi="inter"/>
          <w:color w:val="000000"/>
          <w:sz w:val="18"/>
        </w:rPr>
        <w:t xml:space="preserve"> </w:t>
      </w:r>
    </w:p>
    <w:bookmarkStart w:id="244" w:name="fn104"/>
    <w:bookmarkEnd w:id="244"/>
    <w:p>
      <w:pPr>
        <w:numPr>
          <w:ilvl w:val="0"/>
          <w:numId w:val="57"/>
        </w:numPr>
        <w:spacing w:line="360" w:after="210" w:lineRule="auto"/>
      </w:pPr>
      <w:hyperlink r:id="rId110">
        <w:r>
          <w:rPr>
            <w:rFonts w:eastAsia="inter" w:cs="inter" w:ascii="inter" w:hAnsi="inter"/>
            <w:color w:val="#000"/>
            <w:sz w:val="18"/>
            <w:u w:val="single"/>
          </w:rPr>
          <w:t xml:space="preserve">https://www.semanticscholar.org/paper/26d4f26b4d8e02968a3720608fb04872731d3231</w:t>
        </w:r>
      </w:hyperlink>
      <w:r>
        <w:rPr>
          <w:rFonts w:eastAsia="inter" w:cs="inter" w:ascii="inter" w:hAnsi="inter"/>
          <w:color w:val="000000"/>
          <w:sz w:val="18"/>
        </w:rPr>
        <w:t xml:space="preserve"> </w:t>
      </w:r>
    </w:p>
    <w:bookmarkStart w:id="245" w:name="fn105"/>
    <w:bookmarkEnd w:id="245"/>
    <w:p>
      <w:pPr>
        <w:numPr>
          <w:ilvl w:val="0"/>
          <w:numId w:val="57"/>
        </w:numPr>
        <w:spacing w:line="360" w:after="210" w:lineRule="auto"/>
      </w:pPr>
      <w:hyperlink r:id="rId111">
        <w:r>
          <w:rPr>
            <w:rFonts w:eastAsia="inter" w:cs="inter" w:ascii="inter" w:hAnsi="inter"/>
            <w:color w:val="#000"/>
            <w:sz w:val="18"/>
            <w:u w:val="single"/>
          </w:rPr>
          <w:t xml:space="preserve">https://www.semanticscholar.org/paper/b32df17809f39f75a62a59eceed63b451e3245b7</w:t>
        </w:r>
      </w:hyperlink>
      <w:r>
        <w:rPr>
          <w:rFonts w:eastAsia="inter" w:cs="inter" w:ascii="inter" w:hAnsi="inter"/>
          <w:color w:val="000000"/>
          <w:sz w:val="18"/>
        </w:rPr>
        <w:t xml:space="preserve"> </w:t>
      </w:r>
    </w:p>
    <w:bookmarkStart w:id="246" w:name="fn106"/>
    <w:bookmarkEnd w:id="246"/>
    <w:p>
      <w:pPr>
        <w:numPr>
          <w:ilvl w:val="0"/>
          <w:numId w:val="57"/>
        </w:numPr>
        <w:spacing w:line="360" w:after="210" w:lineRule="auto"/>
      </w:pPr>
      <w:hyperlink r:id="rId112">
        <w:r>
          <w:rPr>
            <w:rFonts w:eastAsia="inter" w:cs="inter" w:ascii="inter" w:hAnsi="inter"/>
            <w:color w:val="#000"/>
            <w:sz w:val="18"/>
            <w:u w:val="single"/>
          </w:rPr>
          <w:t xml:space="preserve">https://www.semanticscholar.org/paper/38eb8e57fb279ab6df91e460e45e3cf3f82d2edf</w:t>
        </w:r>
      </w:hyperlink>
      <w:r>
        <w:rPr>
          <w:rFonts w:eastAsia="inter" w:cs="inter" w:ascii="inter" w:hAnsi="inter"/>
          <w:color w:val="000000"/>
          <w:sz w:val="18"/>
        </w:rPr>
        <w:t xml:space="preserve"> </w:t>
      </w:r>
    </w:p>
    <w:bookmarkStart w:id="247" w:name="fn107"/>
    <w:bookmarkEnd w:id="247"/>
    <w:p>
      <w:pPr>
        <w:numPr>
          <w:ilvl w:val="0"/>
          <w:numId w:val="57"/>
        </w:numPr>
        <w:spacing w:line="360" w:after="210" w:lineRule="auto"/>
      </w:pPr>
      <w:hyperlink r:id="rId113">
        <w:r>
          <w:rPr>
            <w:rFonts w:eastAsia="inter" w:cs="inter" w:ascii="inter" w:hAnsi="inter"/>
            <w:color w:val="#000"/>
            <w:sz w:val="18"/>
            <w:u w:val="single"/>
          </w:rPr>
          <w:t xml:space="preserve">http://www.tandfonline.com/doi/abs/10.1080/09700161.2014.1000668</w:t>
        </w:r>
      </w:hyperlink>
      <w:r>
        <w:rPr>
          <w:rFonts w:eastAsia="inter" w:cs="inter" w:ascii="inter" w:hAnsi="inter"/>
          <w:color w:val="000000"/>
          <w:sz w:val="18"/>
        </w:rPr>
        <w:t xml:space="preserve"> </w:t>
      </w:r>
    </w:p>
    <w:bookmarkStart w:id="248" w:name="fn108"/>
    <w:bookmarkEnd w:id="248"/>
    <w:p>
      <w:pPr>
        <w:numPr>
          <w:ilvl w:val="0"/>
          <w:numId w:val="57"/>
        </w:numPr>
        <w:spacing w:line="360" w:after="210" w:lineRule="auto"/>
      </w:pPr>
      <w:hyperlink r:id="rId114">
        <w:r>
          <w:rPr>
            <w:rFonts w:eastAsia="inter" w:cs="inter" w:ascii="inter" w:hAnsi="inter"/>
            <w:color w:val="#000"/>
            <w:sz w:val="18"/>
            <w:u w:val="single"/>
          </w:rPr>
          <w:t xml:space="preserve">https://www.mdpi.com/1999-4907/13/7/1153</w:t>
        </w:r>
      </w:hyperlink>
      <w:r>
        <w:rPr>
          <w:rFonts w:eastAsia="inter" w:cs="inter" w:ascii="inter" w:hAnsi="inter"/>
          <w:color w:val="000000"/>
          <w:sz w:val="18"/>
        </w:rPr>
        <w:t xml:space="preserve"> </w:t>
      </w:r>
    </w:p>
    <w:bookmarkStart w:id="249" w:name="fn109"/>
    <w:bookmarkEnd w:id="249"/>
    <w:p>
      <w:pPr>
        <w:numPr>
          <w:ilvl w:val="0"/>
          <w:numId w:val="57"/>
        </w:numPr>
        <w:spacing w:line="360" w:after="210" w:lineRule="auto"/>
      </w:pPr>
      <w:hyperlink r:id="rId115">
        <w:r>
          <w:rPr>
            <w:rFonts w:eastAsia="inter" w:cs="inter" w:ascii="inter" w:hAnsi="inter"/>
            <w:color w:val="#000"/>
            <w:sz w:val="18"/>
            <w:u w:val="single"/>
          </w:rPr>
          <w:t xml:space="preserve">https://www.semanticscholar.org/paper/0955b6ab4f3bbc09b2efdedc0280faea41447ef7</w:t>
        </w:r>
      </w:hyperlink>
      <w:r>
        <w:rPr>
          <w:rFonts w:eastAsia="inter" w:cs="inter" w:ascii="inter" w:hAnsi="inter"/>
          <w:color w:val="000000"/>
          <w:sz w:val="18"/>
        </w:rPr>
        <w:t xml:space="preserve"> </w:t>
      </w:r>
    </w:p>
    <w:bookmarkStart w:id="250" w:name="fn110"/>
    <w:bookmarkEnd w:id="250"/>
    <w:p>
      <w:pPr>
        <w:numPr>
          <w:ilvl w:val="0"/>
          <w:numId w:val="57"/>
        </w:numPr>
        <w:spacing w:line="360" w:after="210" w:lineRule="auto"/>
      </w:pPr>
      <w:hyperlink r:id="rId116">
        <w:r>
          <w:rPr>
            <w:rFonts w:eastAsia="inter" w:cs="inter" w:ascii="inter" w:hAnsi="inter"/>
            <w:color w:val="#000"/>
            <w:sz w:val="18"/>
            <w:u w:val="single"/>
          </w:rPr>
          <w:t xml:space="preserve">https://www.ssph-journal.org/articles/10.3389/ijph.2022.1605303/full</w:t>
        </w:r>
      </w:hyperlink>
      <w:r>
        <w:rPr>
          <w:rFonts w:eastAsia="inter" w:cs="inter" w:ascii="inter" w:hAnsi="inter"/>
          <w:color w:val="000000"/>
          <w:sz w:val="18"/>
        </w:rPr>
        <w:t xml:space="preserve"> </w:t>
      </w:r>
    </w:p>
    <w:bookmarkStart w:id="251" w:name="fn111"/>
    <w:bookmarkEnd w:id="251"/>
    <w:p>
      <w:pPr>
        <w:numPr>
          <w:ilvl w:val="0"/>
          <w:numId w:val="57"/>
        </w:numPr>
        <w:spacing w:line="360" w:after="210" w:lineRule="auto"/>
      </w:pPr>
      <w:hyperlink r:id="rId117">
        <w:r>
          <w:rPr>
            <w:rFonts w:eastAsia="inter" w:cs="inter" w:ascii="inter" w:hAnsi="inter"/>
            <w:color w:val="#000"/>
            <w:sz w:val="18"/>
            <w:u w:val="single"/>
          </w:rPr>
          <w:t xml:space="preserve">https://www.cambridge.org/core/services/aop-cambridge-core/content/view/8838CE241813043C64585D551BF1AE05/S2054089222000189a.pdf/div-class-title-conflict-rockets-and-birth-outcomes-evidence-from-israel-s-operation-protective-edge-div.pdf</w:t>
        </w:r>
      </w:hyperlink>
      <w:r>
        <w:rPr>
          <w:rFonts w:eastAsia="inter" w:cs="inter" w:ascii="inter" w:hAnsi="inter"/>
          <w:color w:val="000000"/>
          <w:sz w:val="18"/>
        </w:rPr>
        <w:t xml:space="preserve"> </w:t>
      </w:r>
    </w:p>
    <w:bookmarkStart w:id="252" w:name="fn112"/>
    <w:bookmarkEnd w:id="252"/>
    <w:p>
      <w:pPr>
        <w:numPr>
          <w:ilvl w:val="0"/>
          <w:numId w:val="57"/>
        </w:numPr>
        <w:spacing w:line="360" w:after="210" w:lineRule="auto"/>
      </w:pPr>
      <w:hyperlink r:id="rId118">
        <w:r>
          <w:rPr>
            <w:rFonts w:eastAsia="inter" w:cs="inter" w:ascii="inter" w:hAnsi="inter"/>
            <w:color w:val="#000"/>
            <w:sz w:val="18"/>
            <w:u w:val="single"/>
          </w:rPr>
          <w:t xml:space="preserve">https://www.accenture.com/il-en/careers</w:t>
        </w:r>
      </w:hyperlink>
      <w:r>
        <w:rPr>
          <w:rFonts w:eastAsia="inter" w:cs="inter" w:ascii="inter" w:hAnsi="inter"/>
          <w:color w:val="000000"/>
          <w:sz w:val="18"/>
        </w:rPr>
        <w:t xml:space="preserve"> </w:t>
      </w:r>
    </w:p>
    <w:bookmarkStart w:id="253" w:name="fn113"/>
    <w:bookmarkEnd w:id="253"/>
    <w:p>
      <w:pPr>
        <w:numPr>
          <w:ilvl w:val="0"/>
          <w:numId w:val="57"/>
        </w:numPr>
        <w:spacing w:line="360" w:after="210" w:lineRule="auto"/>
      </w:pPr>
      <w:hyperlink r:id="rId119">
        <w:r>
          <w:rPr>
            <w:rFonts w:eastAsia="inter" w:cs="inter" w:ascii="inter" w:hAnsi="inter"/>
            <w:color w:val="#000"/>
            <w:sz w:val="18"/>
            <w:u w:val="single"/>
          </w:rPr>
          <w:t xml:space="preserve">https://www.calcalistech.com/ctech/articles/0,7340,L-3883354,00.html</w:t>
        </w:r>
      </w:hyperlink>
      <w:r>
        <w:rPr>
          <w:rFonts w:eastAsia="inter" w:cs="inter" w:ascii="inter" w:hAnsi="inter"/>
          <w:color w:val="000000"/>
          <w:sz w:val="18"/>
        </w:rPr>
        <w:t xml:space="preserve"> </w:t>
      </w:r>
    </w:p>
    <w:bookmarkStart w:id="254" w:name="fn114"/>
    <w:bookmarkEnd w:id="254"/>
    <w:p>
      <w:pPr>
        <w:numPr>
          <w:ilvl w:val="0"/>
          <w:numId w:val="57"/>
        </w:numPr>
        <w:spacing w:line="360" w:after="210" w:lineRule="auto"/>
      </w:pPr>
      <w:hyperlink r:id="rId120">
        <w:r>
          <w:rPr>
            <w:rFonts w:eastAsia="inter" w:cs="inter" w:ascii="inter" w:hAnsi="inter"/>
            <w:color w:val="#000"/>
            <w:sz w:val="18"/>
            <w:u w:val="single"/>
          </w:rPr>
          <w:t xml:space="preserve">https://nocamels.com/2018/01/accenture-israel-universities-competition/</w:t>
        </w:r>
      </w:hyperlink>
      <w:r>
        <w:rPr>
          <w:rFonts w:eastAsia="inter" w:cs="inter" w:ascii="inter" w:hAnsi="inter"/>
          <w:color w:val="000000"/>
          <w:sz w:val="18"/>
        </w:rPr>
        <w:t xml:space="preserve"> </w:t>
      </w:r>
    </w:p>
    <w:bookmarkStart w:id="255" w:name="fn115"/>
    <w:bookmarkEnd w:id="255"/>
    <w:p>
      <w:pPr>
        <w:numPr>
          <w:ilvl w:val="0"/>
          <w:numId w:val="57"/>
        </w:numPr>
        <w:spacing w:line="360" w:after="210" w:lineRule="auto"/>
      </w:pPr>
      <w:hyperlink r:id="rId121">
        <w:r>
          <w:rPr>
            <w:rFonts w:eastAsia="inter" w:cs="inter" w:ascii="inter" w:hAnsi="inter"/>
            <w:color w:val="#000"/>
            <w:sz w:val="18"/>
            <w:u w:val="single"/>
          </w:rPr>
          <w:t xml:space="preserve">https://www.accenture.com/us-en/about/company-index</w:t>
        </w:r>
      </w:hyperlink>
      <w:r>
        <w:rPr>
          <w:rFonts w:eastAsia="inter" w:cs="inter" w:ascii="inter" w:hAnsi="inter"/>
          <w:color w:val="000000"/>
          <w:sz w:val="18"/>
        </w:rPr>
        <w:t xml:space="preserve"> </w:t>
      </w:r>
    </w:p>
    <w:bookmarkStart w:id="256" w:name="fn116"/>
    <w:bookmarkEnd w:id="256"/>
    <w:p>
      <w:pPr>
        <w:numPr>
          <w:ilvl w:val="0"/>
          <w:numId w:val="57"/>
        </w:numPr>
        <w:spacing w:line="360" w:after="210" w:lineRule="auto"/>
      </w:pPr>
      <w:hyperlink r:id="rId122">
        <w:r>
          <w:rPr>
            <w:rFonts w:eastAsia="inter" w:cs="inter" w:ascii="inter" w:hAnsi="inter"/>
            <w:color w:val="#000"/>
            <w:sz w:val="18"/>
            <w:u w:val="single"/>
          </w:rPr>
          <w:t xml:space="preserve">https://secrethunter.io/jobs/office-administrator-at-accenture-israel-4195428428</w:t>
        </w:r>
      </w:hyperlink>
      <w:r>
        <w:rPr>
          <w:rFonts w:eastAsia="inter" w:cs="inter" w:ascii="inter" w:hAnsi="inter"/>
          <w:color w:val="000000"/>
          <w:sz w:val="18"/>
        </w:rPr>
        <w:t xml:space="preserve"> </w:t>
      </w:r>
    </w:p>
    <w:bookmarkStart w:id="257" w:name="fn117"/>
    <w:bookmarkEnd w:id="257"/>
    <w:p>
      <w:pPr>
        <w:numPr>
          <w:ilvl w:val="0"/>
          <w:numId w:val="57"/>
        </w:numPr>
        <w:spacing w:line="360" w:after="210" w:lineRule="auto"/>
      </w:pPr>
      <w:hyperlink r:id="rId123">
        <w:r>
          <w:rPr>
            <w:rFonts w:eastAsia="inter" w:cs="inter" w:ascii="inter" w:hAnsi="inter"/>
            <w:color w:val="#000"/>
            <w:sz w:val="18"/>
            <w:u w:val="single"/>
          </w:rPr>
          <w:t xml:space="preserve">https://www.consultancy.uk/news/12240/accenture-acquires-israel-based-cyber-security-firm-maglan</w:t>
        </w:r>
      </w:hyperlink>
      <w:r>
        <w:rPr>
          <w:rFonts w:eastAsia="inter" w:cs="inter" w:ascii="inter" w:hAnsi="inter"/>
          <w:color w:val="000000"/>
          <w:sz w:val="18"/>
        </w:rPr>
        <w:t xml:space="preserve"> </w:t>
      </w:r>
    </w:p>
    <w:bookmarkStart w:id="258" w:name="fn118"/>
    <w:bookmarkEnd w:id="258"/>
    <w:p>
      <w:pPr>
        <w:numPr>
          <w:ilvl w:val="0"/>
          <w:numId w:val="57"/>
        </w:numPr>
        <w:spacing w:line="360" w:after="210" w:lineRule="auto"/>
      </w:pPr>
      <w:hyperlink r:id="rId124">
        <w:r>
          <w:rPr>
            <w:rFonts w:eastAsia="inter" w:cs="inter" w:ascii="inter" w:hAnsi="inter"/>
            <w:color w:val="#000"/>
            <w:sz w:val="18"/>
            <w:u w:val="single"/>
          </w:rPr>
          <w:t xml:space="preserve">https://www.accenture.com/us-en/about/song-client-stories-index</w:t>
        </w:r>
      </w:hyperlink>
      <w:r>
        <w:rPr>
          <w:rFonts w:eastAsia="inter" w:cs="inter" w:ascii="inter" w:hAnsi="inter"/>
          <w:color w:val="000000"/>
          <w:sz w:val="18"/>
        </w:rPr>
        <w:t xml:space="preserve"> </w:t>
      </w:r>
    </w:p>
    <w:bookmarkStart w:id="259" w:name="fn119"/>
    <w:bookmarkEnd w:id="259"/>
    <w:p>
      <w:pPr>
        <w:numPr>
          <w:ilvl w:val="0"/>
          <w:numId w:val="57"/>
        </w:numPr>
        <w:spacing w:line="360" w:after="210" w:lineRule="auto"/>
      </w:pPr>
      <w:hyperlink r:id="rId125">
        <w:r>
          <w:rPr>
            <w:rFonts w:eastAsia="inter" w:cs="inter" w:ascii="inter" w:hAnsi="inter"/>
            <w:color w:val="#000"/>
            <w:sz w:val="18"/>
            <w:u w:val="single"/>
          </w:rPr>
          <w:t xml:space="preserve">https://www.accenture.com/us-en/about/contact-us</w:t>
        </w:r>
      </w:hyperlink>
      <w:r>
        <w:rPr>
          <w:rFonts w:eastAsia="inter" w:cs="inter" w:ascii="inter" w:hAnsi="inter"/>
          <w:color w:val="000000"/>
          <w:sz w:val="18"/>
        </w:rPr>
        <w:t xml:space="preserve"> </w:t>
      </w:r>
    </w:p>
    <w:bookmarkStart w:id="260" w:name="fn120"/>
    <w:bookmarkEnd w:id="260"/>
    <w:p>
      <w:pPr>
        <w:numPr>
          <w:ilvl w:val="0"/>
          <w:numId w:val="57"/>
        </w:numPr>
        <w:spacing w:line="360" w:after="210" w:lineRule="auto"/>
      </w:pPr>
      <w:hyperlink r:id="rId126">
        <w:r>
          <w:rPr>
            <w:rFonts w:eastAsia="inter" w:cs="inter" w:ascii="inter" w:hAnsi="inter"/>
            <w:color w:val="#000"/>
            <w:sz w:val="18"/>
            <w:u w:val="single"/>
          </w:rPr>
          <w:t xml:space="preserve">https://journals.sagepub.com/doi/10.1177/20552076251365010</w:t>
        </w:r>
      </w:hyperlink>
      <w:r>
        <w:rPr>
          <w:rFonts w:eastAsia="inter" w:cs="inter" w:ascii="inter" w:hAnsi="inter"/>
          <w:color w:val="000000"/>
          <w:sz w:val="18"/>
        </w:rPr>
        <w:t xml:space="preserve"> </w:t>
      </w:r>
    </w:p>
    <w:bookmarkStart w:id="261" w:name="fn121"/>
    <w:bookmarkEnd w:id="261"/>
    <w:p>
      <w:pPr>
        <w:numPr>
          <w:ilvl w:val="0"/>
          <w:numId w:val="57"/>
        </w:numPr>
        <w:spacing w:line="360" w:after="210" w:lineRule="auto"/>
      </w:pPr>
      <w:hyperlink r:id="rId127">
        <w:r>
          <w:rPr>
            <w:rFonts w:eastAsia="inter" w:cs="inter" w:ascii="inter" w:hAnsi="inter"/>
            <w:color w:val="#000"/>
            <w:sz w:val="18"/>
            <w:u w:val="single"/>
          </w:rPr>
          <w:t xml:space="preserve">https://www.tandfonline.com/doi/full/10.1080/14664208.2024.2442203</w:t>
        </w:r>
      </w:hyperlink>
      <w:r>
        <w:rPr>
          <w:rFonts w:eastAsia="inter" w:cs="inter" w:ascii="inter" w:hAnsi="inter"/>
          <w:color w:val="000000"/>
          <w:sz w:val="18"/>
        </w:rPr>
        <w:t xml:space="preserve"> </w:t>
      </w:r>
    </w:p>
    <w:bookmarkStart w:id="262" w:name="fn122"/>
    <w:bookmarkEnd w:id="262"/>
    <w:p>
      <w:pPr>
        <w:numPr>
          <w:ilvl w:val="0"/>
          <w:numId w:val="57"/>
        </w:numPr>
        <w:spacing w:line="360" w:after="210" w:lineRule="auto"/>
      </w:pPr>
      <w:hyperlink r:id="rId128">
        <w:r>
          <w:rPr>
            <w:rFonts w:eastAsia="inter" w:cs="inter" w:ascii="inter" w:hAnsi="inter"/>
            <w:color w:val="#000"/>
            <w:sz w:val="18"/>
            <w:u w:val="single"/>
          </w:rPr>
          <w:t xml:space="preserve">https://journals.lww.com/10.1097/PRS.0000000000010151</w:t>
        </w:r>
      </w:hyperlink>
      <w:r>
        <w:rPr>
          <w:rFonts w:eastAsia="inter" w:cs="inter" w:ascii="inter" w:hAnsi="inter"/>
          <w:color w:val="000000"/>
          <w:sz w:val="18"/>
        </w:rPr>
        <w:t xml:space="preserve"> </w:t>
      </w:r>
    </w:p>
    <w:bookmarkStart w:id="263" w:name="fn123"/>
    <w:bookmarkEnd w:id="263"/>
    <w:p>
      <w:pPr>
        <w:numPr>
          <w:ilvl w:val="0"/>
          <w:numId w:val="57"/>
        </w:numPr>
        <w:spacing w:line="360" w:after="210" w:lineRule="auto"/>
      </w:pPr>
      <w:hyperlink r:id="rId129">
        <w:r>
          <w:rPr>
            <w:rFonts w:eastAsia="inter" w:cs="inter" w:ascii="inter" w:hAnsi="inter"/>
            <w:color w:val="#000"/>
            <w:sz w:val="18"/>
            <w:u w:val="single"/>
          </w:rPr>
          <w:t xml:space="preserve">https://www.mdpi.com/2624-7402/7/12/426</w:t>
        </w:r>
      </w:hyperlink>
      <w:r>
        <w:rPr>
          <w:rFonts w:eastAsia="inter" w:cs="inter" w:ascii="inter" w:hAnsi="inter"/>
          <w:color w:val="000000"/>
          <w:sz w:val="18"/>
        </w:rPr>
        <w:t xml:space="preserve"> </w:t>
      </w:r>
    </w:p>
    <w:bookmarkStart w:id="264" w:name="fn124"/>
    <w:bookmarkEnd w:id="264"/>
    <w:p>
      <w:pPr>
        <w:numPr>
          <w:ilvl w:val="0"/>
          <w:numId w:val="57"/>
        </w:numPr>
        <w:spacing w:line="360" w:after="210" w:lineRule="auto"/>
      </w:pPr>
      <w:hyperlink r:id="rId130">
        <w:r>
          <w:rPr>
            <w:rFonts w:eastAsia="inter" w:cs="inter" w:ascii="inter" w:hAnsi="inter"/>
            <w:color w:val="#000"/>
            <w:sz w:val="18"/>
            <w:u w:val="single"/>
          </w:rPr>
          <w:t xml:space="preserve">https://www.tandfonline.com/doi/full/10.1080/09644016.2022.2164203</w:t>
        </w:r>
      </w:hyperlink>
      <w:r>
        <w:rPr>
          <w:rFonts w:eastAsia="inter" w:cs="inter" w:ascii="inter" w:hAnsi="inter"/>
          <w:color w:val="000000"/>
          <w:sz w:val="18"/>
        </w:rPr>
        <w:t xml:space="preserve"> </w:t>
      </w:r>
    </w:p>
    <w:bookmarkStart w:id="265" w:name="fn125"/>
    <w:bookmarkEnd w:id="265"/>
    <w:p>
      <w:pPr>
        <w:numPr>
          <w:ilvl w:val="0"/>
          <w:numId w:val="57"/>
        </w:numPr>
        <w:spacing w:line="360" w:after="210" w:lineRule="auto"/>
      </w:pPr>
      <w:hyperlink r:id="rId131">
        <w:r>
          <w:rPr>
            <w:rFonts w:eastAsia="inter" w:cs="inter" w:ascii="inter" w:hAnsi="inter"/>
            <w:color w:val="#000"/>
            <w:sz w:val="18"/>
            <w:u w:val="single"/>
          </w:rPr>
          <w:t xml:space="preserve">https://www.cambridge.org/core/product/identifier/S1744552325100165/type/journal_article</w:t>
        </w:r>
      </w:hyperlink>
      <w:r>
        <w:rPr>
          <w:rFonts w:eastAsia="inter" w:cs="inter" w:ascii="inter" w:hAnsi="inter"/>
          <w:color w:val="000000"/>
          <w:sz w:val="18"/>
        </w:rPr>
        <w:t xml:space="preserve"> </w:t>
      </w:r>
    </w:p>
    <w:bookmarkStart w:id="266" w:name="fn126"/>
    <w:bookmarkEnd w:id="266"/>
    <w:p>
      <w:pPr>
        <w:numPr>
          <w:ilvl w:val="0"/>
          <w:numId w:val="57"/>
        </w:numPr>
        <w:spacing w:line="360" w:after="210" w:lineRule="auto"/>
      </w:pPr>
      <w:hyperlink r:id="rId132">
        <w:r>
          <w:rPr>
            <w:rFonts w:eastAsia="inter" w:cs="inter" w:ascii="inter" w:hAnsi="inter"/>
            <w:color w:val="#000"/>
            <w:sz w:val="18"/>
            <w:u w:val="single"/>
          </w:rPr>
          <w:t xml:space="preserve">https://papers.academic-conferences.org/index.php/iccws/article/view/1984</w:t>
        </w:r>
      </w:hyperlink>
      <w:r>
        <w:rPr>
          <w:rFonts w:eastAsia="inter" w:cs="inter" w:ascii="inter" w:hAnsi="inter"/>
          <w:color w:val="000000"/>
          <w:sz w:val="18"/>
        </w:rPr>
        <w:t xml:space="preserve"> </w:t>
      </w:r>
    </w:p>
    <w:bookmarkStart w:id="267" w:name="fn127"/>
    <w:bookmarkEnd w:id="267"/>
    <w:p>
      <w:pPr>
        <w:numPr>
          <w:ilvl w:val="0"/>
          <w:numId w:val="57"/>
        </w:numPr>
        <w:spacing w:line="360" w:after="210" w:lineRule="auto"/>
      </w:pPr>
      <w:hyperlink r:id="rId133">
        <w:r>
          <w:rPr>
            <w:rFonts w:eastAsia="inter" w:cs="inter" w:ascii="inter" w:hAnsi="inter"/>
            <w:color w:val="#000"/>
            <w:sz w:val="18"/>
            <w:u w:val="single"/>
          </w:rPr>
          <w:t xml:space="preserve">https://www.semanticscholar.org/paper/77c0d41e2a597c888cd7725dadb1e40f7599ef72</w:t>
        </w:r>
      </w:hyperlink>
      <w:r>
        <w:rPr>
          <w:rFonts w:eastAsia="inter" w:cs="inter" w:ascii="inter" w:hAnsi="inter"/>
          <w:color w:val="000000"/>
          <w:sz w:val="18"/>
        </w:rPr>
        <w:t xml:space="preserve"> </w:t>
      </w:r>
    </w:p>
    <w:bookmarkStart w:id="268" w:name="fn128"/>
    <w:bookmarkEnd w:id="268"/>
    <w:p>
      <w:pPr>
        <w:numPr>
          <w:ilvl w:val="0"/>
          <w:numId w:val="57"/>
        </w:numPr>
        <w:spacing w:line="360" w:after="210" w:lineRule="auto"/>
      </w:pPr>
      <w:hyperlink r:id="rId134">
        <w:r>
          <w:rPr>
            <w:rFonts w:eastAsia="inter" w:cs="inter" w:ascii="inter" w:hAnsi="inter"/>
            <w:color w:val="#000"/>
            <w:sz w:val="18"/>
            <w:u w:val="single"/>
          </w:rPr>
          <w:t xml:space="preserve">http://www.baltijapublishing.lv/index.php/issue/article/view/2507</w:t>
        </w:r>
      </w:hyperlink>
      <w:r>
        <w:rPr>
          <w:rFonts w:eastAsia="inter" w:cs="inter" w:ascii="inter" w:hAnsi="inter"/>
          <w:color w:val="000000"/>
          <w:sz w:val="18"/>
        </w:rPr>
        <w:t xml:space="preserve"> </w:t>
      </w:r>
    </w:p>
    <w:bookmarkStart w:id="269" w:name="fn129"/>
    <w:bookmarkEnd w:id="269"/>
    <w:p>
      <w:pPr>
        <w:numPr>
          <w:ilvl w:val="0"/>
          <w:numId w:val="57"/>
        </w:numPr>
        <w:spacing w:line="360" w:after="210" w:lineRule="auto"/>
      </w:pPr>
      <w:hyperlink r:id="rId135">
        <w:r>
          <w:rPr>
            <w:rFonts w:eastAsia="inter" w:cs="inter" w:ascii="inter" w:hAnsi="inter"/>
            <w:color w:val="#000"/>
            <w:sz w:val="18"/>
            <w:u w:val="single"/>
          </w:rPr>
          <w:t xml:space="preserve">https://journals.sagepub.com/doi/10.1177/0379572117692440</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decimal"/>
      <w:lvlText w:val="%1."/>
      <w:lvlJc w:val="left"/>
      <w:pPr>
        <w:tabs>
          <w:tab w:val="num" w:pos="900"/>
        </w:tabs>
        <w:ind w:left="540" w:hanging="360"/>
      </w:p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decimal"/>
      <w:lvlText w:val="%1."/>
      <w:lvlJc w:val="left"/>
      <w:pPr>
        <w:tabs>
          <w:tab w:val="num" w:pos="900"/>
        </w:tabs>
        <w:ind w:left="540" w:hanging="360"/>
      </w:p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abstractNum>
  <w:abstractNum w:abstractNumId="5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09bf76bbcee5030ba9d8448a2503bdc9ce279a3.png" TargetMode="Internal"/><Relationship Id="rId6" Type="http://schemas.openxmlformats.org/officeDocument/2006/relationships/hyperlink" Target="http://Consultancy.me" TargetMode="External"/><Relationship Id="rId7" Type="http://schemas.openxmlformats.org/officeDocument/2006/relationships/hyperlink" Target="https://www.accenture.com/content/dam/accenture/final/accenture-com/document/Accenture-Total-Enterprise-Reinvention.pdf" TargetMode="External"/><Relationship Id="rId8" Type="http://schemas.openxmlformats.org/officeDocument/2006/relationships/hyperlink" Target="https://www.accenture.com/us-en/insights/consulting/total-enterprise-reinvention-hub" TargetMode="External"/><Relationship Id="rId9" Type="http://schemas.openxmlformats.org/officeDocument/2006/relationships/hyperlink" Target="https://www.accenture.com/content/dam/accenture/final/accenture-com/document/Total-Enterprise-Reinvention-Exec-Summary.pdf" TargetMode="External"/><Relationship Id="rId10" Type="http://schemas.openxmlformats.org/officeDocument/2006/relationships/hyperlink" Target="https://www.consultancy-me.com/news/6081/accenture-coins-best-practices-for-success-as-total-enterprise-reinvention" TargetMode="External"/><Relationship Id="rId11" Type="http://schemas.openxmlformats.org/officeDocument/2006/relationships/hyperlink" Target="https://marketplace.microsoft.com/en-us/product/saas/accenture1628868945076.accenture-ai-refinery?tab=overview" TargetMode="External"/><Relationship Id="rId12" Type="http://schemas.openxmlformats.org/officeDocument/2006/relationships/hyperlink" Target="https://aiagentstore.ai/ai-agent/ai-refinery" TargetMode="External"/><Relationship Id="rId13" Type="http://schemas.openxmlformats.org/officeDocument/2006/relationships/hyperlink" Target="https://sdk.airefinery.accenture.com/ai_refinery_101/" TargetMode="External"/><Relationship Id="rId14" Type="http://schemas.openxmlformats.org/officeDocument/2006/relationships/hyperlink" Target="https://www.aidataanalytics.network/data-science-ai/news-trends/accenture-launches-distiller-agentic-ai-framework-for-scalable-enterprise-ai-solutions" TargetMode="External"/><Relationship Id="rId15" Type="http://schemas.openxmlformats.org/officeDocument/2006/relationships/hyperlink" Target="https://www.accenture.com/content/dam/accenture/final/industry/cross-industry/document/Making-Reinvention-Real-With-GenAI-TL.pdf" TargetMode="External"/><Relationship Id="rId16" Type="http://schemas.openxmlformats.org/officeDocument/2006/relationships/hyperlink" Target="https://newsroom.accenture.com/news/2019/accenture-launches-synops-a-human-machine-operating-engine-designed-to-help-enterprises-achieve-sustainable-competitive-advantage" TargetMode="External"/><Relationship Id="rId17" Type="http://schemas.openxmlformats.org/officeDocument/2006/relationships/hyperlink" Target="https://www.bestpractice.ai/ai-case-study-best-practice/accenture_redeploys_after_automating_tasks_with_rpa_system" TargetMode="External"/><Relationship Id="rId18" Type="http://schemas.openxmlformats.org/officeDocument/2006/relationships/hyperlink" Target="https://www.rtinsights.com/accenture-synops/" TargetMode="External"/><Relationship Id="rId19" Type="http://schemas.openxmlformats.org/officeDocument/2006/relationships/hyperlink" Target="https://www.techzine.eu/news/infrastructure/38509/accenture-synops-helps-automate-processes/" TargetMode="External"/><Relationship Id="rId20" Type="http://schemas.openxmlformats.org/officeDocument/2006/relationships/hyperlink" Target="https://newsroom.accenture.com/news/2020/accenture-introduces-powerful-new-version-of-mywizard-intelligent-automation-platform" TargetMode="External"/><Relationship Id="rId21" Type="http://schemas.openxmlformats.org/officeDocument/2006/relationships/hyperlink" Target="https://www.helpnetsecurity.com/2020/09/11/accenture-mywizard-automation-platform-gets-ai-powered-automation-features/" TargetMode="External"/><Relationship Id="rId22" Type="http://schemas.openxmlformats.org/officeDocument/2006/relationships/hyperlink" Target="https://aithority.com/computing/accenture-mywizard-and-the-dawn-of-ai-based-intelligent-automation-platform/" TargetMode="External"/><Relationship Id="rId23" Type="http://schemas.openxmlformats.org/officeDocument/2006/relationships/hyperlink" Target="https://www.accenture.com/content/dam/accenture/final/a-com-migration/manual/r3/pdf/pdf-108/Accenture-MyWizard.pdf" TargetMode="External"/><Relationship Id="rId24" Type="http://schemas.openxmlformats.org/officeDocument/2006/relationships/hyperlink" Target="https://www.crn.com/news/managed-services/accenture-ceo-julie-sweet-all-strategies-continue-to-lead-to-technology" TargetMode="External"/><Relationship Id="rId25" Type="http://schemas.openxmlformats.org/officeDocument/2006/relationships/hyperlink" Target="https://time.com/7325675/accenture-ceo-julie-sweet-interview/" TargetMode="External"/><Relationship Id="rId26" Type="http://schemas.openxmlformats.org/officeDocument/2006/relationships/hyperlink" Target="https://www.youtube.com/watch?v=2HabAoy3nv4" TargetMode="External"/><Relationship Id="rId27" Type="http://schemas.openxmlformats.org/officeDocument/2006/relationships/hyperlink" Target="https://www.accenture.com/us-en/about/location" TargetMode="External"/><Relationship Id="rId28" Type="http://schemas.openxmlformats.org/officeDocument/2006/relationships/hyperlink" Target="https://www.accenture.com/il-en" TargetMode="External"/><Relationship Id="rId29" Type="http://schemas.openxmlformats.org/officeDocument/2006/relationships/hyperlink" Target="https://il.linkedin.com/company/accenture_israel" TargetMode="External"/><Relationship Id="rId30" Type="http://schemas.openxmlformats.org/officeDocument/2006/relationships/hyperlink" Target="https://en.globes.co.il/en/article-accenture-buys-israeli-cybersecurity-co-maglan-1001133594" TargetMode="External"/><Relationship Id="rId31" Type="http://schemas.openxmlformats.org/officeDocument/2006/relationships/hyperlink" Target="https://www.timesofisrael.com/accenture-buys-israels-maglan-sets-up-cyber-security-rd-lab/" TargetMode="External"/><Relationship Id="rId32" Type="http://schemas.openxmlformats.org/officeDocument/2006/relationships/hyperlink" Target="https://newsroom.accenture.com/news/2016/accenture-acquires-maglan-expands-security-services-in-israel" TargetMode="External"/><Relationship Id="rId33" Type="http://schemas.openxmlformats.org/officeDocument/2006/relationships/hyperlink" Target="https://www.accenture.com/content/dam/accenture/final/a-com-migration/r3-3/pdf/pdf-99/accenture-collaborative-innovation.pdf" TargetMode="External"/><Relationship Id="rId34" Type="http://schemas.openxmlformats.org/officeDocument/2006/relationships/hyperlink" Target="https://en.globes.co.il/en/article-mergers-make-matrix-one-of-israels-biggest-employers-1001497197" TargetMode="External"/><Relationship Id="rId35" Type="http://schemas.openxmlformats.org/officeDocument/2006/relationships/hyperlink" Target="https://www.whoprofits.org/companies/company/4009?matrix-it" TargetMode="External"/><Relationship Id="rId36" Type="http://schemas.openxmlformats.org/officeDocument/2006/relationships/hyperlink" Target="https://enterpriseaiexecutive.ai/p/accenture-what-2000-client-projects-revealed" TargetMode="External"/><Relationship Id="rId37" Type="http://schemas.openxmlformats.org/officeDocument/2006/relationships/hyperlink" Target="https://www.accenture.com/us-en/insights/strategy/reinvented-with-accenture" TargetMode="External"/><Relationship Id="rId38" Type="http://schemas.openxmlformats.org/officeDocument/2006/relationships/hyperlink" Target="https://www.accenture.com/us-en/case-studies/data-ai/best-buy-humanizes-customer-experience-genai" TargetMode="External"/><Relationship Id="rId39" Type="http://schemas.openxmlformats.org/officeDocument/2006/relationships/hyperlink" Target="https://www.linkedin.com/posts/michaelabbott3_gen-ai-best-buy-case-study-accenture-activity-7357077691092639744-P-vu" TargetMode="External"/><Relationship Id="rId40" Type="http://schemas.openxmlformats.org/officeDocument/2006/relationships/hyperlink" Target="https://www.accenture.com/il-en/case-studies/artificial-intelligence/siam-commercial-banking-data" TargetMode="External"/><Relationship Id="rId41" Type="http://schemas.openxmlformats.org/officeDocument/2006/relationships/hyperlink" Target="https://newsroom.accenture.com/news/2023/accenture-to-invest-3-billion-in-ai-to-accelerate-clients-reinvention" TargetMode="External"/><Relationship Id="rId42" Type="http://schemas.openxmlformats.org/officeDocument/2006/relationships/hyperlink" Target="https://heraldes.khmnu.edu.ua/index.php/heraldes/article/view/118" TargetMode="External"/><Relationship Id="rId43" Type="http://schemas.openxmlformats.org/officeDocument/2006/relationships/hyperlink" Target="https://www.prudentpedal.com/what-accentures-reinvention-strategy-teaches-professional-services-about-positioning-and-thought-leadership/" TargetMode="External"/><Relationship Id="rId44" Type="http://schemas.openxmlformats.org/officeDocument/2006/relationships/hyperlink" Target="https://www.horsesforsources.com/goog_msft_ai_services_072219/" TargetMode="External"/><Relationship Id="rId45" Type="http://schemas.openxmlformats.org/officeDocument/2006/relationships/hyperlink" Target="https://www.linkedin.com/pulse/services-consulting-which-one-should-i-choose-amit-birk-6so3c" TargetMode="External"/><Relationship Id="rId46" Type="http://schemas.openxmlformats.org/officeDocument/2006/relationships/hyperlink" Target="https://ijsra.net/sites/default/files/IJSRA-2024-0639.pdf" TargetMode="External"/><Relationship Id="rId47" Type="http://schemas.openxmlformats.org/officeDocument/2006/relationships/hyperlink" Target="http://arxiv.org/pdf/2411.13017.pdf" TargetMode="External"/><Relationship Id="rId48" Type="http://schemas.openxmlformats.org/officeDocument/2006/relationships/hyperlink" Target="http://arxiv.org/pdf/2502.09479.pdf" TargetMode="External"/><Relationship Id="rId49" Type="http://schemas.openxmlformats.org/officeDocument/2006/relationships/hyperlink" Target="http://arxiv.org/pdf/2411.14437.pdf" TargetMode="External"/><Relationship Id="rId50" Type="http://schemas.openxmlformats.org/officeDocument/2006/relationships/hyperlink" Target="http://arxiv.org/pdf/2502.09172.pdf" TargetMode="External"/><Relationship Id="rId51" Type="http://schemas.openxmlformats.org/officeDocument/2006/relationships/hyperlink" Target="https://arxiv.org/pdf/2404.04101.pdf" TargetMode="External"/><Relationship Id="rId52" Type="http://schemas.openxmlformats.org/officeDocument/2006/relationships/hyperlink" Target="https://arxiv.org/pdf/2304.11771.pdf" TargetMode="External"/><Relationship Id="rId53" Type="http://schemas.openxmlformats.org/officeDocument/2006/relationships/hyperlink" Target="https://arxiv.org/pdf/2410.15653.pdf" TargetMode="External"/><Relationship Id="rId54" Type="http://schemas.openxmlformats.org/officeDocument/2006/relationships/hyperlink" Target="https://www.accenture.com/us-en/case-studies/data-ai/data-generative-ai-client-stories" TargetMode="External"/><Relationship Id="rId55" Type="http://schemas.openxmlformats.org/officeDocument/2006/relationships/hyperlink" Target="https://www.accenture.com/us-en/insights/banking/generative-ai-banking" TargetMode="External"/><Relationship Id="rId56" Type="http://schemas.openxmlformats.org/officeDocument/2006/relationships/hyperlink" Target="https://www.oracle.com/il-en/partner/accenture/" TargetMode="External"/><Relationship Id="rId57" Type="http://schemas.openxmlformats.org/officeDocument/2006/relationships/hyperlink" Target="https://www.accenture.com/us-en/case-studies/finance/accenture-finance-transformation" TargetMode="External"/><Relationship Id="rId58" Type="http://schemas.openxmlformats.org/officeDocument/2006/relationships/hyperlink" Target="https://digitaldefynd.com/IQ/accenture-using-ai-case-study/" TargetMode="External"/><Relationship Id="rId59" Type="http://schemas.openxmlformats.org/officeDocument/2006/relationships/hyperlink" Target="https://www.accenture.com/il-en/case-studies/financial-services/finance-sap-transformation" TargetMode="External"/><Relationship Id="rId60" Type="http://schemas.openxmlformats.org/officeDocument/2006/relationships/hyperlink" Target="https://www.instagram.com/p/DMA98wRxv1C/" TargetMode="External"/><Relationship Id="rId61" Type="http://schemas.openxmlformats.org/officeDocument/2006/relationships/hyperlink" Target="https://www.lyzr.ai/case-studies/accenture/" TargetMode="External"/><Relationship Id="rId62" Type="http://schemas.openxmlformats.org/officeDocument/2006/relationships/hyperlink" Target="https://www.accenture.com/us-en/insights/consulting/making-reinvention-real-with-gen-ai" TargetMode="External"/><Relationship Id="rId63" Type="http://schemas.openxmlformats.org/officeDocument/2006/relationships/hyperlink" Target="https://www.accenture.com/il-en/industries/banking" TargetMode="External"/><Relationship Id="rId64" Type="http://schemas.openxmlformats.org/officeDocument/2006/relationships/hyperlink" Target="https://arxiv.org/pdf/2312.00043.pdf" TargetMode="External"/><Relationship Id="rId65" Type="http://schemas.openxmlformats.org/officeDocument/2006/relationships/hyperlink" Target="https://arxiv.org/pdf/2412.06044.pdf" TargetMode="External"/><Relationship Id="rId66" Type="http://schemas.openxmlformats.org/officeDocument/2006/relationships/hyperlink" Target="https://sciendo.com/pdf/10.2478/mcj-2024-0005" TargetMode="External"/><Relationship Id="rId67" Type="http://schemas.openxmlformats.org/officeDocument/2006/relationships/hyperlink" Target="https://www.tandfonline.com/doi/pdf/10.1080/10696679.2024.2322600?needAccess=true" TargetMode="External"/><Relationship Id="rId68" Type="http://schemas.openxmlformats.org/officeDocument/2006/relationships/hyperlink" Target="https://arxiv.org/pdf/2406.01722.pdf" TargetMode="External"/><Relationship Id="rId69" Type="http://schemas.openxmlformats.org/officeDocument/2006/relationships/hyperlink" Target="https://www.tandfonline.com/doi/pdf/10.1080/09537287.2021.1882690?needAccess=true" TargetMode="External"/><Relationship Id="rId70" Type="http://schemas.openxmlformats.org/officeDocument/2006/relationships/hyperlink" Target="https://www.tandfonline.com/doi/pdf/10.1080/02642069.2024.2336208?needAccess=true" TargetMode="External"/><Relationship Id="rId71" Type="http://schemas.openxmlformats.org/officeDocument/2006/relationships/hyperlink" Target="https://onlinelibrary.wiley.com/doi/pdfdirect/10.1002/smr.2432" TargetMode="External"/><Relationship Id="rId72" Type="http://schemas.openxmlformats.org/officeDocument/2006/relationships/hyperlink" Target="https://www.klover.ai/accenture-ai-strategy-analysis-dominance-in-it-service-and-management-consulting/" TargetMode="External"/><Relationship Id="rId73" Type="http://schemas.openxmlformats.org/officeDocument/2006/relationships/hyperlink" Target="https://managementconsulted.com/accenture-strategy-accenture-technology-3-key-differences/" TargetMode="External"/><Relationship Id="rId74" Type="http://schemas.openxmlformats.org/officeDocument/2006/relationships/hyperlink" Target="https://www.youtube.com/watch?v=COlmHSQvWjw" TargetMode="External"/><Relationship Id="rId75" Type="http://schemas.openxmlformats.org/officeDocument/2006/relationships/hyperlink" Target="https://www.learncodepro.com/blog/tcs-vs-infosys-vs-wipro-vs-cognizant-vs-accenture:-which-it-giant-is-best-for-freshers" TargetMode="External"/><Relationship Id="rId76" Type="http://schemas.openxmlformats.org/officeDocument/2006/relationships/hyperlink" Target="https://arxiv.org/pdf/1503.07713.pdf" TargetMode="External"/><Relationship Id="rId77" Type="http://schemas.openxmlformats.org/officeDocument/2006/relationships/hyperlink" Target="http://arxiv.org/pdf/2006.10237.pdf" TargetMode="External"/><Relationship Id="rId78" Type="http://schemas.openxmlformats.org/officeDocument/2006/relationships/hyperlink" Target="https://arxiv.org/ftp/arxiv/papers/2010/2010.11611.pdf" TargetMode="External"/><Relationship Id="rId79" Type="http://schemas.openxmlformats.org/officeDocument/2006/relationships/hyperlink" Target="https://figshare.com/articles/preprint/Reinventing_Technology_and_Innovation_Management_using_a_Three_Dimensional_approach/13524026/1/files/25960328.pdf" TargetMode="External"/><Relationship Id="rId80" Type="http://schemas.openxmlformats.org/officeDocument/2006/relationships/hyperlink" Target="https://arxiv.org/pdf/2401.10897.pdf" TargetMode="External"/><Relationship Id="rId81" Type="http://schemas.openxmlformats.org/officeDocument/2006/relationships/hyperlink" Target="https://www.mdpi.com/2071-1050/10/11/3882/pdf?version=1540467531" TargetMode="External"/><Relationship Id="rId82" Type="http://schemas.openxmlformats.org/officeDocument/2006/relationships/hyperlink" Target="https://www.e3s-conferences.org/articles/e3sconf/pdf/2023/68/e3sconf_itse2023_07010.pdf" TargetMode="External"/><Relationship Id="rId83" Type="http://schemas.openxmlformats.org/officeDocument/2006/relationships/hyperlink" Target="https://www.scipublications.com/journal/index.php/ujcsc/article/download/831/537" TargetMode="External"/><Relationship Id="rId84" Type="http://schemas.openxmlformats.org/officeDocument/2006/relationships/hyperlink" Target="https://www.accenture.com/content/dam/accenture/final/capabilities/strategy-and-consulting/strategy/document/Accenture-Total-Enterprise-Reinvention-Infographic.pdf" TargetMode="External"/><Relationship Id="rId85" Type="http://schemas.openxmlformats.org/officeDocument/2006/relationships/hyperlink" Target="https://www.linkedin.com/pulse/how-total-enterprise-reinvention-set-new-performance-frontiers" TargetMode="External"/><Relationship Id="rId86" Type="http://schemas.openxmlformats.org/officeDocument/2006/relationships/hyperlink" Target="https://www.scribd.com/document/646967308/Accenture-Total-Enterprise-Reinvention" TargetMode="External"/><Relationship Id="rId87" Type="http://schemas.openxmlformats.org/officeDocument/2006/relationships/hyperlink" Target="https://bernardmarr.com/generative-ai-in-business-why-accenture-is-investing-3-billion-in-ai/" TargetMode="External"/><Relationship Id="rId88" Type="http://schemas.openxmlformats.org/officeDocument/2006/relationships/hyperlink" Target="https://reinventingtheenterprise.cio.com/enterprise-reinvention/total-enterprise-reinvention-the-strategy-that-leads-to-a-new-performance-f/" TargetMode="External"/><Relationship Id="rId89" Type="http://schemas.openxmlformats.org/officeDocument/2006/relationships/hyperlink" Target="https://www.accenture.com/us-en/insights/accenture-invest-3-billion-ai-accelerate-clients-reinvention" TargetMode="External"/><Relationship Id="rId90" Type="http://schemas.openxmlformats.org/officeDocument/2006/relationships/hyperlink" Target="https://ieeexplore.ieee.org/document/10563337/" TargetMode="External"/><Relationship Id="rId91" Type="http://schemas.openxmlformats.org/officeDocument/2006/relationships/hyperlink" Target="https://ijsrset.com/IJSRSET2411148" TargetMode="External"/><Relationship Id="rId92" Type="http://schemas.openxmlformats.org/officeDocument/2006/relationships/hyperlink" Target="https://www.semanticscholar.org/paper/ff4537f2e1cfdb2fbfd29157373d70005c772813" TargetMode="External"/><Relationship Id="rId93" Type="http://schemas.openxmlformats.org/officeDocument/2006/relationships/hyperlink" Target="https://www.semanticscholar.org/paper/aceb335f90c22915e64dd0580ffc26927b526de6" TargetMode="External"/><Relationship Id="rId94" Type="http://schemas.openxmlformats.org/officeDocument/2006/relationships/hyperlink" Target="https://dl.acm.org/doi/10.1145/3746027.3761833" TargetMode="External"/><Relationship Id="rId95" Type="http://schemas.openxmlformats.org/officeDocument/2006/relationships/hyperlink" Target="https://arxiv.org/pdf/2502.20825.pdf" TargetMode="External"/><Relationship Id="rId96" Type="http://schemas.openxmlformats.org/officeDocument/2006/relationships/hyperlink" Target="https://arxiv.org/pdf/2211.08075.pdf" TargetMode="External"/><Relationship Id="rId97" Type="http://schemas.openxmlformats.org/officeDocument/2006/relationships/hyperlink" Target="http://arxiv.org/pdf/2503.16038.pdf" TargetMode="External"/><Relationship Id="rId98" Type="http://schemas.openxmlformats.org/officeDocument/2006/relationships/hyperlink" Target="https://ecp.ep.liu.se/index.php/modelica/article/download/923/831" TargetMode="External"/><Relationship Id="rId99" Type="http://schemas.openxmlformats.org/officeDocument/2006/relationships/hyperlink" Target="https://arxiv.org/pdf/2501.06706.pdf" TargetMode="External"/><Relationship Id="rId100" Type="http://schemas.openxmlformats.org/officeDocument/2006/relationships/hyperlink" Target="https://arxiv.org/pdf/2011.13184.pdf" TargetMode="External"/><Relationship Id="rId101" Type="http://schemas.openxmlformats.org/officeDocument/2006/relationships/hyperlink" Target="https://www.ijfmr.com/papers/2024/5/28795.pdf" TargetMode="External"/><Relationship Id="rId102" Type="http://schemas.openxmlformats.org/officeDocument/2006/relationships/hyperlink" Target="https://www.mdpi.com/2071-1050/15/7/6251/pdf?version=1681307104" TargetMode="External"/><Relationship Id="rId103" Type="http://schemas.openxmlformats.org/officeDocument/2006/relationships/hyperlink" Target="https://www.accenture.com/content/dam/accenture/final/a-com-migration/pdf/pdf-146/accenture-synops-intelligent-compliance-operations-video-transcript.pdf" TargetMode="External"/><Relationship Id="rId104" Type="http://schemas.openxmlformats.org/officeDocument/2006/relationships/hyperlink" Target="https://www.aimarketlandscape.com/products/accenture-synops-ai-agents" TargetMode="External"/><Relationship Id="rId105" Type="http://schemas.openxmlformats.org/officeDocument/2006/relationships/hyperlink" Target="https://www.accenture.com/us-en/about/operations-index" TargetMode="External"/><Relationship Id="rId106" Type="http://schemas.openxmlformats.org/officeDocument/2006/relationships/hyperlink" Target="https://gizmodo.com/automation-software-that-helped-consulting-firm-cut-40-1832160885" TargetMode="External"/><Relationship Id="rId107" Type="http://schemas.openxmlformats.org/officeDocument/2006/relationships/hyperlink" Target="http://economiclaw.kiev.ua/index.php/economiclaw/article/view/1132" TargetMode="External"/><Relationship Id="rId108" Type="http://schemas.openxmlformats.org/officeDocument/2006/relationships/hyperlink" Target="https://scholar.kyobobook.co.kr/article/detail/4010070421351" TargetMode="External"/><Relationship Id="rId109" Type="http://schemas.openxmlformats.org/officeDocument/2006/relationships/hyperlink" Target="https://revista.unap.ro/index.php/bulletin/article/view/1805" TargetMode="External"/><Relationship Id="rId110" Type="http://schemas.openxmlformats.org/officeDocument/2006/relationships/hyperlink" Target="https://www.semanticscholar.org/paper/26d4f26b4d8e02968a3720608fb04872731d3231" TargetMode="External"/><Relationship Id="rId111" Type="http://schemas.openxmlformats.org/officeDocument/2006/relationships/hyperlink" Target="https://www.semanticscholar.org/paper/b32df17809f39f75a62a59eceed63b451e3245b7" TargetMode="External"/><Relationship Id="rId112" Type="http://schemas.openxmlformats.org/officeDocument/2006/relationships/hyperlink" Target="https://www.semanticscholar.org/paper/38eb8e57fb279ab6df91e460e45e3cf3f82d2edf" TargetMode="External"/><Relationship Id="rId113" Type="http://schemas.openxmlformats.org/officeDocument/2006/relationships/hyperlink" Target="http://www.tandfonline.com/doi/abs/10.1080/09700161.2014.1000668" TargetMode="External"/><Relationship Id="rId114" Type="http://schemas.openxmlformats.org/officeDocument/2006/relationships/hyperlink" Target="https://www.mdpi.com/1999-4907/13/7/1153" TargetMode="External"/><Relationship Id="rId115" Type="http://schemas.openxmlformats.org/officeDocument/2006/relationships/hyperlink" Target="https://www.semanticscholar.org/paper/0955b6ab4f3bbc09b2efdedc0280faea41447ef7" TargetMode="External"/><Relationship Id="rId116" Type="http://schemas.openxmlformats.org/officeDocument/2006/relationships/hyperlink" Target="https://www.ssph-journal.org/articles/10.3389/ijph.2022.1605303/full" TargetMode="External"/><Relationship Id="rId117" Type="http://schemas.openxmlformats.org/officeDocument/2006/relationships/hyperlink" Target="https://www.cambridge.org/core/services/aop-cambridge-core/content/view/8838CE241813043C64585D551BF1AE05/S2054089222000189a.pdf/div-class-title-conflict-rockets-and-birth-outcomes-evidence-from-israel-s-operation-protective-edge-div.pdf" TargetMode="External"/><Relationship Id="rId118" Type="http://schemas.openxmlformats.org/officeDocument/2006/relationships/hyperlink" Target="https://www.accenture.com/il-en/careers" TargetMode="External"/><Relationship Id="rId119" Type="http://schemas.openxmlformats.org/officeDocument/2006/relationships/hyperlink" Target="https://www.calcalistech.com/ctech/articles/0,7340,L-3883354,00.html" TargetMode="External"/><Relationship Id="rId120" Type="http://schemas.openxmlformats.org/officeDocument/2006/relationships/hyperlink" Target="https://nocamels.com/2018/01/accenture-israel-universities-competition/" TargetMode="External"/><Relationship Id="rId121" Type="http://schemas.openxmlformats.org/officeDocument/2006/relationships/hyperlink" Target="https://www.accenture.com/us-en/about/company-index" TargetMode="External"/><Relationship Id="rId122" Type="http://schemas.openxmlformats.org/officeDocument/2006/relationships/hyperlink" Target="https://secrethunter.io/jobs/office-administrator-at-accenture-israel-4195428428" TargetMode="External"/><Relationship Id="rId123" Type="http://schemas.openxmlformats.org/officeDocument/2006/relationships/hyperlink" Target="https://www.consultancy.uk/news/12240/accenture-acquires-israel-based-cyber-security-firm-maglan" TargetMode="External"/><Relationship Id="rId124" Type="http://schemas.openxmlformats.org/officeDocument/2006/relationships/hyperlink" Target="https://www.accenture.com/us-en/about/song-client-stories-index" TargetMode="External"/><Relationship Id="rId125" Type="http://schemas.openxmlformats.org/officeDocument/2006/relationships/hyperlink" Target="https://www.accenture.com/us-en/about/contact-us" TargetMode="External"/><Relationship Id="rId126" Type="http://schemas.openxmlformats.org/officeDocument/2006/relationships/hyperlink" Target="https://journals.sagepub.com/doi/10.1177/20552076251365010" TargetMode="External"/><Relationship Id="rId127" Type="http://schemas.openxmlformats.org/officeDocument/2006/relationships/hyperlink" Target="https://www.tandfonline.com/doi/full/10.1080/14664208.2024.2442203" TargetMode="External"/><Relationship Id="rId128" Type="http://schemas.openxmlformats.org/officeDocument/2006/relationships/hyperlink" Target="https://journals.lww.com/10.1097/PRS.0000000000010151" TargetMode="External"/><Relationship Id="rId129" Type="http://schemas.openxmlformats.org/officeDocument/2006/relationships/hyperlink" Target="https://www.mdpi.com/2624-7402/7/12/426" TargetMode="External"/><Relationship Id="rId130" Type="http://schemas.openxmlformats.org/officeDocument/2006/relationships/hyperlink" Target="https://www.tandfonline.com/doi/full/10.1080/09644016.2022.2164203" TargetMode="External"/><Relationship Id="rId131" Type="http://schemas.openxmlformats.org/officeDocument/2006/relationships/hyperlink" Target="https://www.cambridge.org/core/product/identifier/S1744552325100165/type/journal_article" TargetMode="External"/><Relationship Id="rId132" Type="http://schemas.openxmlformats.org/officeDocument/2006/relationships/hyperlink" Target="https://papers.academic-conferences.org/index.php/iccws/article/view/1984" TargetMode="External"/><Relationship Id="rId133" Type="http://schemas.openxmlformats.org/officeDocument/2006/relationships/hyperlink" Target="https://www.semanticscholar.org/paper/77c0d41e2a597c888cd7725dadb1e40f7599ef72" TargetMode="External"/><Relationship Id="rId134" Type="http://schemas.openxmlformats.org/officeDocument/2006/relationships/hyperlink" Target="http://www.baltijapublishing.lv/index.php/issue/article/view/2507" TargetMode="External"/><Relationship Id="rId135" Type="http://schemas.openxmlformats.org/officeDocument/2006/relationships/hyperlink" Target="https://journals.sagepub.com/doi/10.1177/037957211769244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2026-01-18T11:46:20.018Z</dcterms:created>
  <dcterms:modified xsi:type="dcterms:W3CDTF">2026-01-18T11:46:20.018Z</dcterms:modified>
</cp:coreProperties>
</file>