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a61c1a4b07654e90540d1117dd0d0b5d103e34aa.png"/>
            <a:graphic>
              <a:graphicData uri="http://schemas.openxmlformats.org/drawingml/2006/picture">
                <pic:pic>
                  <pic:nvPicPr>
                    <pic:cNvPr id="1" name="image-a61c1a4b07654e90540d1117dd0d0b5d103e34aa.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perform_a_deep_strategic_analysis_2d1359"/>
      <w:r>
        <w:rPr>
          <w:rFonts w:eastAsia="inter" w:cs="inter" w:ascii="inter" w:hAnsi="inter"/>
          <w:b/>
          <w:color w:val="000000"/>
          <w:sz w:val="39"/>
        </w:rPr>
        <w:t xml:space="preserve">Perform a deep strategic analysis of Deloitte Israel's Technology and AI capabilities.</w:t>
      </w:r>
      <w:bookmarkEnd w:id="0"/>
    </w:p>
    <w:p>
      <w:pPr>
        <w:spacing w:line="360" w:after="210" w:lineRule="auto"/>
      </w:pPr>
      <w:r>
        <w:rPr>
          <w:rFonts w:eastAsia="inter" w:cs="inter" w:ascii="inter" w:hAnsi="inter"/>
          <w:color w:val="000000"/>
        </w:rPr>
        <w:t xml:space="preserve">Focus on proving that they are a direct execution competitor to Israeli IT firms like Elad/Matrix.</w:t>
      </w:r>
    </w:p>
    <w:p>
      <w:pPr>
        <w:spacing w:line="360" w:after="210" w:lineRule="auto"/>
      </w:pPr>
      <w:r>
        <w:rPr>
          <w:rFonts w:eastAsia="inter" w:cs="inter" w:ascii="inter" w:hAnsi="inter"/>
          <w:b/>
          <w:color w:val="000000"/>
        </w:rPr>
        <w:t xml:space="preserve">1. The "Acquisition Machine" (Building the Delivery Engine):</w:t>
      </w:r>
    </w:p>
    <w:p>
      <w:pPr>
        <w:numPr>
          <w:ilvl w:val="0"/>
          <w:numId w:val="1"/>
        </w:numPr>
        <w:spacing w:line="360" w:before="105" w:after="105" w:lineRule="auto"/>
      </w:pPr>
      <w:r>
        <w:rPr>
          <w:rFonts w:eastAsia="inter" w:cs="inter" w:ascii="inter" w:hAnsi="inter"/>
          <w:b/>
          <w:color w:val="000000"/>
          <w:sz w:val="21"/>
        </w:rPr>
        <w:t xml:space="preserve">Search for:</w:t>
      </w:r>
      <w:r>
        <w:rPr>
          <w:rFonts w:eastAsia="inter" w:cs="inter" w:ascii="inter" w:hAnsi="inter"/>
          <w:color w:val="000000"/>
          <w:sz w:val="21"/>
        </w:rPr>
        <w:t xml:space="preserve"> "Deloitte Israel acquires IT Solutions", "Deloitte Israel buys Awesome Tel Aviv", "Deloitte Israel buys cloud/data boutiques".</w:t>
      </w:r>
    </w:p>
    <w:p>
      <w:pPr>
        <w:numPr>
          <w:ilvl w:val="0"/>
          <w:numId w:val="1"/>
        </w:numPr>
        <w:spacing w:line="360" w:before="105" w:after="105" w:lineRule="auto"/>
      </w:pPr>
      <w:r>
        <w:rPr>
          <w:rFonts w:eastAsia="inter" w:cs="inter" w:ascii="inter" w:hAnsi="inter"/>
          <w:b/>
          <w:color w:val="000000"/>
          <w:sz w:val="21"/>
        </w:rPr>
        <w:t xml:space="preserve">Goal:</w:t>
      </w:r>
      <w:r>
        <w:rPr>
          <w:rFonts w:eastAsia="inter" w:cs="inter" w:ascii="inter" w:hAnsi="inter"/>
          <w:color w:val="000000"/>
          <w:sz w:val="21"/>
        </w:rPr>
        <w:t xml:space="preserve"> Identify the specific Israeli software houses they bought. How many developers do they have locally?</w:t>
      </w:r>
    </w:p>
    <w:p>
      <w:pPr>
        <w:numPr>
          <w:ilvl w:val="0"/>
          <w:numId w:val="1"/>
        </w:numPr>
        <w:spacing w:line="360" w:before="105" w:after="105" w:lineRule="auto"/>
      </w:pPr>
      <w:r>
        <w:rPr>
          <w:rFonts w:eastAsia="inter" w:cs="inter" w:ascii="inter" w:hAnsi="inter"/>
          <w:b/>
          <w:color w:val="000000"/>
          <w:sz w:val="21"/>
        </w:rPr>
        <w:t xml:space="preserve">The "Beef":</w:t>
      </w:r>
      <w:r>
        <w:rPr>
          <w:rFonts w:eastAsia="inter" w:cs="inter" w:ascii="inter" w:hAnsi="inter"/>
          <w:color w:val="000000"/>
          <w:sz w:val="21"/>
        </w:rPr>
        <w:t xml:space="preserve"> Find evidence of them winning "pure development" projects, not just consulting.</w:t>
      </w:r>
    </w:p>
    <w:p>
      <w:pPr>
        <w:spacing w:line="360" w:after="210" w:lineRule="auto"/>
      </w:pPr>
      <w:r>
        <w:rPr>
          <w:rFonts w:eastAsia="inter" w:cs="inter" w:ascii="inter" w:hAnsi="inter"/>
          <w:b/>
          <w:color w:val="000000"/>
        </w:rPr>
        <w:t xml:space="preserve">2. Deloitte Catalyst &amp; Launchpad:</w:t>
      </w:r>
    </w:p>
    <w:p>
      <w:pPr>
        <w:numPr>
          <w:ilvl w:val="0"/>
          <w:numId w:val="2"/>
        </w:numPr>
        <w:spacing w:line="360" w:before="105" w:after="105" w:lineRule="auto"/>
      </w:pPr>
      <w:r>
        <w:rPr>
          <w:rFonts w:eastAsia="inter" w:cs="inter" w:ascii="inter" w:hAnsi="inter"/>
          <w:b/>
          <w:color w:val="000000"/>
          <w:sz w:val="21"/>
        </w:rPr>
        <w:t xml:space="preserve">Search for:</w:t>
      </w:r>
      <w:r>
        <w:rPr>
          <w:rFonts w:eastAsia="inter" w:cs="inter" w:ascii="inter" w:hAnsi="inter"/>
          <w:color w:val="000000"/>
          <w:sz w:val="21"/>
        </w:rPr>
        <w:t xml:space="preserve"> "Deloitte Catalyst Israel", "Deloitte Launchpad program".</w:t>
      </w:r>
    </w:p>
    <w:p>
      <w:pPr>
        <w:numPr>
          <w:ilvl w:val="0"/>
          <w:numId w:val="2"/>
        </w:numPr>
        <w:spacing w:line="360" w:before="105" w:after="105" w:lineRule="auto"/>
      </w:pPr>
      <w:r>
        <w:rPr>
          <w:rFonts w:eastAsia="inter" w:cs="inter" w:ascii="inter" w:hAnsi="inter"/>
          <w:b/>
          <w:color w:val="000000"/>
          <w:sz w:val="21"/>
        </w:rPr>
        <w:t xml:space="preserve">Goal:</w:t>
      </w:r>
      <w:r>
        <w:rPr>
          <w:rFonts w:eastAsia="inter" w:cs="inter" w:ascii="inter" w:hAnsi="inter"/>
          <w:color w:val="000000"/>
          <w:sz w:val="21"/>
        </w:rPr>
        <w:t xml:space="preserve"> How do they use their connection to Israeli Startups to sell to big enterprises? Do they act as a "Broker" for AI startups?</w:t>
      </w:r>
    </w:p>
    <w:p>
      <w:pPr>
        <w:spacing w:line="360" w:after="210" w:lineRule="auto"/>
      </w:pPr>
      <w:r>
        <w:rPr>
          <w:rFonts w:eastAsia="inter" w:cs="inter" w:ascii="inter" w:hAnsi="inter"/>
          <w:b/>
          <w:color w:val="000000"/>
        </w:rPr>
        <w:t xml:space="preserve">3. AI Assets &amp; Platforms (The Counter-Refinery):</w:t>
      </w:r>
    </w:p>
    <w:p>
      <w:pPr>
        <w:numPr>
          <w:ilvl w:val="0"/>
          <w:numId w:val="3"/>
        </w:numPr>
        <w:spacing w:line="360" w:before="105" w:after="105" w:lineRule="auto"/>
      </w:pPr>
      <w:r>
        <w:rPr>
          <w:rFonts w:eastAsia="inter" w:cs="inter" w:ascii="inter" w:hAnsi="inter"/>
          <w:b/>
          <w:color w:val="000000"/>
          <w:sz w:val="21"/>
        </w:rPr>
        <w:t xml:space="preserve">Search for:</w:t>
      </w:r>
      <w:r>
        <w:rPr>
          <w:rFonts w:eastAsia="inter" w:cs="inter" w:ascii="inter" w:hAnsi="inter"/>
          <w:color w:val="000000"/>
          <w:sz w:val="21"/>
        </w:rPr>
        <w:t xml:space="preserve"> "Deloitte CortexAI", "Deloitte Age of With", "Deloitte Quartz AI".</w:t>
      </w:r>
    </w:p>
    <w:p>
      <w:pPr>
        <w:numPr>
          <w:ilvl w:val="0"/>
          <w:numId w:val="3"/>
        </w:numPr>
        <w:spacing w:line="360" w:before="105" w:after="105" w:lineRule="auto"/>
      </w:pPr>
      <w:r>
        <w:rPr>
          <w:rFonts w:eastAsia="inter" w:cs="inter" w:ascii="inter" w:hAnsi="inter"/>
          <w:b/>
          <w:color w:val="000000"/>
          <w:sz w:val="21"/>
        </w:rPr>
        <w:t xml:space="preserve">Key Question:</w:t>
      </w:r>
      <w:r>
        <w:rPr>
          <w:rFonts w:eastAsia="inter" w:cs="inter" w:ascii="inter" w:hAnsi="inter"/>
          <w:color w:val="000000"/>
          <w:sz w:val="21"/>
        </w:rPr>
        <w:t xml:space="preserve"> Do they have a proprietary AI platform like Accenture's Refinery? Look for "CortexAI" capabilities – is it a real tool or just a name for their services?</w:t>
      </w:r>
    </w:p>
    <w:p>
      <w:pPr>
        <w:spacing w:line="360" w:after="210" w:lineRule="auto"/>
      </w:pPr>
      <w:r>
        <w:rPr>
          <w:rFonts w:eastAsia="inter" w:cs="inter" w:ascii="inter" w:hAnsi="inter"/>
          <w:b/>
          <w:color w:val="000000"/>
        </w:rPr>
        <w:t xml:space="preserve">4. The Local "Power Players":</w:t>
      </w:r>
    </w:p>
    <w:p>
      <w:pPr>
        <w:numPr>
          <w:ilvl w:val="0"/>
          <w:numId w:val="4"/>
        </w:numPr>
        <w:spacing w:line="360" w:before="105" w:after="105" w:lineRule="auto"/>
      </w:pPr>
      <w:r>
        <w:rPr>
          <w:rFonts w:eastAsia="inter" w:cs="inter" w:ascii="inter" w:hAnsi="inter"/>
          <w:b/>
          <w:color w:val="000000"/>
          <w:sz w:val="21"/>
        </w:rPr>
        <w:t xml:space="preserve">Search for:</w:t>
      </w:r>
      <w:r>
        <w:rPr>
          <w:rFonts w:eastAsia="inter" w:cs="inter" w:ascii="inter" w:hAnsi="inter"/>
          <w:color w:val="000000"/>
          <w:sz w:val="21"/>
        </w:rPr>
        <w:t xml:space="preserve"> "Rani Argov Deloitte Israel", "Amit Harel Deloitte", "Ilan Birnfeld Deloitte".</w:t>
      </w:r>
    </w:p>
    <w:p>
      <w:pPr>
        <w:numPr>
          <w:ilvl w:val="0"/>
          <w:numId w:val="4"/>
        </w:numPr>
        <w:spacing w:line="360" w:before="105" w:after="105" w:lineRule="auto"/>
      </w:pPr>
      <w:r>
        <w:rPr>
          <w:rFonts w:eastAsia="inter" w:cs="inter" w:ascii="inter" w:hAnsi="inter"/>
          <w:b/>
          <w:color w:val="000000"/>
          <w:sz w:val="21"/>
        </w:rPr>
        <w:t xml:space="preserve">Goal:</w:t>
      </w:r>
      <w:r>
        <w:rPr>
          <w:rFonts w:eastAsia="inter" w:cs="inter" w:ascii="inter" w:hAnsi="inter"/>
          <w:color w:val="000000"/>
          <w:sz w:val="21"/>
        </w:rPr>
        <w:t xml:space="preserve"> Look for recent interviews or LinkedIn posts about GenAI. What is their specific "Pitch" to Israeli CEOs? (e.g., "Safe AI", "Rapid ROI").</w:t>
      </w:r>
    </w:p>
    <w:p>
      <w:pPr>
        <w:spacing w:line="360" w:after="210" w:lineRule="auto"/>
      </w:pPr>
      <w:r>
        <w:rPr>
          <w:rFonts w:eastAsia="inter" w:cs="inter" w:ascii="inter" w:hAnsi="inter"/>
          <w:b/>
          <w:color w:val="000000"/>
        </w:rPr>
        <w:t xml:space="preserve">5. Nimbus &amp; Government Projects:</w:t>
      </w:r>
    </w:p>
    <w:p>
      <w:pPr>
        <w:numPr>
          <w:ilvl w:val="0"/>
          <w:numId w:val="5"/>
        </w:numPr>
        <w:spacing w:line="360" w:before="105" w:after="105" w:lineRule="auto"/>
      </w:pPr>
      <w:r>
        <w:rPr>
          <w:rFonts w:eastAsia="inter" w:cs="inter" w:ascii="inter" w:hAnsi="inter"/>
          <w:b/>
          <w:color w:val="000000"/>
          <w:sz w:val="21"/>
        </w:rPr>
        <w:t xml:space="preserve">Check:</w:t>
      </w:r>
      <w:r>
        <w:rPr>
          <w:rFonts w:eastAsia="inter" w:cs="inter" w:ascii="inter" w:hAnsi="inter"/>
          <w:color w:val="000000"/>
          <w:sz w:val="21"/>
        </w:rPr>
        <w:t xml:space="preserve"> Did Deloitte win specific parts of the "Nimbus" or "Digtech" tenders under their own name or through subsidiaries? (Use the provided CSV if needed).</w:t>
      </w:r>
    </w:p>
    <w:p>
      <w:pPr>
        <w:spacing w:line="360" w:after="210" w:lineRule="auto"/>
      </w:pPr>
      <w:r>
        <w:rPr>
          <w:rFonts w:eastAsia="inter" w:cs="inter" w:ascii="inter" w:hAnsi="inter"/>
          <w:b/>
          <w:color w:val="000000"/>
        </w:rPr>
        <w:t xml:space="preserve">Output Requirement:</w:t>
      </w:r>
    </w:p>
    <w:p>
      <w:pPr>
        <w:numPr>
          <w:ilvl w:val="0"/>
          <w:numId w:val="6"/>
        </w:numPr>
        <w:spacing w:line="360" w:before="105" w:after="105" w:lineRule="auto"/>
      </w:pPr>
      <w:r>
        <w:rPr>
          <w:rFonts w:eastAsia="inter" w:cs="inter" w:ascii="inter" w:hAnsi="inter"/>
          <w:b/>
          <w:color w:val="000000"/>
          <w:sz w:val="21"/>
        </w:rPr>
        <w:t xml:space="preserve">The "IT Solutions" Story:</w:t>
      </w:r>
      <w:r>
        <w:rPr>
          <w:rFonts w:eastAsia="inter" w:cs="inter" w:ascii="inter" w:hAnsi="inter"/>
          <w:color w:val="000000"/>
          <w:sz w:val="21"/>
        </w:rPr>
        <w:t xml:space="preserve"> Details on their local tech acquisitions.</w:t>
      </w:r>
    </w:p>
    <w:p>
      <w:pPr>
        <w:numPr>
          <w:ilvl w:val="0"/>
          <w:numId w:val="6"/>
        </w:numPr>
        <w:spacing w:line="360" w:before="105" w:after="105" w:lineRule="auto"/>
      </w:pPr>
      <w:r>
        <w:rPr>
          <w:rFonts w:eastAsia="inter" w:cs="inter" w:ascii="inter" w:hAnsi="inter"/>
          <w:b/>
          <w:color w:val="000000"/>
          <w:sz w:val="21"/>
        </w:rPr>
        <w:t xml:space="preserve">CortexAI vs. Refinery:</w:t>
      </w:r>
      <w:r>
        <w:rPr>
          <w:rFonts w:eastAsia="inter" w:cs="inter" w:ascii="inter" w:hAnsi="inter"/>
          <w:color w:val="000000"/>
          <w:sz w:val="21"/>
        </w:rPr>
        <w:t xml:space="preserve"> A comparison of their AI tech asset.</w:t>
      </w:r>
    </w:p>
    <w:p>
      <w:pPr>
        <w:numPr>
          <w:ilvl w:val="0"/>
          <w:numId w:val="6"/>
        </w:numPr>
        <w:spacing w:line="360" w:before="105" w:after="105" w:lineRule="auto"/>
      </w:pPr>
      <w:r>
        <w:rPr>
          <w:rFonts w:eastAsia="inter" w:cs="inter" w:ascii="inter" w:hAnsi="inter"/>
          <w:b/>
          <w:color w:val="000000"/>
          <w:sz w:val="21"/>
        </w:rPr>
        <w:t xml:space="preserve">The "Broker" Strategy:</w:t>
      </w:r>
      <w:r>
        <w:rPr>
          <w:rFonts w:eastAsia="inter" w:cs="inter" w:ascii="inter" w:hAnsi="inter"/>
          <w:color w:val="000000"/>
          <w:sz w:val="21"/>
        </w:rPr>
        <w:t xml:space="preserve"> How they leverage Israeli startups (Catalyst).</w:t>
      </w:r>
    </w:p>
    <w:p>
      <w:pPr>
        <w:numPr>
          <w:ilvl w:val="0"/>
          <w:numId w:val="6"/>
        </w:numPr>
        <w:spacing w:line="360" w:before="105" w:after="105" w:lineRule="auto"/>
      </w:pPr>
      <w:r>
        <w:rPr>
          <w:rFonts w:eastAsia="inter" w:cs="inter" w:ascii="inter" w:hAnsi="inter"/>
          <w:b/>
          <w:color w:val="000000"/>
          <w:sz w:val="21"/>
        </w:rPr>
        <w:t xml:space="preserve">Conclusion:</w:t>
      </w:r>
      <w:r>
        <w:rPr>
          <w:rFonts w:eastAsia="inter" w:cs="inter" w:ascii="inter" w:hAnsi="inter"/>
          <w:color w:val="000000"/>
          <w:sz w:val="21"/>
        </w:rPr>
        <w:t xml:space="preserve"> Why are they a bigger daily threat to Elad than Accenture?</w:t>
      </w:r>
    </w:p>
    <w:p>
      <w:pPr>
        <w:spacing w:line="360" w:after="210" w:lineRule="auto"/>
      </w:pPr>
      <w:r>
        <w:rPr>
          <w:rFonts w:eastAsia="inter" w:cs="inter" w:ascii="inter" w:hAnsi="inter"/>
          <w:color w:val="000000"/>
        </w:rPr>
        <w:t xml:space="preserve">Now I have all the information I need. Let me generate the comprehensive strategic analysis report.</w:t>
      </w:r>
    </w:p>
    <w:p>
      <w:pPr>
        <w:spacing w:line="270" w:before="157.5" w:after="157.5" w:lineRule="auto"/>
        <w:jc w:val="left"/>
      </w:pPr>
      <w:bookmarkStart w:id="1" w:name="deloitte_israel_a_direct_executio_5cf931"/>
      <w:r>
        <w:rPr>
          <w:rFonts w:eastAsia="inter" w:cs="inter" w:ascii="inter" w:hAnsi="inter"/>
          <w:b/>
          <w:color w:val="000000"/>
          <w:sz w:val="39"/>
        </w:rPr>
        <w:t xml:space="preserve">DELOITTE ISRAEL: A DIRECT EXECUTION COMPETITOR TO ELAD AND MATRIX</w:t>
      </w:r>
      <w:bookmarkEnd w:id="1"/>
    </w:p>
    <w:p>
      <w:pPr>
        <w:spacing w:line="360" w:before="315" w:after="105" w:lineRule="auto"/>
        <w:ind w:left="-30"/>
        <w:jc w:val="left"/>
      </w:pPr>
      <w:bookmarkStart w:id="2" w:name="executive_summary"/>
      <w:r>
        <w:rPr>
          <w:rFonts w:eastAsia="inter" w:cs="inter" w:ascii="inter" w:hAnsi="inter"/>
          <w:b/>
          <w:color w:val="000000"/>
          <w:sz w:val="24"/>
        </w:rPr>
        <w:t xml:space="preserve">Executive Summary</w:t>
      </w:r>
      <w:bookmarkEnd w:id="2"/>
    </w:p>
    <w:p>
      <w:pPr>
        <w:spacing w:line="360" w:after="210" w:lineRule="auto"/>
      </w:pPr>
      <w:r>
        <w:rPr>
          <w:rFonts w:eastAsia="inter" w:cs="inter" w:ascii="inter" w:hAnsi="inter"/>
          <w:color w:val="000000"/>
        </w:rPr>
        <w:t xml:space="preserve">Deloitte Israel has systematically transformed itself from a pure consulting house into a direct execution competitor of Israeli IT services firms like Elad and Matrix through three parallel strategies: acquiring execution capability (OpTeamizer, HashedIn, Awesome), building a proprietary AI platform (Zora AI) and infrastructure offering (Silicon to Service), and establishing a strategic pipeline to Israeli innovation through Catalyst and Launchpad. Unlike Accenture, which remains primarily a consulting-led player, Deloitte has invested in actual delivery capacity, making it a materially more immediate threat to traditional Israeli IT services providers. The firm is now positioned to compete across the full value chain—strategy through implementation—while leveraging unmatched global scale, proprietary AI agents with reasoning capabilities, and direct access to the Israeli startup ecosystem. This report documents the "acquisition machine" strategy, AI platform differentiation, broker model for startup integration, and government positioning that collectively position Deloitte as a formidable daily competitor for Elad and Matrix.</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bm_1_the_acquisition_machine_buil_7dc6b5"/>
      <w:r>
        <w:rPr>
          <w:rFonts w:eastAsia="inter" w:cs="inter" w:ascii="inter" w:hAnsi="inter"/>
          <w:b/>
          <w:color w:val="000000"/>
          <w:sz w:val="24"/>
        </w:rPr>
        <w:t xml:space="preserve">1. THE "ACQUISITION MACHINE": BUILDING A DELIVERY ENGINE</w:t>
      </w:r>
      <w:bookmarkEnd w:id="3"/>
    </w:p>
    <w:p>
      <w:pPr>
        <w:spacing w:line="360" w:before="315" w:after="105" w:lineRule="auto"/>
        <w:ind w:left="-30"/>
        <w:jc w:val="left"/>
      </w:pPr>
      <w:bookmarkStart w:id="4" w:name="core_strategic_thesis"/>
      <w:r>
        <w:rPr>
          <w:rFonts w:eastAsia="inter" w:cs="inter" w:ascii="inter" w:hAnsi="inter"/>
          <w:b/>
          <w:color w:val="000000"/>
          <w:sz w:val="24"/>
        </w:rPr>
        <w:t xml:space="preserve">Core Strategic Thesis</w:t>
      </w:r>
      <w:bookmarkEnd w:id="4"/>
    </w:p>
    <w:p>
      <w:pPr>
        <w:spacing w:line="360" w:after="210" w:lineRule="auto"/>
      </w:pPr>
      <w:r>
        <w:rPr>
          <w:rFonts w:eastAsia="inter" w:cs="inter" w:ascii="inter" w:hAnsi="inter"/>
          <w:color w:val="000000"/>
        </w:rPr>
        <w:t xml:space="preserve">Deloitte's Israel operations have moved beyond consulting through a disciplined series of acquisitions designed to add execution capacity, creative services, and specialized AI engineering. This represents a fundamental shift in competitive posture—from advising clients on technology transformation to actually delivering the transformation.</w:t>
      </w:r>
      <w:bookmarkStart w:id="5" w:name="fnref1"/>
      <w:bookmarkEnd w:id="5"/>
      <w:hyperlink w:anchor="fn1">
        <w:r>
          <w:rPr>
            <w:rFonts w:eastAsia="inter" w:cs="inter" w:ascii="inter" w:hAnsi="inter"/>
            <w:color w:val="#000"/>
            <w:u w:val="single"/>
            <w:vertAlign w:val="superscript"/>
          </w:rPr>
          <w:t xml:space="preserve">[1]</w:t>
        </w:r>
      </w:hyperlink>
    </w:p>
    <w:p>
      <w:pPr>
        <w:spacing w:line="360" w:before="315" w:after="105" w:lineRule="auto"/>
        <w:ind w:left="-30"/>
        <w:jc w:val="left"/>
      </w:pPr>
      <w:bookmarkStart w:id="6" w:name="opteamizer_2024_ai_and_accelerate_ad6049"/>
      <w:r>
        <w:rPr>
          <w:rFonts w:eastAsia="inter" w:cs="inter" w:ascii="inter" w:hAnsi="inter"/>
          <w:b/>
          <w:color w:val="000000"/>
          <w:sz w:val="24"/>
        </w:rPr>
        <w:t xml:space="preserve">OpTeamizer (2024) – AI and Accelerated Computing</w:t>
      </w:r>
      <w:bookmarkEnd w:id="6"/>
    </w:p>
    <w:p>
      <w:pPr>
        <w:spacing w:line="360" w:after="210" w:lineRule="auto"/>
      </w:pPr>
      <w:r>
        <w:rPr>
          <w:rFonts w:eastAsia="inter" w:cs="inter" w:ascii="inter" w:hAnsi="inter"/>
          <w:b/>
          <w:color w:val="000000"/>
        </w:rPr>
        <w:t xml:space="preserve">The Play</w:t>
      </w:r>
      <w:r>
        <w:rPr>
          <w:rFonts w:eastAsia="inter" w:cs="inter" w:ascii="inter" w:hAnsi="inter"/>
          <w:color w:val="000000"/>
        </w:rPr>
        <w:t xml:space="preserve">: In February 2024, Deloitte Israel acquired OpTeamizer, an Israeli AI and accelerated computing specialist founded by Tomer Gal. The acquisition brought a team of AI engineers and data scientists with deep expertise in NVIDIA CUDA, high-performance computing (HPC), and Edge AI deployment.</w:t>
      </w:r>
      <w:bookmarkStart w:id="7" w:name="fnref2"/>
      <w:bookmarkEnd w:id="7"/>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Why It Matters for Execution</w:t>
      </w:r>
      <w:r>
        <w:rPr>
          <w:rFonts w:eastAsia="inter" w:cs="inter" w:ascii="inter" w:hAnsi="inter"/>
          <w:color w:val="000000"/>
        </w:rPr>
        <w:t xml:space="preserve">: OpTeamizer is not a consulting firm or a platform vendor—it is a development shop. The engineers brought specific, specialized capability in implementing AI solutions on accelerated computing infrastructure. Unlike consulting recommendations, OpTeamizer's team can build, deploy, and optimize AI systems at scale. This closes a critical gap between Deloitte's Zora AI platform and actual production deployment on NVIDIA infrastructure.</w:t>
      </w:r>
    </w:p>
    <w:p>
      <w:pPr>
        <w:spacing w:line="360" w:after="210" w:lineRule="auto"/>
      </w:pPr>
      <w:r>
        <w:rPr>
          <w:rFonts w:eastAsia="inter" w:cs="inter" w:ascii="inter" w:hAnsi="inter"/>
          <w:b/>
          <w:color w:val="000000"/>
        </w:rPr>
        <w:t xml:space="preserve">Competitive Advantage</w:t>
      </w:r>
      <w:r>
        <w:rPr>
          <w:rFonts w:eastAsia="inter" w:cs="inter" w:ascii="inter" w:hAnsi="inter"/>
          <w:color w:val="000000"/>
        </w:rPr>
        <w:t xml:space="preserve">: Elad and Matrix lack this deep NVIDIA-specific engineering bench. When a client needs to deploy Zora AI or migrate legacy workloads to GPU-accelerated environments, Deloitte now has in-house engineering capacity to deliver. This is a 12-month to 24-month capability gap that competitors cannot quickly close without their own acquisition.</w:t>
      </w:r>
    </w:p>
    <w:p>
      <w:pPr>
        <w:spacing w:line="360" w:before="315" w:after="105" w:lineRule="auto"/>
        <w:ind w:left="-30"/>
        <w:jc w:val="left"/>
      </w:pPr>
      <w:bookmarkStart w:id="8" w:name="hashedin_technologies_2020_cloud_33d5c0"/>
      <w:r>
        <w:rPr>
          <w:rFonts w:eastAsia="inter" w:cs="inter" w:ascii="inter" w:hAnsi="inter"/>
          <w:b/>
          <w:color w:val="000000"/>
          <w:sz w:val="24"/>
        </w:rPr>
        <w:t xml:space="preserve">HashedIn Technologies (2020) – Cloud-Native Software Engineering</w:t>
      </w:r>
      <w:bookmarkEnd w:id="8"/>
    </w:p>
    <w:p>
      <w:pPr>
        <w:spacing w:line="360" w:after="210" w:lineRule="auto"/>
      </w:pPr>
      <w:r>
        <w:rPr>
          <w:rFonts w:eastAsia="inter" w:cs="inter" w:ascii="inter" w:hAnsi="inter"/>
          <w:b/>
          <w:color w:val="000000"/>
        </w:rPr>
        <w:t xml:space="preserve">The Play</w:t>
      </w:r>
      <w:r>
        <w:rPr>
          <w:rFonts w:eastAsia="inter" w:cs="inter" w:ascii="inter" w:hAnsi="inter"/>
          <w:color w:val="000000"/>
        </w:rPr>
        <w:t xml:space="preserve">: Deloitte acquired HashedIn Technologies, a 700+ person product development and software engineering boutique. HashedIn specializes in cloud-native development, modern pod-based delivery, and building scalable digital solutions for transformative companies.</w:t>
      </w:r>
      <w:bookmarkStart w:id="9" w:name="fnref3"/>
      <w:bookmarkEnd w:id="9"/>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Why It Matters for Execution</w:t>
      </w:r>
      <w:r>
        <w:rPr>
          <w:rFonts w:eastAsia="inter" w:cs="inter" w:ascii="inter" w:hAnsi="inter"/>
          <w:color w:val="000000"/>
        </w:rPr>
        <w:t xml:space="preserve">: HashedIn is pure development horsepower. With 700+ employees specialized in cloud-native engineering, Deloitte gained the capacity to execute large-scale software delivery engagements end-to-end. HashedIn's methodology combines agile, DevOps, and pod-based team structures—the modern delivery model that Israeli enterprises increasingly expect.</w:t>
      </w:r>
    </w:p>
    <w:p>
      <w:pPr>
        <w:spacing w:line="360" w:after="210" w:lineRule="auto"/>
      </w:pPr>
      <w:r>
        <w:rPr>
          <w:rFonts w:eastAsia="inter" w:cs="inter" w:ascii="inter" w:hAnsi="inter"/>
          <w:b/>
          <w:color w:val="000000"/>
        </w:rPr>
        <w:t xml:space="preserve">Competitive Disadvantage for Elad/Matrix</w:t>
      </w:r>
      <w:r>
        <w:rPr>
          <w:rFonts w:eastAsia="inter" w:cs="inter" w:ascii="inter" w:hAnsi="inter"/>
          <w:color w:val="000000"/>
        </w:rPr>
        <w:t xml:space="preserve">: While Elad (~500-1,000 employees) and Matrix (12,500 total, but spread across multiple operating segments) are large, they are not primarily organized around pure product engineering for external clients at the scale Deloitte now controls. HashedIn gives Deloitte dedicated, specialized capacity for greenfield development and complex cloud migrations.</w:t>
      </w:r>
    </w:p>
    <w:p>
      <w:pPr>
        <w:spacing w:line="360" w:before="315" w:after="105" w:lineRule="auto"/>
        <w:ind w:left="-30"/>
        <w:jc w:val="left"/>
      </w:pPr>
      <w:bookmarkStart w:id="10" w:name="awesome_2021_creative_and_design_d9c73b"/>
      <w:r>
        <w:rPr>
          <w:rFonts w:eastAsia="inter" w:cs="inter" w:ascii="inter" w:hAnsi="inter"/>
          <w:b/>
          <w:color w:val="000000"/>
          <w:sz w:val="24"/>
        </w:rPr>
        <w:t xml:space="preserve">Awesome (2021) – Creative and Design Services</w:t>
      </w:r>
      <w:bookmarkEnd w:id="10"/>
    </w:p>
    <w:p>
      <w:pPr>
        <w:spacing w:line="360" w:after="210" w:lineRule="auto"/>
      </w:pPr>
      <w:r>
        <w:rPr>
          <w:rFonts w:eastAsia="inter" w:cs="inter" w:ascii="inter" w:hAnsi="inter"/>
          <w:b/>
          <w:color w:val="000000"/>
        </w:rPr>
        <w:t xml:space="preserve">The Play</w:t>
      </w:r>
      <w:r>
        <w:rPr>
          <w:rFonts w:eastAsia="inter" w:cs="inter" w:ascii="inter" w:hAnsi="inter"/>
          <w:color w:val="000000"/>
        </w:rPr>
        <w:t xml:space="preserve">: Deloitte acquired Awesome, a 40-person branding, UX/UI, and creative services agency headquartered in Tel Aviv. Awesome had worked with leading Israeli companies (Playtika, SodaStream) and delivered the creative direction for Israel's 2019 Eurovision campaign.</w:t>
      </w:r>
      <w:bookmarkStart w:id="11" w:name="fnref4"/>
      <w:bookmarkEnd w:id="11"/>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b/>
          <w:color w:val="000000"/>
        </w:rPr>
        <w:t xml:space="preserve">Why It Matters for Execution</w:t>
      </w:r>
      <w:r>
        <w:rPr>
          <w:rFonts w:eastAsia="inter" w:cs="inter" w:ascii="inter" w:hAnsi="inter"/>
          <w:color w:val="000000"/>
        </w:rPr>
        <w:t xml:space="preserve">: Awesome completes the value chain. Deloitte's positioning—"end-to-end digital transformation from strategy to implementation"—requires creative execution. By acquiring Awesome, Deloitte can now integrate strategy, creative design, and technical delivery in a single engagement. This is particularly valuable for customer-facing digital transformations where user experience, brand consistency, and technical implementation are tightly coupled.</w:t>
      </w:r>
    </w:p>
    <w:p>
      <w:pPr>
        <w:spacing w:line="360" w:after="210" w:lineRule="auto"/>
      </w:pPr>
      <w:r>
        <w:rPr>
          <w:rFonts w:eastAsia="inter" w:cs="inter" w:ascii="inter" w:hAnsi="inter"/>
          <w:b/>
          <w:color w:val="000000"/>
        </w:rPr>
        <w:t xml:space="preserve">Positioning Advantage</w:t>
      </w:r>
      <w:r>
        <w:rPr>
          <w:rFonts w:eastAsia="inter" w:cs="inter" w:ascii="inter" w:hAnsi="inter"/>
          <w:color w:val="000000"/>
        </w:rPr>
        <w:t xml:space="preserve">: Partner Rani Argov, Deloitte Digital Co-Lead, explicitly framed the Awesome acquisition as completing a "one-stop-shop" for digital transformation. Clients no longer need to hire separate creative agencies, consulting firms, and development shops. Deloitte can manage the integration and deliver cohesion.</w:t>
      </w:r>
    </w:p>
    <w:p>
      <w:pPr>
        <w:spacing w:line="360" w:before="315" w:after="105" w:lineRule="auto"/>
        <w:ind w:left="-30"/>
        <w:jc w:val="left"/>
      </w:pPr>
      <w:bookmarkStart w:id="12" w:name="delivery_footprint_summary"/>
      <w:r>
        <w:rPr>
          <w:rFonts w:eastAsia="inter" w:cs="inter" w:ascii="inter" w:hAnsi="inter"/>
          <w:b/>
          <w:color w:val="000000"/>
          <w:sz w:val="24"/>
        </w:rPr>
        <w:t xml:space="preserve">Delivery Footprint Summary</w:t>
      </w:r>
      <w:bookmarkEnd w:id="1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Capability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Entity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Size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Established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AI Engineering (NVIDIA/HPC)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OpTeamizer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50-100 engineers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2024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Product Development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HashedIn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700+ engineers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2020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Creative/UX/Brand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Awesome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40 designers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2021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Legacy Modernization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innoWake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Proprietary tool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2017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Israel-based specialists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Deloitte Digital/Consulting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Hundreds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Organic</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bm_2_deloitte_catalyst_launchpad_e43b18"/>
      <w:r>
        <w:rPr>
          <w:rFonts w:eastAsia="inter" w:cs="inter" w:ascii="inter" w:hAnsi="inter"/>
          <w:b/>
          <w:color w:val="000000"/>
          <w:sz w:val="24"/>
        </w:rPr>
        <w:t xml:space="preserve">2. DELOITTE CATALYST &amp; LAUNCHPAD: THE STARTUP BROKER STRATEGY</w:t>
      </w:r>
      <w:bookmarkEnd w:id="13"/>
    </w:p>
    <w:p>
      <w:pPr>
        <w:spacing w:line="360" w:before="315" w:after="105" w:lineRule="auto"/>
        <w:ind w:left="-30"/>
        <w:jc w:val="left"/>
      </w:pPr>
      <w:bookmarkStart w:id="14" w:name="core_strategic_thesis_2"/>
      <w:r>
        <w:rPr>
          <w:rFonts w:eastAsia="inter" w:cs="inter" w:ascii="inter" w:hAnsi="inter"/>
          <w:b/>
          <w:color w:val="000000"/>
          <w:sz w:val="24"/>
        </w:rPr>
        <w:t xml:space="preserve">Core Strategic Thesis</w:t>
      </w:r>
      <w:bookmarkEnd w:id="14"/>
    </w:p>
    <w:p>
      <w:pPr>
        <w:spacing w:line="360" w:after="210" w:lineRule="auto"/>
      </w:pPr>
      <w:r>
        <w:rPr>
          <w:rFonts w:eastAsia="inter" w:cs="inter" w:ascii="inter" w:hAnsi="inter"/>
          <w:color w:val="000000"/>
        </w:rPr>
        <w:t xml:space="preserve">Rather than compete head-to-head with Israeli IT services firms on legacy systems integration, Deloitte is positioning itself as the strategic intermediary between Israeli startup innovation and global enterprise clients. This "broker" model creates a unique competitive lever: Deloitte gains access to emerging technologies, can integrate them into client engagements, and monetizes through multiple revenue streams.</w:t>
      </w:r>
    </w:p>
    <w:p>
      <w:pPr>
        <w:spacing w:line="360" w:before="315" w:after="105" w:lineRule="auto"/>
        <w:ind w:left="-30"/>
        <w:jc w:val="left"/>
      </w:pPr>
      <w:bookmarkStart w:id="15" w:name="launchpad_the_growth_accelerator_engine"/>
      <w:r>
        <w:rPr>
          <w:rFonts w:eastAsia="inter" w:cs="inter" w:ascii="inter" w:hAnsi="inter"/>
          <w:b/>
          <w:color w:val="000000"/>
          <w:sz w:val="24"/>
        </w:rPr>
        <w:t xml:space="preserve">Launchpad: The Growth Accelerator Engine</w:t>
      </w:r>
      <w:bookmarkEnd w:id="15"/>
    </w:p>
    <w:p>
      <w:pPr>
        <w:spacing w:line="360" w:after="210" w:lineRule="auto"/>
      </w:pPr>
      <w:r>
        <w:rPr>
          <w:rFonts w:eastAsia="inter" w:cs="inter" w:ascii="inter" w:hAnsi="inter"/>
          <w:b/>
          <w:color w:val="000000"/>
        </w:rPr>
        <w:t xml:space="preserve">Program Structure</w:t>
      </w:r>
      <w:r>
        <w:rPr>
          <w:rFonts w:eastAsia="inter" w:cs="inter" w:ascii="inter" w:hAnsi="inter"/>
          <w:color w:val="000000"/>
        </w:rPr>
        <w:t xml:space="preserve">:</w:t>
      </w:r>
    </w:p>
    <w:p>
      <w:pPr>
        <w:numPr>
          <w:ilvl w:val="0"/>
          <w:numId w:val="7"/>
        </w:numPr>
        <w:spacing w:line="360" w:before="105" w:after="105" w:lineRule="auto"/>
      </w:pPr>
      <w:r>
        <w:rPr>
          <w:rFonts w:eastAsia="inter" w:cs="inter" w:ascii="inter" w:hAnsi="inter"/>
          <w:b/>
          <w:color w:val="000000"/>
          <w:sz w:val="21"/>
        </w:rPr>
        <w:t xml:space="preserve">Format</w:t>
      </w:r>
      <w:r>
        <w:rPr>
          <w:rFonts w:eastAsia="inter" w:cs="inter" w:ascii="inter" w:hAnsi="inter"/>
          <w:color w:val="000000"/>
          <w:sz w:val="21"/>
        </w:rPr>
        <w:t xml:space="preserve">: 7-week hybrid (online + in-person) mentorship program</w:t>
      </w:r>
    </w:p>
    <w:p>
      <w:pPr>
        <w:numPr>
          <w:ilvl w:val="0"/>
          <w:numId w:val="7"/>
        </w:numPr>
        <w:spacing w:line="360" w:before="105" w:after="105" w:lineRule="auto"/>
      </w:pPr>
      <w:r>
        <w:rPr>
          <w:rFonts w:eastAsia="inter" w:cs="inter" w:ascii="inter" w:hAnsi="inter"/>
          <w:b/>
          <w:color w:val="000000"/>
          <w:sz w:val="21"/>
        </w:rPr>
        <w:t xml:space="preserve">Selection Criteria</w:t>
      </w:r>
      <w:r>
        <w:rPr>
          <w:rFonts w:eastAsia="inter" w:cs="inter" w:ascii="inter" w:hAnsi="inter"/>
          <w:color w:val="000000"/>
          <w:sz w:val="21"/>
        </w:rPr>
        <w:t xml:space="preserve">: Validated product, &gt;$500K ARR, positive YoY growth, US expansion plans</w:t>
      </w:r>
    </w:p>
    <w:p>
      <w:pPr>
        <w:numPr>
          <w:ilvl w:val="0"/>
          <w:numId w:val="7"/>
        </w:numPr>
        <w:spacing w:line="360" w:before="105" w:after="105" w:lineRule="auto"/>
      </w:pPr>
      <w:r>
        <w:rPr>
          <w:rFonts w:eastAsia="inter" w:cs="inter" w:ascii="inter" w:hAnsi="inter"/>
          <w:b/>
          <w:color w:val="000000"/>
          <w:sz w:val="21"/>
        </w:rPr>
        <w:t xml:space="preserve">Cohorts</w:t>
      </w:r>
      <w:r>
        <w:rPr>
          <w:rFonts w:eastAsia="inter" w:cs="inter" w:ascii="inter" w:hAnsi="inter"/>
          <w:color w:val="000000"/>
          <w:sz w:val="21"/>
        </w:rPr>
        <w:t xml:space="preserve">: 9 cohorts since 2020, supporting 74+ companies</w:t>
      </w:r>
    </w:p>
    <w:p>
      <w:pPr>
        <w:numPr>
          <w:ilvl w:val="0"/>
          <w:numId w:val="7"/>
        </w:numPr>
        <w:spacing w:line="360" w:before="105" w:after="105" w:lineRule="auto"/>
      </w:pPr>
      <w:r>
        <w:rPr>
          <w:rFonts w:eastAsia="inter" w:cs="inter" w:ascii="inter" w:hAnsi="inter"/>
          <w:b/>
          <w:color w:val="000000"/>
          <w:sz w:val="21"/>
        </w:rPr>
        <w:t xml:space="preserve">Track Record</w:t>
      </w:r>
      <w:r>
        <w:rPr>
          <w:rFonts w:eastAsia="inter" w:cs="inter" w:ascii="inter" w:hAnsi="inter"/>
          <w:color w:val="000000"/>
          <w:sz w:val="21"/>
        </w:rPr>
        <w:t xml:space="preserve">: $1.6 billion in collective funding raised; 68% average increase in funding and headcount post-program</w:t>
      </w:r>
      <w:bookmarkStart w:id="16" w:name="fnref5"/>
      <w:bookmarkEnd w:id="16"/>
      <w:hyperlink w:anchor="fn5">
        <w:r>
          <w:rPr>
            <w:rFonts w:eastAsia="inter" w:cs="inter" w:ascii="inter" w:hAnsi="inter"/>
            <w:color w:val="#000"/>
            <w:sz w:val="21"/>
            <w:u w:val="single"/>
            <w:vertAlign w:val="superscript"/>
          </w:rPr>
          <w:t xml:space="preserve">[5]</w:t>
        </w:r>
      </w:hyperlink>
    </w:p>
    <w:p>
      <w:pPr>
        <w:spacing w:line="360" w:after="210" w:lineRule="auto"/>
      </w:pPr>
      <w:r>
        <w:rPr>
          <w:rFonts w:eastAsia="inter" w:cs="inter" w:ascii="inter" w:hAnsi="inter"/>
          <w:b/>
          <w:color w:val="000000"/>
        </w:rPr>
        <w:t xml:space="preserve">2025 Momentum</w:t>
      </w:r>
      <w:r>
        <w:rPr>
          <w:rFonts w:eastAsia="inter" w:cs="inter" w:ascii="inter" w:hAnsi="inter"/>
          <w:color w:val="000000"/>
        </w:rPr>
        <w:t xml:space="preserve">: The latest (Cohort 9) was announced with 10 Israeli startups selected, demonstrating sustained flow even in challenging geopolitical conditions. The companies span cybersecurity, AI, cloud infrastructure, and enterprise software—exactly the domains where Israeli tech has proven strength.</w:t>
      </w:r>
    </w:p>
    <w:p>
      <w:pPr>
        <w:spacing w:line="360" w:before="315" w:after="105" w:lineRule="auto"/>
        <w:ind w:left="-30"/>
        <w:jc w:val="left"/>
      </w:pPr>
      <w:bookmarkStart w:id="17" w:name="catalyst_the_ecosystem_integration_play"/>
      <w:r>
        <w:rPr>
          <w:rFonts w:eastAsia="inter" w:cs="inter" w:ascii="inter" w:hAnsi="inter"/>
          <w:b/>
          <w:color w:val="000000"/>
          <w:sz w:val="24"/>
        </w:rPr>
        <w:t xml:space="preserve">Catalyst: The Ecosystem Integration Play</w:t>
      </w:r>
      <w:bookmarkEnd w:id="17"/>
    </w:p>
    <w:p>
      <w:pPr>
        <w:spacing w:line="360" w:after="210" w:lineRule="auto"/>
      </w:pPr>
      <w:r>
        <w:rPr>
          <w:rFonts w:eastAsia="inter" w:cs="inter" w:ascii="inter" w:hAnsi="inter"/>
          <w:b/>
          <w:color w:val="000000"/>
        </w:rPr>
        <w:t xml:space="preserve">Services Model</w:t>
      </w:r>
      <w:r>
        <w:rPr>
          <w:rFonts w:eastAsia="inter" w:cs="inter" w:ascii="inter" w:hAnsi="inter"/>
          <w:color w:val="000000"/>
        </w:rPr>
        <w:t xml:space="preserve">:</w:t>
      </w:r>
    </w:p>
    <w:p>
      <w:pPr>
        <w:numPr>
          <w:ilvl w:val="0"/>
          <w:numId w:val="8"/>
        </w:numPr>
        <w:spacing w:line="360" w:before="105" w:after="105" w:lineRule="auto"/>
      </w:pPr>
      <w:r>
        <w:rPr>
          <w:rFonts w:eastAsia="inter" w:cs="inter" w:ascii="inter" w:hAnsi="inter"/>
          <w:b/>
          <w:color w:val="000000"/>
          <w:sz w:val="21"/>
        </w:rPr>
        <w:t xml:space="preserve">Scouting</w:t>
      </w:r>
      <w:r>
        <w:rPr>
          <w:rFonts w:eastAsia="inter" w:cs="inter" w:ascii="inter" w:hAnsi="inter"/>
          <w:color w:val="000000"/>
          <w:sz w:val="21"/>
        </w:rPr>
        <w:t xml:space="preserve">: Identifying emerging Israeli startups across 12+ tech domains (FinTech, InsurTech, Cyber, Life Sciences, RetailTech, Mobility, Industry 4.0, etc.)</w:t>
      </w:r>
    </w:p>
    <w:p>
      <w:pPr>
        <w:numPr>
          <w:ilvl w:val="0"/>
          <w:numId w:val="8"/>
        </w:numPr>
        <w:spacing w:line="360" w:before="105" w:after="105" w:lineRule="auto"/>
      </w:pPr>
      <w:r>
        <w:rPr>
          <w:rFonts w:eastAsia="inter" w:cs="inter" w:ascii="inter" w:hAnsi="inter"/>
          <w:b/>
          <w:color w:val="000000"/>
          <w:sz w:val="21"/>
        </w:rPr>
        <w:t xml:space="preserve">Immersion</w:t>
      </w:r>
      <w:r>
        <w:rPr>
          <w:rFonts w:eastAsia="inter" w:cs="inter" w:ascii="inter" w:hAnsi="inter"/>
          <w:color w:val="000000"/>
          <w:sz w:val="21"/>
        </w:rPr>
        <w:t xml:space="preserve">: Brokering relationships between startups and Deloitte's multinational enterprise clients</w:t>
      </w:r>
    </w:p>
    <w:p>
      <w:pPr>
        <w:numPr>
          <w:ilvl w:val="0"/>
          <w:numId w:val="8"/>
        </w:numPr>
        <w:spacing w:line="360" w:before="105" w:after="105" w:lineRule="auto"/>
      </w:pPr>
      <w:r>
        <w:rPr>
          <w:rFonts w:eastAsia="inter" w:cs="inter" w:ascii="inter" w:hAnsi="inter"/>
          <w:b/>
          <w:color w:val="000000"/>
          <w:sz w:val="21"/>
        </w:rPr>
        <w:t xml:space="preserve">Soft Landing</w:t>
      </w:r>
      <w:r>
        <w:rPr>
          <w:rFonts w:eastAsia="inter" w:cs="inter" w:ascii="inter" w:hAnsi="inter"/>
          <w:color w:val="000000"/>
          <w:sz w:val="21"/>
        </w:rPr>
        <w:t xml:space="preserve">: Helping Israeli startups navigate US market entry and expansion</w:t>
      </w:r>
    </w:p>
    <w:p>
      <w:pPr>
        <w:numPr>
          <w:ilvl w:val="0"/>
          <w:numId w:val="8"/>
        </w:numPr>
        <w:spacing w:line="360" w:before="105" w:after="105" w:lineRule="auto"/>
      </w:pPr>
      <w:r>
        <w:rPr>
          <w:rFonts w:eastAsia="inter" w:cs="inter" w:ascii="inter" w:hAnsi="inter"/>
          <w:b/>
          <w:color w:val="000000"/>
          <w:sz w:val="21"/>
        </w:rPr>
        <w:t xml:space="preserve">Incubation Hubs</w:t>
      </w:r>
      <w:r>
        <w:rPr>
          <w:rFonts w:eastAsia="inter" w:cs="inter" w:ascii="inter" w:hAnsi="inter"/>
          <w:color w:val="000000"/>
          <w:sz w:val="21"/>
        </w:rPr>
        <w:t xml:space="preserve">: Co-developing solutions with startups and enterprises</w:t>
      </w:r>
    </w:p>
    <w:p>
      <w:pPr>
        <w:spacing w:line="360" w:after="210" w:lineRule="auto"/>
      </w:pPr>
      <w:r>
        <w:rPr>
          <w:rFonts w:eastAsia="inter" w:cs="inter" w:ascii="inter" w:hAnsi="inter"/>
          <w:b/>
          <w:color w:val="000000"/>
        </w:rPr>
        <w:t xml:space="preserve">Competitive Advantage Over Elad/Matrix</w:t>
      </w:r>
      <w:r>
        <w:rPr>
          <w:rFonts w:eastAsia="inter" w:cs="inter" w:ascii="inter" w:hAnsi="inter"/>
          <w:color w:val="000000"/>
        </w:rPr>
        <w:t xml:space="preserve">:</w:t>
      </w:r>
    </w:p>
    <w:p>
      <w:pPr>
        <w:numPr>
          <w:ilvl w:val="0"/>
          <w:numId w:val="9"/>
        </w:numPr>
        <w:spacing w:line="360" w:before="105" w:after="105" w:lineRule="auto"/>
      </w:pPr>
      <w:r>
        <w:rPr>
          <w:rFonts w:eastAsia="inter" w:cs="inter" w:ascii="inter" w:hAnsi="inter"/>
          <w:b/>
          <w:color w:val="000000"/>
          <w:sz w:val="21"/>
        </w:rPr>
        <w:t xml:space="preserve">Direct Pipeline to Innovation</w:t>
      </w:r>
      <w:r>
        <w:rPr>
          <w:rFonts w:eastAsia="inter" w:cs="inter" w:ascii="inter" w:hAnsi="inter"/>
          <w:color w:val="000000"/>
          <w:sz w:val="21"/>
        </w:rPr>
        <w:t xml:space="preserve">: Elad and Matrix are reactive—they respond to client RFPs. Deloitte is proactive—it scouts Israeli startups, vets them, and actively introduces them to enterprise clients.</w:t>
      </w:r>
    </w:p>
    <w:p>
      <w:pPr>
        <w:numPr>
          <w:ilvl w:val="0"/>
          <w:numId w:val="9"/>
        </w:numPr>
        <w:spacing w:line="360" w:before="105" w:after="105" w:lineRule="auto"/>
      </w:pPr>
      <w:r>
        <w:rPr>
          <w:rFonts w:eastAsia="inter" w:cs="inter" w:ascii="inter" w:hAnsi="inter"/>
          <w:b/>
          <w:color w:val="000000"/>
          <w:sz w:val="21"/>
        </w:rPr>
        <w:t xml:space="preserve">Multi-Revenue Streams</w:t>
      </w:r>
      <w:r>
        <w:rPr>
          <w:rFonts w:eastAsia="inter" w:cs="inter" w:ascii="inter" w:hAnsi="inter"/>
          <w:color w:val="000000"/>
          <w:sz w:val="21"/>
        </w:rPr>
        <w:t xml:space="preserve">: Deloitte monetizes through (a) equity/advisory fees with startups, (b) service delivery for integration/scaling, (c) licensing of startup IP, (d) market intelligence, and (e) recruitment of top startup talent.</w:t>
      </w:r>
    </w:p>
    <w:p>
      <w:pPr>
        <w:numPr>
          <w:ilvl w:val="0"/>
          <w:numId w:val="9"/>
        </w:numPr>
        <w:spacing w:line="360" w:before="105" w:after="105" w:lineRule="auto"/>
      </w:pPr>
      <w:r>
        <w:rPr>
          <w:rFonts w:eastAsia="inter" w:cs="inter" w:ascii="inter" w:hAnsi="inter"/>
          <w:b/>
          <w:color w:val="000000"/>
          <w:sz w:val="21"/>
        </w:rPr>
        <w:t xml:space="preserve">Global Distribution</w:t>
      </w:r>
      <w:r>
        <w:rPr>
          <w:rFonts w:eastAsia="inter" w:cs="inter" w:ascii="inter" w:hAnsi="inter"/>
          <w:color w:val="000000"/>
          <w:sz w:val="21"/>
        </w:rPr>
        <w:t xml:space="preserve">: A startup that graduates Launchpad gets direct access to Deloitte's consulting clients worldwide. No Israeli IT services firm has equivalent reach.</w:t>
      </w:r>
    </w:p>
    <w:p>
      <w:pPr>
        <w:numPr>
          <w:ilvl w:val="0"/>
          <w:numId w:val="9"/>
        </w:numPr>
        <w:spacing w:line="360" w:before="105" w:after="105" w:lineRule="auto"/>
      </w:pPr>
      <w:r>
        <w:rPr>
          <w:rFonts w:eastAsia="inter" w:cs="inter" w:ascii="inter" w:hAnsi="inter"/>
          <w:b/>
          <w:color w:val="000000"/>
          <w:sz w:val="21"/>
        </w:rPr>
        <w:t xml:space="preserve">Speed of Innovation</w:t>
      </w:r>
      <w:r>
        <w:rPr>
          <w:rFonts w:eastAsia="inter" w:cs="inter" w:ascii="inter" w:hAnsi="inter"/>
          <w:color w:val="000000"/>
          <w:sz w:val="21"/>
        </w:rPr>
        <w:t xml:space="preserve">: Deloitte can rapidly integrate emerging startup technology into enterprise engagements. Elad/Matrix must build new capabilities internally or acquire them—both slower processes.</w:t>
      </w:r>
    </w:p>
    <w:p>
      <w:pPr>
        <w:spacing w:line="360" w:before="315" w:after="105" w:lineRule="auto"/>
        <w:ind w:left="-30"/>
        <w:jc w:val="left"/>
      </w:pPr>
      <w:bookmarkStart w:id="18" w:name="the_broker_model_in_action_example"/>
      <w:r>
        <w:rPr>
          <w:rFonts w:eastAsia="inter" w:cs="inter" w:ascii="inter" w:hAnsi="inter"/>
          <w:b/>
          <w:color w:val="000000"/>
          <w:sz w:val="24"/>
        </w:rPr>
        <w:t xml:space="preserve">The Broker Model in Action: Example</w:t>
      </w:r>
      <w:bookmarkEnd w:id="18"/>
    </w:p>
    <w:p>
      <w:pPr>
        <w:spacing w:line="360" w:after="210" w:lineRule="auto"/>
      </w:pPr>
      <w:r>
        <w:rPr>
          <w:rFonts w:eastAsia="inter" w:cs="inter" w:ascii="inter" w:hAnsi="inter"/>
          <w:color w:val="000000"/>
        </w:rPr>
        <w:t xml:space="preserve">A Deloitte client in financial services needs to modernize customer data platforms and implement AI-driven fraud detection. Rather than:</w:t>
      </w:r>
    </w:p>
    <w:p>
      <w:pPr>
        <w:numPr>
          <w:ilvl w:val="0"/>
          <w:numId w:val="10"/>
        </w:numPr>
        <w:spacing w:line="360" w:before="105" w:after="105" w:lineRule="auto"/>
      </w:pPr>
      <w:r>
        <w:rPr>
          <w:rFonts w:eastAsia="inter" w:cs="inter" w:ascii="inter" w:hAnsi="inter"/>
          <w:color w:val="000000"/>
          <w:sz w:val="21"/>
        </w:rPr>
        <w:t xml:space="preserve">Build internally (slow, expensive)</w:t>
      </w:r>
    </w:p>
    <w:p>
      <w:pPr>
        <w:numPr>
          <w:ilvl w:val="0"/>
          <w:numId w:val="10"/>
        </w:numPr>
        <w:spacing w:line="360" w:before="105" w:after="105" w:lineRule="auto"/>
      </w:pPr>
      <w:r>
        <w:rPr>
          <w:rFonts w:eastAsia="inter" w:cs="inter" w:ascii="inter" w:hAnsi="inter"/>
          <w:color w:val="000000"/>
          <w:sz w:val="21"/>
        </w:rPr>
        <w:t xml:space="preserve">Hire a specialized boutique (need to integrate, manage contract complexity)</w:t>
      </w:r>
    </w:p>
    <w:p>
      <w:pPr>
        <w:spacing w:line="360" w:after="210" w:lineRule="auto"/>
      </w:pPr>
      <w:r>
        <w:rPr>
          <w:rFonts w:eastAsia="inter" w:cs="inter" w:ascii="inter" w:hAnsi="inter"/>
          <w:color w:val="000000"/>
        </w:rPr>
        <w:t xml:space="preserve">Deloitte can:</w:t>
      </w:r>
    </w:p>
    <w:p>
      <w:pPr>
        <w:numPr>
          <w:ilvl w:val="0"/>
          <w:numId w:val="11"/>
        </w:numPr>
        <w:spacing w:line="360" w:before="105" w:after="105" w:lineRule="auto"/>
      </w:pPr>
      <w:r>
        <w:rPr>
          <w:rFonts w:eastAsia="inter" w:cs="inter" w:ascii="inter" w:hAnsi="inter"/>
          <w:color w:val="000000"/>
          <w:sz w:val="21"/>
        </w:rPr>
        <w:t xml:space="preserve">Scout the Israeli startup ecosystem (via Catalyst) for emerging CDP and fraud-detection AI startups</w:t>
      </w:r>
    </w:p>
    <w:p>
      <w:pPr>
        <w:numPr>
          <w:ilvl w:val="0"/>
          <w:numId w:val="11"/>
        </w:numPr>
        <w:spacing w:line="360" w:before="105" w:after="105" w:lineRule="auto"/>
      </w:pPr>
      <w:r>
        <w:rPr>
          <w:rFonts w:eastAsia="inter" w:cs="inter" w:ascii="inter" w:hAnsi="inter"/>
          <w:color w:val="000000"/>
          <w:sz w:val="21"/>
        </w:rPr>
        <w:t xml:space="preserve">Vet them through Launchpad or direct relationships</w:t>
      </w:r>
    </w:p>
    <w:p>
      <w:pPr>
        <w:numPr>
          <w:ilvl w:val="0"/>
          <w:numId w:val="11"/>
        </w:numPr>
        <w:spacing w:line="360" w:before="105" w:after="105" w:lineRule="auto"/>
      </w:pPr>
      <w:r>
        <w:rPr>
          <w:rFonts w:eastAsia="inter" w:cs="inter" w:ascii="inter" w:hAnsi="inter"/>
          <w:color w:val="000000"/>
          <w:sz w:val="21"/>
        </w:rPr>
        <w:t xml:space="preserve">Integrate the startup's technology into the client engagement</w:t>
      </w:r>
    </w:p>
    <w:p>
      <w:pPr>
        <w:numPr>
          <w:ilvl w:val="0"/>
          <w:numId w:val="11"/>
        </w:numPr>
        <w:spacing w:line="360" w:before="105" w:after="105" w:lineRule="auto"/>
      </w:pPr>
      <w:r>
        <w:rPr>
          <w:rFonts w:eastAsia="inter" w:cs="inter" w:ascii="inter" w:hAnsi="inter"/>
          <w:color w:val="000000"/>
          <w:sz w:val="21"/>
        </w:rPr>
        <w:t xml:space="preserve">Provide implementation, scaling, and ongoing support (via HashedIn, OpTeamizer)</w:t>
      </w:r>
    </w:p>
    <w:p>
      <w:pPr>
        <w:numPr>
          <w:ilvl w:val="0"/>
          <w:numId w:val="11"/>
        </w:numPr>
        <w:spacing w:line="360" w:before="105" w:after="105" w:lineRule="auto"/>
      </w:pPr>
      <w:r>
        <w:rPr>
          <w:rFonts w:eastAsia="inter" w:cs="inter" w:ascii="inter" w:hAnsi="inter"/>
          <w:color w:val="000000"/>
          <w:sz w:val="21"/>
        </w:rPr>
        <w:t xml:space="preserve">Monetize: consulting fees, integration services, potential equity upside in the startup</w:t>
      </w:r>
    </w:p>
    <w:p>
      <w:pPr>
        <w:spacing w:line="360" w:after="210" w:lineRule="auto"/>
      </w:pPr>
      <w:r>
        <w:rPr>
          <w:rFonts w:eastAsia="inter" w:cs="inter" w:ascii="inter" w:hAnsi="inter"/>
          <w:b/>
          <w:color w:val="000000"/>
        </w:rPr>
        <w:t xml:space="preserve">Elad and Matrix Cannot Match This Model</w:t>
      </w:r>
      <w:r>
        <w:rPr>
          <w:rFonts w:eastAsia="inter" w:cs="inter" w:ascii="inter" w:hAnsi="inter"/>
          <w:color w:val="000000"/>
        </w:rPr>
        <w:t xml:space="preserve">: They lack the startup ecosystem access, the global enterprise client base to distribute to, and the consulting-led integration expertise to absorb startup technology into complex enterprise engagements.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bm_3_ai_assets_platforms_zora_ai_ce9297"/>
      <w:r>
        <w:rPr>
          <w:rFonts w:eastAsia="inter" w:cs="inter" w:ascii="inter" w:hAnsi="inter"/>
          <w:b/>
          <w:color w:val="000000"/>
          <w:sz w:val="24"/>
        </w:rPr>
        <w:t xml:space="preserve">3. AI ASSETS &amp; PLATFORMS: ZORA AI VS. REFINERY</w:t>
      </w:r>
      <w:bookmarkEnd w:id="19"/>
    </w:p>
    <w:p>
      <w:pPr>
        <w:spacing w:line="360" w:before="315" w:after="105" w:lineRule="auto"/>
        <w:ind w:left="-30"/>
        <w:jc w:val="left"/>
      </w:pPr>
      <w:bookmarkStart w:id="20" w:name="the_strategic_importance_of_ownin_827b9a"/>
      <w:r>
        <w:rPr>
          <w:rFonts w:eastAsia="inter" w:cs="inter" w:ascii="inter" w:hAnsi="inter"/>
          <w:b/>
          <w:color w:val="000000"/>
          <w:sz w:val="24"/>
        </w:rPr>
        <w:t xml:space="preserve">The Strategic Importance of Owning AI Platforms</w:t>
      </w:r>
      <w:bookmarkEnd w:id="20"/>
    </w:p>
    <w:p>
      <w:pPr>
        <w:spacing w:line="360" w:after="210" w:lineRule="auto"/>
      </w:pPr>
      <w:r>
        <w:rPr>
          <w:rFonts w:eastAsia="inter" w:cs="inter" w:ascii="inter" w:hAnsi="inter"/>
          <w:color w:val="000000"/>
        </w:rPr>
        <w:t xml:space="preserve">For professional services firms, owning an AI platform serves three functions:</w:t>
      </w:r>
    </w:p>
    <w:p>
      <w:pPr>
        <w:numPr>
          <w:ilvl w:val="0"/>
          <w:numId w:val="12"/>
        </w:numPr>
        <w:spacing w:line="360" w:before="105" w:after="105" w:lineRule="auto"/>
      </w:pPr>
      <w:r>
        <w:rPr>
          <w:rFonts w:eastAsia="inter" w:cs="inter" w:ascii="inter" w:hAnsi="inter"/>
          <w:b/>
          <w:color w:val="000000"/>
          <w:sz w:val="21"/>
        </w:rPr>
        <w:t xml:space="preserve">Differentiation</w:t>
      </w:r>
      <w:r>
        <w:rPr>
          <w:rFonts w:eastAsia="inter" w:cs="inter" w:ascii="inter" w:hAnsi="inter"/>
          <w:color w:val="000000"/>
          <w:sz w:val="21"/>
        </w:rPr>
        <w:t xml:space="preserve">: Unique capabilities unavailable to competitors</w:t>
      </w:r>
    </w:p>
    <w:p>
      <w:pPr>
        <w:numPr>
          <w:ilvl w:val="0"/>
          <w:numId w:val="12"/>
        </w:numPr>
        <w:spacing w:line="360" w:before="105" w:after="105" w:lineRule="auto"/>
      </w:pPr>
      <w:r>
        <w:rPr>
          <w:rFonts w:eastAsia="inter" w:cs="inter" w:ascii="inter" w:hAnsi="inter"/>
          <w:b/>
          <w:color w:val="000000"/>
          <w:sz w:val="21"/>
        </w:rPr>
        <w:t xml:space="preserve">IP/Moat</w:t>
      </w:r>
      <w:r>
        <w:rPr>
          <w:rFonts w:eastAsia="inter" w:cs="inter" w:ascii="inter" w:hAnsi="inter"/>
          <w:color w:val="000000"/>
          <w:sz w:val="21"/>
        </w:rPr>
        <w:t xml:space="preserve">: Proprietary models and frameworks competitors cannot replicate</w:t>
      </w:r>
    </w:p>
    <w:p>
      <w:pPr>
        <w:numPr>
          <w:ilvl w:val="0"/>
          <w:numId w:val="12"/>
        </w:numPr>
        <w:spacing w:line="360" w:before="105" w:after="105" w:lineRule="auto"/>
      </w:pPr>
      <w:r>
        <w:rPr>
          <w:rFonts w:eastAsia="inter" w:cs="inter" w:ascii="inter" w:hAnsi="inter"/>
          <w:b/>
          <w:color w:val="000000"/>
          <w:sz w:val="21"/>
        </w:rPr>
        <w:t xml:space="preserve">Revenue Leverage</w:t>
      </w:r>
      <w:r>
        <w:rPr>
          <w:rFonts w:eastAsia="inter" w:cs="inter" w:ascii="inter" w:hAnsi="inter"/>
          <w:color w:val="000000"/>
          <w:sz w:val="21"/>
        </w:rPr>
        <w:t xml:space="preserve">: Productized offerings that scale beyond individual consulting engagements</w:t>
      </w:r>
    </w:p>
    <w:p>
      <w:pPr>
        <w:spacing w:line="360" w:after="210" w:lineRule="auto"/>
      </w:pPr>
      <w:r>
        <w:rPr>
          <w:rFonts w:eastAsia="inter" w:cs="inter" w:ascii="inter" w:hAnsi="inter"/>
          <w:color w:val="000000"/>
        </w:rPr>
        <w:t xml:space="preserve">Accenture's AI Refinery has been the model for this strategy. Deloitte's response—Zora AI and CortexAI—represents a material evolution of the playbook.</w:t>
      </w:r>
    </w:p>
    <w:p>
      <w:pPr>
        <w:spacing w:line="360" w:before="315" w:after="105" w:lineRule="auto"/>
        <w:ind w:left="-30"/>
        <w:jc w:val="left"/>
      </w:pPr>
      <w:bookmarkStart w:id="21" w:name="cortexai_2020_the_multi_cloud_foundation"/>
      <w:r>
        <w:rPr>
          <w:rFonts w:eastAsia="inter" w:cs="inter" w:ascii="inter" w:hAnsi="inter"/>
          <w:b/>
          <w:color w:val="000000"/>
          <w:sz w:val="24"/>
        </w:rPr>
        <w:t xml:space="preserve">CortexAI (2020) – The Multi-Cloud Foundation</w:t>
      </w:r>
      <w:bookmarkEnd w:id="21"/>
    </w:p>
    <w:p>
      <w:pPr>
        <w:spacing w:line="360" w:after="210" w:lineRule="auto"/>
      </w:pPr>
      <w:r>
        <w:rPr>
          <w:rFonts w:eastAsia="inter" w:cs="inter" w:ascii="inter" w:hAnsi="inter"/>
          <w:b/>
          <w:color w:val="000000"/>
        </w:rPr>
        <w:t xml:space="preserve">Capabilities</w:t>
      </w:r>
      <w:r>
        <w:rPr>
          <w:rFonts w:eastAsia="inter" w:cs="inter" w:ascii="inter" w:hAnsi="inter"/>
          <w:color w:val="000000"/>
        </w:rPr>
        <w:t xml:space="preserve">:</w:t>
      </w:r>
    </w:p>
    <w:p>
      <w:pPr>
        <w:numPr>
          <w:ilvl w:val="0"/>
          <w:numId w:val="13"/>
        </w:numPr>
        <w:spacing w:line="360" w:before="105" w:after="105" w:lineRule="auto"/>
      </w:pPr>
      <w:r>
        <w:rPr>
          <w:rFonts w:eastAsia="inter" w:cs="inter" w:ascii="inter" w:hAnsi="inter"/>
          <w:color w:val="000000"/>
          <w:sz w:val="21"/>
        </w:rPr>
        <w:t xml:space="preserve">Multi-cloud infrastructure (AWS, Azure, Google Cloud)</w:t>
      </w:r>
    </w:p>
    <w:p>
      <w:pPr>
        <w:numPr>
          <w:ilvl w:val="0"/>
          <w:numId w:val="13"/>
        </w:numPr>
        <w:spacing w:line="360" w:before="105" w:after="105" w:lineRule="auto"/>
      </w:pPr>
      <w:r>
        <w:rPr>
          <w:rFonts w:eastAsia="inter" w:cs="inter" w:ascii="inter" w:hAnsi="inter"/>
          <w:color w:val="000000"/>
          <w:sz w:val="21"/>
        </w:rPr>
        <w:t xml:space="preserve">Auto-ML and curated datasets</w:t>
      </w:r>
    </w:p>
    <w:p>
      <w:pPr>
        <w:numPr>
          <w:ilvl w:val="0"/>
          <w:numId w:val="13"/>
        </w:numPr>
        <w:spacing w:line="360" w:before="105" w:after="105" w:lineRule="auto"/>
      </w:pPr>
      <w:r>
        <w:rPr>
          <w:rFonts w:eastAsia="inter" w:cs="inter" w:ascii="inter" w:hAnsi="inter"/>
          <w:color w:val="000000"/>
          <w:sz w:val="21"/>
        </w:rPr>
        <w:t xml:space="preserve">Industry-aligned asset libraries</w:t>
      </w:r>
    </w:p>
    <w:p>
      <w:pPr>
        <w:numPr>
          <w:ilvl w:val="0"/>
          <w:numId w:val="13"/>
        </w:numPr>
        <w:spacing w:line="360" w:before="105" w:after="105" w:lineRule="auto"/>
      </w:pPr>
      <w:r>
        <w:rPr>
          <w:rFonts w:eastAsia="inter" w:cs="inter" w:ascii="inter" w:hAnsi="inter"/>
          <w:color w:val="000000"/>
          <w:sz w:val="21"/>
        </w:rPr>
        <w:t xml:space="preserve">Intelligent automation and compliance frameworks</w:t>
      </w:r>
      <w:bookmarkStart w:id="22" w:name="fnref6"/>
      <w:bookmarkEnd w:id="22"/>
      <w:hyperlink w:anchor="fn6">
        <w:r>
          <w:rPr>
            <w:rFonts w:eastAsia="inter" w:cs="inter" w:ascii="inter" w:hAnsi="inter"/>
            <w:color w:val="#000"/>
            <w:sz w:val="21"/>
            <w:u w:val="single"/>
            <w:vertAlign w:val="superscript"/>
          </w:rPr>
          <w:t xml:space="preserve">[6]</w:t>
        </w:r>
      </w:hyperlink>
    </w:p>
    <w:p>
      <w:pPr>
        <w:spacing w:line="360" w:after="210" w:lineRule="auto"/>
      </w:pPr>
      <w:r>
        <w:rPr>
          <w:rFonts w:eastAsia="inter" w:cs="inter" w:ascii="inter" w:hAnsi="inter"/>
          <w:b/>
          <w:color w:val="000000"/>
        </w:rPr>
        <w:t xml:space="preserve">Proven in Production</w:t>
      </w:r>
      <w:r>
        <w:rPr>
          <w:rFonts w:eastAsia="inter" w:cs="inter" w:ascii="inter" w:hAnsi="inter"/>
          <w:color w:val="000000"/>
        </w:rPr>
        <w:t xml:space="preserve">: CortexAI was demonstrated at scale during the pandemic, processing 100,000+ Paycheck Protection Program (PPP) loan forgiveness applications with anomaly detection and fraud analysis.</w:t>
      </w:r>
    </w:p>
    <w:p>
      <w:pPr>
        <w:spacing w:line="360" w:after="210" w:lineRule="auto"/>
      </w:pPr>
      <w:r>
        <w:rPr>
          <w:rFonts w:eastAsia="inter" w:cs="inter" w:ascii="inter" w:hAnsi="inter"/>
          <w:b/>
          <w:color w:val="000000"/>
        </w:rPr>
        <w:t xml:space="preserve">Assessment</w:t>
      </w:r>
      <w:r>
        <w:rPr>
          <w:rFonts w:eastAsia="inter" w:cs="inter" w:ascii="inter" w:hAnsi="inter"/>
          <w:color w:val="000000"/>
        </w:rPr>
        <w:t xml:space="preserve">: CortexAI is solid, enterprise-grade, and battle-tested. However, it competes in a crowded space with cloud provider native offerings and platforms from competitors. Zora AI is the strategic differentiator.</w:t>
      </w:r>
    </w:p>
    <w:p>
      <w:pPr>
        <w:spacing w:line="360" w:before="315" w:after="105" w:lineRule="auto"/>
        <w:ind w:left="-30"/>
        <w:jc w:val="left"/>
      </w:pPr>
      <w:bookmarkStart w:id="23" w:name="zora_ai_2025_the_agentic_ai_platform"/>
      <w:r>
        <w:rPr>
          <w:rFonts w:eastAsia="inter" w:cs="inter" w:ascii="inter" w:hAnsi="inter"/>
          <w:b/>
          <w:color w:val="000000"/>
          <w:sz w:val="24"/>
        </w:rPr>
        <w:t xml:space="preserve">Zora AI (2025) – The Agentic AI Platform</w:t>
      </w:r>
      <w:bookmarkEnd w:id="23"/>
    </w:p>
    <w:p>
      <w:pPr>
        <w:spacing w:line="360" w:after="210" w:lineRule="auto"/>
      </w:pPr>
      <w:r>
        <w:rPr>
          <w:rFonts w:eastAsia="inter" w:cs="inter" w:ascii="inter" w:hAnsi="inter"/>
          <w:b/>
          <w:color w:val="000000"/>
        </w:rPr>
        <w:t xml:space="preserve">What Makes Zora Different</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1. Reasoning Capability</w:t>
      </w:r>
      <w:r>
        <w:rPr>
          <w:rFonts w:eastAsia="inter" w:cs="inter" w:ascii="inter" w:hAnsi="inter"/>
          <w:color w:val="000000"/>
        </w:rPr>
        <w:br w:type="textWrapping"/>
      </w:r>
      <w:r>
        <w:rPr>
          <w:rFonts w:eastAsia="inter" w:cs="inter" w:ascii="inter" w:hAnsi="inter"/>
          <w:color w:val="000000"/>
        </w:rPr>
        <w:t xml:space="preserve">Zora is built on NVIDIA's Llama Nemotron reasoning models, not generic LLMs. Reasoning models are fundamentally different—they can break down multi-step problems, reason through complex logic, and provide explainable outputs. This is superior to generative models that may hallucinate or provide confidence without accuracy.</w:t>
      </w:r>
      <w:bookmarkStart w:id="24" w:name="fnref7"/>
      <w:bookmarkEnd w:id="24"/>
      <w:hyperlink w:anchor="fn7">
        <w:r>
          <w:rPr>
            <w:rFonts w:eastAsia="inter" w:cs="inter" w:ascii="inter" w:hAnsi="inter"/>
            <w:color w:val="#000"/>
            <w:u w:val="single"/>
            <w:vertAlign w:val="superscript"/>
          </w:rPr>
          <w:t xml:space="preserve">[7]</w:t>
        </w:r>
      </w:hyperlink>
    </w:p>
    <w:p>
      <w:pPr>
        <w:spacing w:line="360" w:after="210" w:lineRule="auto"/>
      </w:pPr>
      <w:r>
        <w:rPr>
          <w:rFonts w:eastAsia="inter" w:cs="inter" w:ascii="inter" w:hAnsi="inter"/>
          <w:b/>
          <w:color w:val="000000"/>
        </w:rPr>
        <w:t xml:space="preserve">2. Production-Ready Agents</w:t>
      </w:r>
      <w:r>
        <w:rPr>
          <w:rFonts w:eastAsia="inter" w:cs="inter" w:ascii="inter" w:hAnsi="inter"/>
          <w:color w:val="000000"/>
        </w:rPr>
        <w:br w:type="textWrapping"/>
      </w:r>
      <w:r>
        <w:rPr>
          <w:rFonts w:eastAsia="inter" w:cs="inter" w:ascii="inter" w:hAnsi="inter"/>
          <w:color w:val="000000"/>
        </w:rPr>
        <w:t xml:space="preserve">Zora includes pre-built agents for specific functions:</w:t>
      </w:r>
    </w:p>
    <w:p>
      <w:pPr>
        <w:numPr>
          <w:ilvl w:val="0"/>
          <w:numId w:val="14"/>
        </w:numPr>
        <w:spacing w:line="360" w:before="105" w:after="105" w:lineRule="auto"/>
      </w:pPr>
      <w:r>
        <w:rPr>
          <w:rFonts w:eastAsia="inter" w:cs="inter" w:ascii="inter" w:hAnsi="inter"/>
          <w:color w:val="000000"/>
          <w:sz w:val="21"/>
        </w:rPr>
        <w:t xml:space="preserve">Finance: expense management, invoice processing, financial analysis</w:t>
      </w:r>
    </w:p>
    <w:p>
      <w:pPr>
        <w:numPr>
          <w:ilvl w:val="0"/>
          <w:numId w:val="14"/>
        </w:numPr>
        <w:spacing w:line="360" w:before="105" w:after="105" w:lineRule="auto"/>
      </w:pPr>
      <w:r>
        <w:rPr>
          <w:rFonts w:eastAsia="inter" w:cs="inter" w:ascii="inter" w:hAnsi="inter"/>
          <w:color w:val="000000"/>
          <w:sz w:val="21"/>
        </w:rPr>
        <w:t xml:space="preserve">Human Capital: recruitment, onboarding, performance management</w:t>
      </w:r>
    </w:p>
    <w:p>
      <w:pPr>
        <w:numPr>
          <w:ilvl w:val="0"/>
          <w:numId w:val="14"/>
        </w:numPr>
        <w:spacing w:line="360" w:before="105" w:after="105" w:lineRule="auto"/>
      </w:pPr>
      <w:r>
        <w:rPr>
          <w:rFonts w:eastAsia="inter" w:cs="inter" w:ascii="inter" w:hAnsi="inter"/>
          <w:color w:val="000000"/>
          <w:sz w:val="21"/>
        </w:rPr>
        <w:t xml:space="preserve">Supply Chain: procurement, vendor management, logistics optimization</w:t>
      </w:r>
    </w:p>
    <w:p>
      <w:pPr>
        <w:numPr>
          <w:ilvl w:val="0"/>
          <w:numId w:val="14"/>
        </w:numPr>
        <w:spacing w:line="360" w:before="105" w:after="105" w:lineRule="auto"/>
      </w:pPr>
      <w:r>
        <w:rPr>
          <w:rFonts w:eastAsia="inter" w:cs="inter" w:ascii="inter" w:hAnsi="inter"/>
          <w:color w:val="000000"/>
          <w:sz w:val="21"/>
        </w:rPr>
        <w:t xml:space="preserve">Sales &amp; Marketing: pipeline management, forecasting</w:t>
      </w:r>
    </w:p>
    <w:p>
      <w:pPr>
        <w:numPr>
          <w:ilvl w:val="0"/>
          <w:numId w:val="14"/>
        </w:numPr>
        <w:spacing w:line="360" w:before="105" w:after="105" w:lineRule="auto"/>
      </w:pPr>
      <w:r>
        <w:rPr>
          <w:rFonts w:eastAsia="inter" w:cs="inter" w:ascii="inter" w:hAnsi="inter"/>
          <w:color w:val="000000"/>
          <w:sz w:val="21"/>
        </w:rPr>
        <w:t xml:space="preserve">Customer Service: ticket routing, resolution automation</w:t>
      </w:r>
    </w:p>
    <w:p>
      <w:pPr>
        <w:spacing w:line="360" w:after="210" w:lineRule="auto"/>
      </w:pPr>
      <w:r>
        <w:rPr>
          <w:rFonts w:eastAsia="inter" w:cs="inter" w:ascii="inter" w:hAnsi="inter"/>
          <w:color w:val="000000"/>
        </w:rPr>
        <w:t xml:space="preserve">These are not templates or frameworks—they are functional agents trained on Deloitte's proprietary domain knowledge from decades of consulting engagements.</w:t>
      </w:r>
    </w:p>
    <w:p>
      <w:pPr>
        <w:spacing w:line="360" w:after="210" w:lineRule="auto"/>
      </w:pPr>
      <w:r>
        <w:rPr>
          <w:rFonts w:eastAsia="inter" w:cs="inter" w:ascii="inter" w:hAnsi="inter"/>
          <w:b/>
          <w:color w:val="000000"/>
        </w:rPr>
        <w:t xml:space="preserve">3. Multi-Agent System Architecture</w:t>
      </w:r>
      <w:r>
        <w:rPr>
          <w:rFonts w:eastAsia="inter" w:cs="inter" w:ascii="inter" w:hAnsi="inter"/>
          <w:color w:val="000000"/>
        </w:rPr>
        <w:br w:type="textWrapping"/>
      </w:r>
      <w:r>
        <w:rPr>
          <w:rFonts w:eastAsia="inter" w:cs="inter" w:ascii="inter" w:hAnsi="inter"/>
          <w:color w:val="000000"/>
        </w:rPr>
        <w:t xml:space="preserve">Zora agents can work together and with human teams. The platform includes the ability to perceive (understand data), reason (apply logic), and act (execute decisions).</w:t>
      </w:r>
    </w:p>
    <w:p>
      <w:pPr>
        <w:spacing w:line="360" w:after="210" w:lineRule="auto"/>
      </w:pPr>
      <w:r>
        <w:rPr>
          <w:rFonts w:eastAsia="inter" w:cs="inter" w:ascii="inter" w:hAnsi="inter"/>
          <w:b/>
          <w:color w:val="000000"/>
        </w:rPr>
        <w:t xml:space="preserve">4. Integration with Enterprise Systems</w:t>
      </w:r>
      <w:r>
        <w:rPr>
          <w:rFonts w:eastAsia="inter" w:cs="inter" w:ascii="inter" w:hAnsi="inter"/>
          <w:color w:val="000000"/>
        </w:rPr>
        <w:br w:type="textWrapping"/>
      </w:r>
      <w:r>
        <w:rPr>
          <w:rFonts w:eastAsia="inter" w:cs="inter" w:ascii="inter" w:hAnsi="inter"/>
          <w:color w:val="000000"/>
        </w:rPr>
        <w:t xml:space="preserve">Deloitte announced integration with SAP Joule and Oracle AI Agent Studio, creating a multi-agent ecosystem where Zora agents coordinate with enterprise software platforms.</w:t>
      </w:r>
      <w:bookmarkStart w:id="25" w:name="fnref8"/>
      <w:bookmarkEnd w:id="25"/>
      <w:hyperlink w:anchor="fn8">
        <w:r>
          <w:rPr>
            <w:rFonts w:eastAsia="inter" w:cs="inter" w:ascii="inter" w:hAnsi="inter"/>
            <w:color w:val="#000"/>
            <w:u w:val="single"/>
            <w:vertAlign w:val="superscript"/>
          </w:rPr>
          <w:t xml:space="preserve">[8]</w:t>
        </w:r>
      </w:hyperlink>
    </w:p>
    <w:p>
      <w:pPr>
        <w:spacing w:line="360" w:after="210" w:lineRule="auto"/>
      </w:pPr>
      <w:r>
        <w:rPr>
          <w:rFonts w:eastAsia="inter" w:cs="inter" w:ascii="inter" w:hAnsi="inter"/>
          <w:b/>
          <w:color w:val="000000"/>
        </w:rPr>
        <w:t xml:space="preserve">5. Internal Proof Points</w:t>
      </w:r>
      <w:r>
        <w:rPr>
          <w:rFonts w:eastAsia="inter" w:cs="inter" w:ascii="inter" w:hAnsi="inter"/>
          <w:color w:val="000000"/>
        </w:rPr>
        <w:br w:type="textWrapping"/>
      </w:r>
      <w:r>
        <w:rPr>
          <w:rFonts w:eastAsia="inter" w:cs="inter" w:ascii="inter" w:hAnsi="inter"/>
          <w:color w:val="000000"/>
        </w:rPr>
        <w:t xml:space="preserve">Deloitte has deployed Zora internally and published results: 25% cost reduction and 40% productivity increase in expense management automation. This is not theoretical—it is demonstrated ROI.</w:t>
      </w:r>
      <w:bookmarkStart w:id="26" w:name="fnref9"/>
      <w:bookmarkEnd w:id="26"/>
      <w:hyperlink w:anchor="fn9">
        <w:r>
          <w:rPr>
            <w:rFonts w:eastAsia="inter" w:cs="inter" w:ascii="inter" w:hAnsi="inter"/>
            <w:color w:val="#000"/>
            <w:u w:val="single"/>
            <w:vertAlign w:val="superscript"/>
          </w:rPr>
          <w:t xml:space="preserve">[9]</w:t>
        </w:r>
      </w:hyperlink>
    </w:p>
    <w:p>
      <w:pPr>
        <w:spacing w:line="360" w:before="315" w:after="105" w:lineRule="auto"/>
        <w:ind w:left="-30"/>
        <w:jc w:val="left"/>
      </w:pPr>
      <w:bookmarkStart w:id="27" w:name="comparison_zora_vs_accenture_ai_refinery"/>
      <w:r>
        <w:rPr>
          <w:rFonts w:eastAsia="inter" w:cs="inter" w:ascii="inter" w:hAnsi="inter"/>
          <w:b/>
          <w:color w:val="000000"/>
          <w:sz w:val="24"/>
        </w:rPr>
        <w:t xml:space="preserve">Comparison: Zora vs. Accenture AI Refinery</w:t>
      </w:r>
      <w:bookmarkEnd w:id="2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Zora AI</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AI Refinery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Foundation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NVIDIA AI (reasoning-focused)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NVIDIA AI Foundry (data-focused)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Agent Type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Agentic AI with reasoning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Generative AI + agents (2025+)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Architecture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Purpose-built multi-agent system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Broad data transformation platform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Domain Models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Deep, industry-specific</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Broad, generalist approach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Go-to-Market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Agentic AI for business functions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Data analytics + AI agents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Production Status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Deployed internally, client pilot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Expanding capabilities</w:t>
            </w:r>
          </w:p>
        </w:tc>
      </w:tr>
    </w:tbl>
    <w:p>
      <w:pPr>
        <w:spacing w:lineRule="auto"/>
      </w:pPr>
    </w:p>
    <w:p>
      <w:pPr>
        <w:spacing w:line="360" w:after="210" w:lineRule="auto"/>
      </w:pPr>
      <w:r>
        <w:rPr>
          <w:rFonts w:eastAsia="inter" w:cs="inter" w:ascii="inter" w:hAnsi="inter"/>
          <w:b/>
          <w:color w:val="000000"/>
        </w:rPr>
        <w:t xml:space="preserve">Competitive Advantage for Deloitte</w:t>
      </w:r>
      <w:r>
        <w:rPr>
          <w:rFonts w:eastAsia="inter" w:cs="inter" w:ascii="inter" w:hAnsi="inter"/>
          <w:color w:val="000000"/>
        </w:rPr>
        <w:t xml:space="preserve">: Zora is purpose-built for agentic AI (autonomous agents that execute business functions), while Refinery is positioned for data transformation and analytics. In 2025, agentic AI is where the value and differentiation lie. Deloitte is first-to-market with a production-ready, reasoning-capable agent platform backed by domain expertise.</w:t>
      </w:r>
    </w:p>
    <w:p>
      <w:pPr>
        <w:spacing w:line="360" w:after="210" w:lineRule="auto"/>
      </w:pPr>
      <w:r>
        <w:rPr>
          <w:rFonts w:eastAsia="inter" w:cs="inter" w:ascii="inter" w:hAnsi="inter"/>
          <w:b/>
          <w:color w:val="000000"/>
        </w:rPr>
        <w:t xml:space="preserve">Threat to Elad/Matrix</w:t>
      </w:r>
      <w:r>
        <w:rPr>
          <w:rFonts w:eastAsia="inter" w:cs="inter" w:ascii="inter" w:hAnsi="inter"/>
          <w:color w:val="000000"/>
        </w:rPr>
        <w:t xml:space="preserve">: Neither firm has a proprietary AI platform. When a client asks, "Can you implement AI agents to automate procurement?" or "Can we deploy AI to optimize supply chain?" Deloitte can offer Zora AI + integration via HashedIn/OpTeamizer. Elad and Matrix must build custom solutions or license from third parties, increasing cost and timeline.</w:t>
      </w:r>
    </w:p>
    <w:p>
      <w:pPr>
        <w:spacing w:line="360" w:before="315" w:after="105" w:lineRule="auto"/>
        <w:ind w:left="-30"/>
        <w:jc w:val="left"/>
      </w:pPr>
      <w:bookmarkStart w:id="28" w:name="silicon_to_service_s2s_infrastruc_b39c33"/>
      <w:r>
        <w:rPr>
          <w:rFonts w:eastAsia="inter" w:cs="inter" w:ascii="inter" w:hAnsi="inter"/>
          <w:b/>
          <w:color w:val="000000"/>
          <w:sz w:val="24"/>
        </w:rPr>
        <w:t xml:space="preserve">Silicon to Service (S2S) – Infrastructure Layer</w:t>
      </w:r>
      <w:bookmarkEnd w:id="28"/>
    </w:p>
    <w:p>
      <w:pPr>
        <w:spacing w:line="360" w:after="210" w:lineRule="auto"/>
      </w:pPr>
      <w:r>
        <w:rPr>
          <w:rFonts w:eastAsia="inter" w:cs="inter" w:ascii="inter" w:hAnsi="inter"/>
          <w:b/>
          <w:color w:val="000000"/>
        </w:rPr>
        <w:t xml:space="preserve">What It Is</w:t>
      </w:r>
      <w:r>
        <w:rPr>
          <w:rFonts w:eastAsia="inter" w:cs="inter" w:ascii="inter" w:hAnsi="inter"/>
          <w:color w:val="000000"/>
        </w:rPr>
        <w:t xml:space="preserve">: Deloitte's managed AI infrastructure offering powered by NVIDIA Blackwell, Dell hardware, and Equinix hosting. Designed for government and regulated industries.</w:t>
      </w:r>
    </w:p>
    <w:p>
      <w:pPr>
        <w:spacing w:line="360" w:after="210" w:lineRule="auto"/>
      </w:pPr>
      <w:r>
        <w:rPr>
          <w:rFonts w:eastAsia="inter" w:cs="inter" w:ascii="inter" w:hAnsi="inter"/>
          <w:b/>
          <w:color w:val="000000"/>
        </w:rPr>
        <w:t xml:space="preserve">Why It Matters</w:t>
      </w:r>
      <w:r>
        <w:rPr>
          <w:rFonts w:eastAsia="inter" w:cs="inter" w:ascii="inter" w:hAnsi="inter"/>
          <w:color w:val="000000"/>
        </w:rPr>
        <w:t xml:space="preserve">: Deloitte now owns the stack from silicon (compute) to service (AI agents). Clients can deploy AI on Deloitte-managed infrastructure, removing procurement, security, and compliance friction. For government clients (Nimbus, defense, healthcare), this is particularly valuable.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bm_4_the_local_power_players_and_5dafaa"/>
      <w:r>
        <w:rPr>
          <w:rFonts w:eastAsia="inter" w:cs="inter" w:ascii="inter" w:hAnsi="inter"/>
          <w:b/>
          <w:color w:val="000000"/>
          <w:sz w:val="24"/>
        </w:rPr>
        <w:t xml:space="preserve">4. THE LOCAL "POWER PLAYERS" AND GENAI MESSAGING</w:t>
      </w:r>
      <w:bookmarkEnd w:id="29"/>
    </w:p>
    <w:p>
      <w:pPr>
        <w:spacing w:line="360" w:before="315" w:after="105" w:lineRule="auto"/>
        <w:ind w:left="-30"/>
        <w:jc w:val="left"/>
      </w:pPr>
      <w:bookmarkStart w:id="30" w:name="rani_argov_deloitte_digital_co_lead"/>
      <w:r>
        <w:rPr>
          <w:rFonts w:eastAsia="inter" w:cs="inter" w:ascii="inter" w:hAnsi="inter"/>
          <w:b/>
          <w:color w:val="000000"/>
          <w:sz w:val="24"/>
        </w:rPr>
        <w:t xml:space="preserve">Rani Argov – Deloitte Digital Co-Lead</w:t>
      </w:r>
      <w:bookmarkEnd w:id="30"/>
    </w:p>
    <w:p>
      <w:pPr>
        <w:spacing w:line="360" w:after="210" w:lineRule="auto"/>
      </w:pPr>
      <w:r>
        <w:rPr>
          <w:rFonts w:eastAsia="inter" w:cs="inter" w:ascii="inter" w:hAnsi="inter"/>
          <w:b/>
          <w:color w:val="000000"/>
        </w:rPr>
        <w:t xml:space="preserve">Role</w:t>
      </w:r>
      <w:r>
        <w:rPr>
          <w:rFonts w:eastAsia="inter" w:cs="inter" w:ascii="inter" w:hAnsi="inter"/>
          <w:color w:val="000000"/>
        </w:rPr>
        <w:t xml:space="preserve">: Partner and strategic leader for digital transformation in Israel. Led the Awesome acquisition and oversees end-to-end digital transformation services.</w:t>
      </w:r>
    </w:p>
    <w:p>
      <w:pPr>
        <w:spacing w:line="360" w:after="210" w:lineRule="auto"/>
      </w:pPr>
      <w:r>
        <w:rPr>
          <w:rFonts w:eastAsia="inter" w:cs="inter" w:ascii="inter" w:hAnsi="inter"/>
          <w:b/>
          <w:color w:val="000000"/>
        </w:rPr>
        <w:t xml:space="preserve">Education</w:t>
      </w:r>
      <w:r>
        <w:rPr>
          <w:rFonts w:eastAsia="inter" w:cs="inter" w:ascii="inter" w:hAnsi="inter"/>
          <w:color w:val="000000"/>
        </w:rPr>
        <w:t xml:space="preserve">: MBA Wharton, LLB Tel Aviv University</w:t>
      </w:r>
    </w:p>
    <w:p>
      <w:pPr>
        <w:spacing w:line="360" w:after="210" w:lineRule="auto"/>
      </w:pPr>
      <w:r>
        <w:rPr>
          <w:rFonts w:eastAsia="inter" w:cs="inter" w:ascii="inter" w:hAnsi="inter"/>
          <w:b/>
          <w:color w:val="000000"/>
        </w:rPr>
        <w:t xml:space="preserve">Messaging Theme</w:t>
      </w:r>
      <w:r>
        <w:rPr>
          <w:rFonts w:eastAsia="inter" w:cs="inter" w:ascii="inter" w:hAnsi="inter"/>
          <w:color w:val="000000"/>
        </w:rPr>
        <w:t xml:space="preserve">: "End-to-end digital transformation" where creative, strategy, and technology are inseparable. The narrative is cohesion—one team delivering across all dimensions of transformation.</w:t>
      </w:r>
    </w:p>
    <w:p>
      <w:pPr>
        <w:spacing w:line="360" w:after="210" w:lineRule="auto"/>
      </w:pPr>
      <w:r>
        <w:rPr>
          <w:rFonts w:eastAsia="inter" w:cs="inter" w:ascii="inter" w:hAnsi="inter"/>
          <w:b/>
          <w:color w:val="000000"/>
        </w:rPr>
        <w:t xml:space="preserve">Competitive Positioning</w:t>
      </w:r>
      <w:r>
        <w:rPr>
          <w:rFonts w:eastAsia="inter" w:cs="inter" w:ascii="inter" w:hAnsi="inter"/>
          <w:color w:val="000000"/>
        </w:rPr>
        <w:t xml:space="preserve">: Unlike pure IT services firms (Elad, Matrix) that position as technical executors, Argov's narrative frames Deloitte as the business transformation partner who happens to have technology and creative services in-house.</w:t>
      </w:r>
    </w:p>
    <w:p>
      <w:pPr>
        <w:spacing w:line="360" w:before="315" w:after="105" w:lineRule="auto"/>
        <w:ind w:left="-30"/>
        <w:jc w:val="left"/>
      </w:pPr>
      <w:bookmarkStart w:id="31" w:name="yair_laron_co_leader_deloitte_catalyst"/>
      <w:r>
        <w:rPr>
          <w:rFonts w:eastAsia="inter" w:cs="inter" w:ascii="inter" w:hAnsi="inter"/>
          <w:b/>
          <w:color w:val="000000"/>
          <w:sz w:val="24"/>
        </w:rPr>
        <w:t xml:space="preserve">Yair Laron – Co-Leader, Deloitte Catalyst</w:t>
      </w:r>
      <w:bookmarkEnd w:id="31"/>
    </w:p>
    <w:p>
      <w:pPr>
        <w:spacing w:line="360" w:after="210" w:lineRule="auto"/>
      </w:pPr>
      <w:r>
        <w:rPr>
          <w:rFonts w:eastAsia="inter" w:cs="inter" w:ascii="inter" w:hAnsi="inter"/>
          <w:b/>
          <w:color w:val="000000"/>
        </w:rPr>
        <w:t xml:space="preserve">Role</w:t>
      </w:r>
      <w:r>
        <w:rPr>
          <w:rFonts w:eastAsia="inter" w:cs="inter" w:ascii="inter" w:hAnsi="inter"/>
          <w:color w:val="000000"/>
        </w:rPr>
        <w:t xml:space="preserve">: Partner leading Services to Startups (EGC) and Launchpad. 10+ years in tech, former advisor to Prime Minister's office.</w:t>
      </w:r>
    </w:p>
    <w:p>
      <w:pPr>
        <w:spacing w:line="360" w:after="210" w:lineRule="auto"/>
      </w:pPr>
      <w:r>
        <w:rPr>
          <w:rFonts w:eastAsia="inter" w:cs="inter" w:ascii="inter" w:hAnsi="inter"/>
          <w:b/>
          <w:color w:val="000000"/>
        </w:rPr>
        <w:t xml:space="preserve">Education</w:t>
      </w:r>
      <w:r>
        <w:rPr>
          <w:rFonts w:eastAsia="inter" w:cs="inter" w:ascii="inter" w:hAnsi="inter"/>
          <w:color w:val="000000"/>
        </w:rPr>
        <w:t xml:space="preserve">: BA Laws + Accounting (Tel Aviv), lecturer at IDC Herzliya</w:t>
      </w:r>
    </w:p>
    <w:p>
      <w:pPr>
        <w:spacing w:line="360" w:after="210" w:lineRule="auto"/>
      </w:pPr>
      <w:r>
        <w:rPr>
          <w:rFonts w:eastAsia="inter" w:cs="inter" w:ascii="inter" w:hAnsi="inter"/>
          <w:b/>
          <w:color w:val="000000"/>
        </w:rPr>
        <w:t xml:space="preserve">Messaging Theme</w:t>
      </w:r>
      <w:r>
        <w:rPr>
          <w:rFonts w:eastAsia="inter" w:cs="inter" w:ascii="inter" w:hAnsi="inter"/>
          <w:color w:val="000000"/>
        </w:rPr>
        <w:t xml:space="preserve">: Innovation, founder-friendly support, and bridging Israeli tech to global enterprises. His narrative emphasizes Deloitte's role as "founders' partner" and the bridge to US/global markets.</w:t>
      </w:r>
    </w:p>
    <w:p>
      <w:pPr>
        <w:spacing w:line="360" w:after="210" w:lineRule="auto"/>
      </w:pPr>
      <w:r>
        <w:rPr>
          <w:rFonts w:eastAsia="inter" w:cs="inter" w:ascii="inter" w:hAnsi="inter"/>
          <w:b/>
          <w:color w:val="000000"/>
        </w:rPr>
        <w:t xml:space="preserve">Competitive Positioning</w:t>
      </w:r>
      <w:r>
        <w:rPr>
          <w:rFonts w:eastAsia="inter" w:cs="inter" w:ascii="inter" w:hAnsi="inter"/>
          <w:color w:val="000000"/>
        </w:rPr>
        <w:t xml:space="preserve">: Laron positions Deloitte Catalyst as distinct from venture capital or traditional consulting—it's a dedicated practice embedded in a global services network designed to scale Israeli innovation globally.</w:t>
      </w:r>
    </w:p>
    <w:p>
      <w:pPr>
        <w:spacing w:line="360" w:before="315" w:after="105" w:lineRule="auto"/>
        <w:ind w:left="-30"/>
        <w:jc w:val="left"/>
      </w:pPr>
      <w:bookmarkStart w:id="32" w:name="deloitte_israel_s_unified_ai_pitc_3b0e48"/>
      <w:r>
        <w:rPr>
          <w:rFonts w:eastAsia="inter" w:cs="inter" w:ascii="inter" w:hAnsi="inter"/>
          <w:b/>
          <w:color w:val="000000"/>
          <w:sz w:val="24"/>
        </w:rPr>
        <w:t xml:space="preserve">Deloitte Israel's Unified AI Pitch: "Age of With™"</w:t>
      </w:r>
      <w:bookmarkEnd w:id="32"/>
    </w:p>
    <w:p>
      <w:pPr>
        <w:spacing w:line="360" w:after="210" w:lineRule="auto"/>
      </w:pPr>
      <w:r>
        <w:rPr>
          <w:rFonts w:eastAsia="inter" w:cs="inter" w:ascii="inter" w:hAnsi="inter"/>
          <w:b/>
          <w:color w:val="000000"/>
        </w:rPr>
        <w:t xml:space="preserve">Core Message</w:t>
      </w:r>
      <w:r>
        <w:rPr>
          <w:rFonts w:eastAsia="inter" w:cs="inter" w:ascii="inter" w:hAnsi="inter"/>
          <w:color w:val="000000"/>
        </w:rPr>
        <w:t xml:space="preserve">: Humans working alongside machines, not machines replacing humans.</w:t>
      </w:r>
    </w:p>
    <w:p>
      <w:pPr>
        <w:spacing w:line="360" w:after="210" w:lineRule="auto"/>
      </w:pPr>
      <w:r>
        <w:rPr>
          <w:rFonts w:eastAsia="inter" w:cs="inter" w:ascii="inter" w:hAnsi="inter"/>
          <w:b/>
          <w:color w:val="000000"/>
        </w:rPr>
        <w:t xml:space="preserve">Pillars</w:t>
      </w:r>
      <w:r>
        <w:rPr>
          <w:rFonts w:eastAsia="inter" w:cs="inter" w:ascii="inter" w:hAnsi="inter"/>
          <w:color w:val="000000"/>
        </w:rPr>
        <w:t xml:space="preserve">:</w:t>
      </w:r>
    </w:p>
    <w:p>
      <w:pPr>
        <w:numPr>
          <w:ilvl w:val="0"/>
          <w:numId w:val="15"/>
        </w:numPr>
        <w:spacing w:line="360" w:before="105" w:after="105" w:lineRule="auto"/>
      </w:pPr>
      <w:r>
        <w:rPr>
          <w:rFonts w:eastAsia="inter" w:cs="inter" w:ascii="inter" w:hAnsi="inter"/>
          <w:b/>
          <w:color w:val="000000"/>
          <w:sz w:val="21"/>
        </w:rPr>
        <w:t xml:space="preserve">Safe AI</w:t>
      </w:r>
      <w:r>
        <w:rPr>
          <w:rFonts w:eastAsia="inter" w:cs="inter" w:ascii="inter" w:hAnsi="inter"/>
          <w:color w:val="000000"/>
          <w:sz w:val="21"/>
        </w:rPr>
        <w:t xml:space="preserve">: Trustworthy AI framework managing risks, bias, and compliance</w:t>
      </w:r>
    </w:p>
    <w:p>
      <w:pPr>
        <w:numPr>
          <w:ilvl w:val="0"/>
          <w:numId w:val="15"/>
        </w:numPr>
        <w:spacing w:line="360" w:before="105" w:after="105" w:lineRule="auto"/>
      </w:pPr>
      <w:r>
        <w:rPr>
          <w:rFonts w:eastAsia="inter" w:cs="inter" w:ascii="inter" w:hAnsi="inter"/>
          <w:b/>
          <w:color w:val="000000"/>
          <w:sz w:val="21"/>
        </w:rPr>
        <w:t xml:space="preserve">Rapid ROI</w:t>
      </w:r>
      <w:r>
        <w:rPr>
          <w:rFonts w:eastAsia="inter" w:cs="inter" w:ascii="inter" w:hAnsi="inter"/>
          <w:color w:val="000000"/>
          <w:sz w:val="21"/>
        </w:rPr>
        <w:t xml:space="preserve">: Demonstrated productivity gains (25-40% from internal Zora deployments)</w:t>
      </w:r>
    </w:p>
    <w:p>
      <w:pPr>
        <w:numPr>
          <w:ilvl w:val="0"/>
          <w:numId w:val="15"/>
        </w:numPr>
        <w:spacing w:line="360" w:before="105" w:after="105" w:lineRule="auto"/>
      </w:pPr>
      <w:r>
        <w:rPr>
          <w:rFonts w:eastAsia="inter" w:cs="inter" w:ascii="inter" w:hAnsi="inter"/>
          <w:b/>
          <w:color w:val="000000"/>
          <w:sz w:val="21"/>
        </w:rPr>
        <w:t xml:space="preserve">Full-Stack</w:t>
      </w:r>
      <w:r>
        <w:rPr>
          <w:rFonts w:eastAsia="inter" w:cs="inter" w:ascii="inter" w:hAnsi="inter"/>
          <w:color w:val="000000"/>
          <w:sz w:val="21"/>
        </w:rPr>
        <w:t xml:space="preserve">: Infrastructure → agents → industry solutions, all integrated</w:t>
      </w:r>
    </w:p>
    <w:p>
      <w:pPr>
        <w:numPr>
          <w:ilvl w:val="0"/>
          <w:numId w:val="15"/>
        </w:numPr>
        <w:spacing w:line="360" w:before="105" w:after="105" w:lineRule="auto"/>
      </w:pPr>
      <w:r>
        <w:rPr>
          <w:rFonts w:eastAsia="inter" w:cs="inter" w:ascii="inter" w:hAnsi="inter"/>
          <w:b/>
          <w:color w:val="000000"/>
          <w:sz w:val="21"/>
        </w:rPr>
        <w:t xml:space="preserve">Governance</w:t>
      </w:r>
      <w:r>
        <w:rPr>
          <w:rFonts w:eastAsia="inter" w:cs="inter" w:ascii="inter" w:hAnsi="inter"/>
          <w:color w:val="000000"/>
          <w:sz w:val="21"/>
        </w:rPr>
        <w:t xml:space="preserve">: Transparency, explainability, human oversight</w:t>
      </w:r>
    </w:p>
    <w:p>
      <w:pPr>
        <w:spacing w:line="360" w:after="210" w:lineRule="auto"/>
      </w:pPr>
      <w:r>
        <w:rPr>
          <w:rFonts w:eastAsia="inter" w:cs="inter" w:ascii="inter" w:hAnsi="inter"/>
          <w:b/>
          <w:color w:val="000000"/>
        </w:rPr>
        <w:t xml:space="preserve">Contrast to Competitors</w:t>
      </w:r>
      <w:r>
        <w:rPr>
          <w:rFonts w:eastAsia="inter" w:cs="inter" w:ascii="inter" w:hAnsi="inter"/>
          <w:color w:val="000000"/>
        </w:rPr>
        <w:t xml:space="preserve">:</w:t>
      </w:r>
    </w:p>
    <w:p>
      <w:pPr>
        <w:numPr>
          <w:ilvl w:val="0"/>
          <w:numId w:val="16"/>
        </w:numPr>
        <w:spacing w:line="360" w:before="105" w:after="105" w:lineRule="auto"/>
      </w:pPr>
      <w:r>
        <w:rPr>
          <w:rFonts w:eastAsia="inter" w:cs="inter" w:ascii="inter" w:hAnsi="inter"/>
          <w:b/>
          <w:color w:val="000000"/>
          <w:sz w:val="21"/>
        </w:rPr>
        <w:t xml:space="preserve">Elad/Matrix</w:t>
      </w:r>
      <w:r>
        <w:rPr>
          <w:rFonts w:eastAsia="inter" w:cs="inter" w:ascii="inter" w:hAnsi="inter"/>
          <w:color w:val="000000"/>
          <w:sz w:val="21"/>
        </w:rPr>
        <w:t xml:space="preserve">: "We can build it" (execution focus, no platform differentiation)</w:t>
      </w:r>
    </w:p>
    <w:p>
      <w:pPr>
        <w:numPr>
          <w:ilvl w:val="0"/>
          <w:numId w:val="16"/>
        </w:numPr>
        <w:spacing w:line="360" w:before="105" w:after="105" w:lineRule="auto"/>
      </w:pPr>
      <w:r>
        <w:rPr>
          <w:rFonts w:eastAsia="inter" w:cs="inter" w:ascii="inter" w:hAnsi="inter"/>
          <w:b/>
          <w:color w:val="000000"/>
          <w:sz w:val="21"/>
        </w:rPr>
        <w:t xml:space="preserve">Deloitte</w:t>
      </w:r>
      <w:r>
        <w:rPr>
          <w:rFonts w:eastAsia="inter" w:cs="inter" w:ascii="inter" w:hAnsi="inter"/>
          <w:color w:val="000000"/>
          <w:sz w:val="21"/>
        </w:rPr>
        <w:t xml:space="preserve">: "We can transform you safely and quickly with AI" (platforms + execution + domain expertise)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bm_5_government_nimbus_where_delo_2d5698"/>
      <w:r>
        <w:rPr>
          <w:rFonts w:eastAsia="inter" w:cs="inter" w:ascii="inter" w:hAnsi="inter"/>
          <w:b/>
          <w:color w:val="000000"/>
          <w:sz w:val="24"/>
        </w:rPr>
        <w:t xml:space="preserve">5. GOVERNMENT &amp; NIMBUS: WHERE DELOITTE PLAYS LONG GAME</w:t>
      </w:r>
      <w:bookmarkEnd w:id="33"/>
    </w:p>
    <w:p>
      <w:pPr>
        <w:spacing w:line="360" w:before="315" w:after="105" w:lineRule="auto"/>
        <w:ind w:left="-30"/>
        <w:jc w:val="left"/>
      </w:pPr>
      <w:bookmarkStart w:id="34" w:name="project_nimbus_context"/>
      <w:r>
        <w:rPr>
          <w:rFonts w:eastAsia="inter" w:cs="inter" w:ascii="inter" w:hAnsi="inter"/>
          <w:b/>
          <w:color w:val="000000"/>
          <w:sz w:val="24"/>
        </w:rPr>
        <w:t xml:space="preserve">Project Nimbus Context</w:t>
      </w:r>
      <w:bookmarkEnd w:id="34"/>
    </w:p>
    <w:p>
      <w:pPr>
        <w:spacing w:line="360" w:after="210" w:lineRule="auto"/>
      </w:pPr>
      <w:r>
        <w:rPr>
          <w:rFonts w:eastAsia="inter" w:cs="inter" w:ascii="inter" w:hAnsi="inter"/>
          <w:color w:val="000000"/>
        </w:rPr>
        <w:t xml:space="preserve">Israel's government cloud modernization project (Nimbus) is a $1.2 billion multi-year initiative to migrate government ministries to cloud (AWS + Google Cloud). This represents one of the largest government IT transformation projects globally.</w:t>
      </w:r>
    </w:p>
    <w:p>
      <w:pPr>
        <w:spacing w:line="360" w:after="210" w:lineRule="auto"/>
      </w:pPr>
      <w:r>
        <w:rPr>
          <w:rFonts w:eastAsia="inter" w:cs="inter" w:ascii="inter" w:hAnsi="inter"/>
          <w:b/>
          <w:color w:val="000000"/>
        </w:rPr>
        <w:t xml:space="preserve">Layers</w:t>
      </w:r>
      <w:r>
        <w:rPr>
          <w:rFonts w:eastAsia="inter" w:cs="inter" w:ascii="inter" w:hAnsi="inter"/>
          <w:color w:val="000000"/>
        </w:rPr>
        <w:t xml:space="preserve">:</w:t>
      </w:r>
    </w:p>
    <w:p>
      <w:pPr>
        <w:numPr>
          <w:ilvl w:val="0"/>
          <w:numId w:val="17"/>
        </w:numPr>
        <w:spacing w:line="360" w:before="105" w:after="105" w:lineRule="auto"/>
      </w:pPr>
      <w:r>
        <w:rPr>
          <w:rFonts w:eastAsia="inter" w:cs="inter" w:ascii="inter" w:hAnsi="inter"/>
          <w:color w:val="000000"/>
          <w:sz w:val="21"/>
        </w:rPr>
        <w:t xml:space="preserve">Layer 1-4: Infrastructure provisioning (AWS/Google won)</w:t>
      </w:r>
    </w:p>
    <w:p>
      <w:pPr>
        <w:numPr>
          <w:ilvl w:val="0"/>
          <w:numId w:val="17"/>
        </w:numPr>
        <w:spacing w:line="360" w:before="105" w:after="105" w:lineRule="auto"/>
      </w:pPr>
      <w:r>
        <w:rPr>
          <w:rFonts w:eastAsia="inter" w:cs="inter" w:ascii="inter" w:hAnsi="inter"/>
          <w:color w:val="000000"/>
          <w:sz w:val="21"/>
        </w:rPr>
        <w:t xml:space="preserve">Layer 5: Applications and services (ecosystem play)</w:t>
      </w:r>
    </w:p>
    <w:p>
      <w:pPr>
        <w:spacing w:line="360" w:before="315" w:after="105" w:lineRule="auto"/>
        <w:ind w:left="-30"/>
        <w:jc w:val="left"/>
      </w:pPr>
      <w:bookmarkStart w:id="35" w:name="competitor_position_matrix_won_la_119f05"/>
      <w:r>
        <w:rPr>
          <w:rFonts w:eastAsia="inter" w:cs="inter" w:ascii="inter" w:hAnsi="inter"/>
          <w:b/>
          <w:color w:val="000000"/>
          <w:sz w:val="24"/>
        </w:rPr>
        <w:t xml:space="preserve">Competitor Position: Matrix Won Layer 5 (SAP BTP)</w:t>
      </w:r>
      <w:bookmarkEnd w:id="35"/>
    </w:p>
    <w:p>
      <w:pPr>
        <w:spacing w:line="360" w:after="210" w:lineRule="auto"/>
      </w:pPr>
      <w:r>
        <w:rPr>
          <w:rFonts w:eastAsia="inter" w:cs="inter" w:ascii="inter" w:hAnsi="inter"/>
          <w:color w:val="000000"/>
        </w:rPr>
        <w:t xml:space="preserve">Matrix IT won a tender to provide SAP Business Technology Platform (SAP BTP) on Google Cloud for Israeli government ministries and public sector entities. This is a significant win—SAP BTP will be the standard application platform for government going forward.</w:t>
      </w:r>
      <w:bookmarkStart w:id="36" w:name="fnref10"/>
      <w:bookmarkEnd w:id="36"/>
      <w:hyperlink w:anchor="fn10">
        <w:r>
          <w:rPr>
            <w:rFonts w:eastAsia="inter" w:cs="inter" w:ascii="inter" w:hAnsi="inter"/>
            <w:color w:val="#000"/>
            <w:u w:val="single"/>
            <w:vertAlign w:val="superscript"/>
          </w:rPr>
          <w:t xml:space="preserve">[10]</w:t>
        </w:r>
      </w:hyperlink>
    </w:p>
    <w:p>
      <w:pPr>
        <w:spacing w:line="360" w:after="210" w:lineRule="auto"/>
      </w:pPr>
      <w:r>
        <w:rPr>
          <w:rFonts w:eastAsia="inter" w:cs="inter" w:ascii="inter" w:hAnsi="inter"/>
          <w:b/>
          <w:color w:val="000000"/>
        </w:rPr>
        <w:t xml:space="preserve">Matrix's Advantage</w:t>
      </w:r>
      <w:r>
        <w:rPr>
          <w:rFonts w:eastAsia="inter" w:cs="inter" w:ascii="inter" w:hAnsi="inter"/>
          <w:color w:val="000000"/>
        </w:rPr>
        <w:t xml:space="preserve">: Deep SAP relationships, prior government experience, and a dedicated government practice.</w:t>
      </w:r>
    </w:p>
    <w:p>
      <w:pPr>
        <w:spacing w:line="360" w:before="315" w:after="105" w:lineRule="auto"/>
        <w:ind w:left="-30"/>
        <w:jc w:val="left"/>
      </w:pPr>
      <w:bookmarkStart w:id="37" w:name="deloitte_s_government_strategy_ad_b82d0f"/>
      <w:r>
        <w:rPr>
          <w:rFonts w:eastAsia="inter" w:cs="inter" w:ascii="inter" w:hAnsi="inter"/>
          <w:b/>
          <w:color w:val="000000"/>
          <w:sz w:val="24"/>
        </w:rPr>
        <w:t xml:space="preserve">Deloitte's Government Strategy: Advisory + Infrastructure + Integration</w:t>
      </w:r>
      <w:bookmarkEnd w:id="37"/>
    </w:p>
    <w:p>
      <w:pPr>
        <w:spacing w:line="360" w:after="210" w:lineRule="auto"/>
      </w:pPr>
      <w:r>
        <w:rPr>
          <w:rFonts w:eastAsia="inter" w:cs="inter" w:ascii="inter" w:hAnsi="inter"/>
          <w:color w:val="000000"/>
        </w:rPr>
        <w:t xml:space="preserve">Unlike Matrix's direct contractor approach, Deloitte is positioned differently:</w:t>
      </w:r>
    </w:p>
    <w:p>
      <w:pPr>
        <w:spacing w:line="360" w:after="210" w:lineRule="auto"/>
      </w:pPr>
      <w:r>
        <w:rPr>
          <w:rFonts w:eastAsia="inter" w:cs="inter" w:ascii="inter" w:hAnsi="inter"/>
          <w:b/>
          <w:color w:val="000000"/>
        </w:rPr>
        <w:t xml:space="preserve">1. Advisory Leadership</w:t>
      </w:r>
      <w:r>
        <w:rPr>
          <w:rFonts w:eastAsia="inter" w:cs="inter" w:ascii="inter" w:hAnsi="inter"/>
          <w:color w:val="000000"/>
        </w:rPr>
        <w:t xml:space="preserve">: Deloitte Canada was selected to develop Israel's government cloud transformation roadmap. This gives Deloitte strategic influence over policy, procurement, and technology direction.</w:t>
      </w:r>
      <w:bookmarkStart w:id="38" w:name="fnref11"/>
      <w:bookmarkEnd w:id="38"/>
      <w:hyperlink w:anchor="fn11">
        <w:r>
          <w:rPr>
            <w:rFonts w:eastAsia="inter" w:cs="inter" w:ascii="inter" w:hAnsi="inter"/>
            <w:color w:val="#000"/>
            <w:u w:val="single"/>
            <w:vertAlign w:val="superscript"/>
          </w:rPr>
          <w:t xml:space="preserve">[11]</w:t>
        </w:r>
      </w:hyperlink>
    </w:p>
    <w:p>
      <w:pPr>
        <w:spacing w:line="360" w:after="210" w:lineRule="auto"/>
      </w:pPr>
      <w:r>
        <w:rPr>
          <w:rFonts w:eastAsia="inter" w:cs="inter" w:ascii="inter" w:hAnsi="inter"/>
          <w:b/>
          <w:color w:val="000000"/>
        </w:rPr>
        <w:t xml:space="preserve">2. Infrastructure Play</w:t>
      </w:r>
      <w:r>
        <w:rPr>
          <w:rFonts w:eastAsia="inter" w:cs="inter" w:ascii="inter" w:hAnsi="inter"/>
          <w:color w:val="000000"/>
        </w:rPr>
        <w:t xml:space="preserve">: Deloitte's Silicon to Service (S2S) offering is explicitly designed for government and regulated industries. When government agencies need to deploy AI workloads (fraud detection, citizen service optimization, predictive analytics), S2S is the platform.</w:t>
      </w:r>
    </w:p>
    <w:p>
      <w:pPr>
        <w:spacing w:line="360" w:after="210" w:lineRule="auto"/>
      </w:pPr>
      <w:r>
        <w:rPr>
          <w:rFonts w:eastAsia="inter" w:cs="inter" w:ascii="inter" w:hAnsi="inter"/>
          <w:b/>
          <w:color w:val="000000"/>
        </w:rPr>
        <w:t xml:space="preserve">3. Integration Services</w:t>
      </w:r>
      <w:r>
        <w:rPr>
          <w:rFonts w:eastAsia="inter" w:cs="inter" w:ascii="inter" w:hAnsi="inter"/>
          <w:color w:val="000000"/>
        </w:rPr>
        <w:t xml:space="preserve">: While Matrix provides SAP BTP, Deloitte provides the consulting, integration, and modernization around it. When a ministry needs to:</w:t>
      </w:r>
    </w:p>
    <w:p>
      <w:pPr>
        <w:numPr>
          <w:ilvl w:val="0"/>
          <w:numId w:val="18"/>
        </w:numPr>
        <w:spacing w:line="360" w:before="105" w:after="105" w:lineRule="auto"/>
      </w:pPr>
      <w:r>
        <w:rPr>
          <w:rFonts w:eastAsia="inter" w:cs="inter" w:ascii="inter" w:hAnsi="inter"/>
          <w:color w:val="000000"/>
          <w:sz w:val="21"/>
        </w:rPr>
        <w:t xml:space="preserve">Migrate legacy systems to SAP BTP</w:t>
      </w:r>
    </w:p>
    <w:p>
      <w:pPr>
        <w:numPr>
          <w:ilvl w:val="0"/>
          <w:numId w:val="18"/>
        </w:numPr>
        <w:spacing w:line="360" w:before="105" w:after="105" w:lineRule="auto"/>
      </w:pPr>
      <w:r>
        <w:rPr>
          <w:rFonts w:eastAsia="inter" w:cs="inter" w:ascii="inter" w:hAnsi="inter"/>
          <w:color w:val="000000"/>
          <w:sz w:val="21"/>
        </w:rPr>
        <w:t xml:space="preserve">Implement AI agents for citizen services (via Zora AI)</w:t>
      </w:r>
    </w:p>
    <w:p>
      <w:pPr>
        <w:numPr>
          <w:ilvl w:val="0"/>
          <w:numId w:val="18"/>
        </w:numPr>
        <w:spacing w:line="360" w:before="105" w:after="105" w:lineRule="auto"/>
      </w:pPr>
      <w:r>
        <w:rPr>
          <w:rFonts w:eastAsia="inter" w:cs="inter" w:ascii="inter" w:hAnsi="inter"/>
          <w:color w:val="000000"/>
          <w:sz w:val="21"/>
        </w:rPr>
        <w:t xml:space="preserve">Optimize operations with data analytics (via CortexAI)</w:t>
      </w:r>
      <w:r>
        <w:rPr>
          <w:rFonts w:eastAsia="inter" w:cs="inter" w:ascii="inter" w:hAnsi="inter"/>
          <w:color w:val="000000"/>
          <w:sz w:val="21"/>
        </w:rPr>
        <w:br w:type="textWrapping"/>
      </w:r>
      <w:r>
        <w:rPr>
          <w:rFonts w:eastAsia="inter" w:cs="inter" w:ascii="inter" w:hAnsi="inter"/>
          <w:color w:val="000000"/>
          <w:sz w:val="21"/>
        </w:rPr>
        <w:t xml:space="preserve">Deloitte is the systems integrator.</w:t>
      </w:r>
    </w:p>
    <w:p>
      <w:pPr>
        <w:spacing w:line="360" w:after="210" w:lineRule="auto"/>
      </w:pPr>
      <w:r>
        <w:rPr>
          <w:rFonts w:eastAsia="inter" w:cs="inter" w:ascii="inter" w:hAnsi="inter"/>
          <w:b/>
          <w:color w:val="000000"/>
        </w:rPr>
        <w:t xml:space="preserve">4. Startup Acceleration</w:t>
      </w:r>
      <w:r>
        <w:rPr>
          <w:rFonts w:eastAsia="inter" w:cs="inter" w:ascii="inter" w:hAnsi="inter"/>
          <w:color w:val="000000"/>
        </w:rPr>
        <w:t xml:space="preserve">: Israeli startups building GovTech solutions (citizen services platforms, predictive analytics, cybersecurity) can graduate through Deloitte Catalyst/Launchpad and integrate into government modernization engagements.</w:t>
      </w:r>
    </w:p>
    <w:p>
      <w:pPr>
        <w:spacing w:line="360" w:after="210" w:lineRule="auto"/>
      </w:pPr>
      <w:r>
        <w:rPr>
          <w:rFonts w:eastAsia="inter" w:cs="inter" w:ascii="inter" w:hAnsi="inter"/>
          <w:b/>
          <w:color w:val="000000"/>
        </w:rPr>
        <w:t xml:space="preserve">Why This Is Competitive</w:t>
      </w:r>
      <w:r>
        <w:rPr>
          <w:rFonts w:eastAsia="inter" w:cs="inter" w:ascii="inter" w:hAnsi="inter"/>
          <w:color w:val="000000"/>
        </w:rPr>
        <w:t xml:space="preserve">: Matrix is linear—they won a tender and will execute it. Deloitte is exponential—they have advisory influence, infrastructure offerings, integration services, and a startup pipeline that all feed government modernization.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 w:name="bm_6_competitive_positioning_why_8ad7bc"/>
      <w:r>
        <w:rPr>
          <w:rFonts w:eastAsia="inter" w:cs="inter" w:ascii="inter" w:hAnsi="inter"/>
          <w:b/>
          <w:color w:val="000000"/>
          <w:sz w:val="24"/>
        </w:rPr>
        <w:t xml:space="preserve">6. COMPETITIVE POSITIONING: WHY DELOITTE IS THE PRIMARY THREAT TO ELAD &amp; MATRIX</w:t>
      </w:r>
      <w:bookmarkEnd w:id="39"/>
    </w:p>
    <w:p>
      <w:pPr>
        <w:spacing w:line="360" w:before="315" w:after="105" w:lineRule="auto"/>
        <w:ind w:left="-30"/>
        <w:jc w:val="left"/>
      </w:pPr>
      <w:bookmarkStart w:id="40" w:name="direct_competitive_comparison"/>
      <w:r>
        <w:rPr>
          <w:rFonts w:eastAsia="inter" w:cs="inter" w:ascii="inter" w:hAnsi="inter"/>
          <w:b/>
          <w:color w:val="000000"/>
          <w:sz w:val="24"/>
        </w:rPr>
        <w:t xml:space="preserve">Direct Competitive Comparison</w:t>
      </w:r>
      <w:bookmarkEnd w:id="4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Factor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Elad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Matrix</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Deloitte Israel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Employees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~500-1,000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12,500 total (10,682 Israel)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~5,000 Israel (part of 457,000 global)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Delivery Model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Custom development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Systems integration + government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Acquisition-based (HashedIn, OpTeamizer, Awesome)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AI Platform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 proprietary platform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AI/ML Excellence Center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Zora AI + CortexAI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Startup Access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Minimal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Minimal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Catalyst/Launchpad (74+ companies, $1.6B raised)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Global Reach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Limited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Limited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150+ countries, 90% Fortune Global 500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Government Presence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Some projects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SAP BTP Layer 5 tender winner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Advisory role, S2S infrastructure, integration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Creative Services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Via external partners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Via external partners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Awesome (40-person agency, in-house)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Market Positioning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Technical executor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Systems integrator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Business transformation partner (tech + creative + strategy)</w:t>
            </w:r>
          </w:p>
        </w:tc>
      </w:tr>
    </w:tbl>
    <w:p>
      <w:pPr>
        <w:spacing w:lineRule="auto"/>
      </w:pPr>
    </w:p>
    <w:p>
      <w:pPr>
        <w:spacing w:line="360" w:before="315" w:after="105" w:lineRule="auto"/>
        <w:ind w:left="-30"/>
        <w:jc w:val="left"/>
      </w:pPr>
      <w:bookmarkStart w:id="41" w:name="the_daily_threat_four_competitive_7bccd0"/>
      <w:r>
        <w:rPr>
          <w:rFonts w:eastAsia="inter" w:cs="inter" w:ascii="inter" w:hAnsi="inter"/>
          <w:b/>
          <w:color w:val="000000"/>
          <w:sz w:val="24"/>
        </w:rPr>
        <w:t xml:space="preserve">The Daily Threat: Four Competitive Vectors</w:t>
      </w:r>
      <w:bookmarkEnd w:id="41"/>
    </w:p>
    <w:p>
      <w:pPr>
        <w:spacing w:line="360" w:after="210" w:lineRule="auto"/>
      </w:pPr>
      <w:r>
        <w:rPr>
          <w:rFonts w:eastAsia="inter" w:cs="inter" w:ascii="inter" w:hAnsi="inter"/>
          <w:b/>
          <w:color w:val="000000"/>
        </w:rPr>
        <w:t xml:space="preserve">Vector 1: Direct Execution Competition</w:t>
      </w:r>
      <w:r>
        <w:rPr>
          <w:rFonts w:eastAsia="inter" w:cs="inter" w:ascii="inter" w:hAnsi="inter"/>
          <w:color w:val="000000"/>
        </w:rPr>
        <w:br w:type="textWrapping"/>
      </w:r>
      <w:r>
        <w:rPr>
          <w:rFonts w:eastAsia="inter" w:cs="inter" w:ascii="inter" w:hAnsi="inter"/>
          <w:color w:val="000000"/>
        </w:rPr>
        <w:t xml:space="preserve">HashedIn (700+ engineers) directly competes with Elad/Matrix for enterprise software development and modernization projects. Deloitte can now bid on—and win—"build us this system" RFPs with lower overhead and faster delivery than standalone firms.</w:t>
      </w:r>
    </w:p>
    <w:p>
      <w:pPr>
        <w:spacing w:line="360" w:after="210" w:lineRule="auto"/>
      </w:pPr>
      <w:r>
        <w:rPr>
          <w:rFonts w:eastAsia="inter" w:cs="inter" w:ascii="inter" w:hAnsi="inter"/>
          <w:b/>
          <w:color w:val="000000"/>
        </w:rPr>
        <w:t xml:space="preserve">Vector 2: AI-First Differentiation</w:t>
      </w:r>
      <w:r>
        <w:rPr>
          <w:rFonts w:eastAsia="inter" w:cs="inter" w:ascii="inter" w:hAnsi="inter"/>
          <w:color w:val="000000"/>
        </w:rPr>
        <w:br w:type="textWrapping"/>
      </w:r>
      <w:r>
        <w:rPr>
          <w:rFonts w:eastAsia="inter" w:cs="inter" w:ascii="inter" w:hAnsi="inter"/>
          <w:color w:val="000000"/>
        </w:rPr>
        <w:t xml:space="preserve">Zora AI + OpTeamizer/HashedIn means Deloitte can position itself as "the AI transformation partner" not just "the development firm." When a client asks, "How do we implement AI at scale?" Deloitte has a proprietary answer. Elad/Matrix offer custom development—more expensive, longer timeline, higher risk.</w:t>
      </w:r>
    </w:p>
    <w:p>
      <w:pPr>
        <w:spacing w:line="360" w:after="210" w:lineRule="auto"/>
      </w:pPr>
      <w:r>
        <w:rPr>
          <w:rFonts w:eastAsia="inter" w:cs="inter" w:ascii="inter" w:hAnsi="inter"/>
          <w:b/>
          <w:color w:val="000000"/>
        </w:rPr>
        <w:t xml:space="preserve">Vector 3: Startup Ecosystem Leverage</w:t>
      </w:r>
      <w:r>
        <w:rPr>
          <w:rFonts w:eastAsia="inter" w:cs="inter" w:ascii="inter" w:hAnsi="inter"/>
          <w:color w:val="000000"/>
        </w:rPr>
        <w:br w:type="textWrapping"/>
      </w:r>
      <w:r>
        <w:rPr>
          <w:rFonts w:eastAsia="inter" w:cs="inter" w:ascii="inter" w:hAnsi="inter"/>
          <w:color w:val="000000"/>
        </w:rPr>
        <w:t xml:space="preserve">Deloitte can identify emerging Israeli startup technology (cybersecurity, fintech, HR tech, supply chain, etc.), integrate it into client engagements, and monetize across multiple vectors. Elad/Matrix are blocked out of this—they lack the startup relationships and the global enterprise distribution.</w:t>
      </w:r>
    </w:p>
    <w:p>
      <w:pPr>
        <w:spacing w:line="360" w:after="210" w:lineRule="auto"/>
      </w:pPr>
      <w:r>
        <w:rPr>
          <w:rFonts w:eastAsia="inter" w:cs="inter" w:ascii="inter" w:hAnsi="inter"/>
          <w:b/>
          <w:color w:val="000000"/>
        </w:rPr>
        <w:t xml:space="preserve">Vector 4: Government &amp; Defense</w:t>
      </w:r>
      <w:r>
        <w:rPr>
          <w:rFonts w:eastAsia="inter" w:cs="inter" w:ascii="inter" w:hAnsi="inter"/>
          <w:color w:val="000000"/>
        </w:rPr>
        <w:br w:type="textWrapping"/>
      </w:r>
      <w:r>
        <w:rPr>
          <w:rFonts w:eastAsia="inter" w:cs="inter" w:ascii="inter" w:hAnsi="inter"/>
          <w:color w:val="000000"/>
        </w:rPr>
        <w:t xml:space="preserve">While Matrix won Nimbus Layer 5, Deloitte has advisory influence, infrastructure (S2S), and integration services that position them to grow across government digital transformation. The Nimbus project is not a one-time event—it is a multi-year, multi-ministry transformation. Deloitte is positioned to grow share over time.</w:t>
      </w:r>
    </w:p>
    <w:p>
      <w:pPr>
        <w:spacing w:line="360" w:before="315" w:after="105" w:lineRule="auto"/>
        <w:ind w:left="-30"/>
        <w:jc w:val="left"/>
      </w:pPr>
      <w:bookmarkStart w:id="42" w:name="why_deloitte_is_more_threatening_8a2fa0"/>
      <w:r>
        <w:rPr>
          <w:rFonts w:eastAsia="inter" w:cs="inter" w:ascii="inter" w:hAnsi="inter"/>
          <w:b/>
          <w:color w:val="000000"/>
          <w:sz w:val="24"/>
        </w:rPr>
        <w:t xml:space="preserve">Why Deloitte Is More Threatening Than Accenture</w:t>
      </w:r>
      <w:bookmarkEnd w:id="42"/>
    </w:p>
    <w:p>
      <w:pPr>
        <w:spacing w:line="360" w:after="210" w:lineRule="auto"/>
      </w:pPr>
      <w:r>
        <w:rPr>
          <w:rFonts w:eastAsia="inter" w:cs="inter" w:ascii="inter" w:hAnsi="inter"/>
          <w:b/>
          <w:color w:val="000000"/>
        </w:rPr>
        <w:t xml:space="preserve">Accenture's Approach</w:t>
      </w:r>
      <w:r>
        <w:rPr>
          <w:rFonts w:eastAsia="inter" w:cs="inter" w:ascii="inter" w:hAnsi="inter"/>
          <w:color w:val="000000"/>
        </w:rPr>
        <w:t xml:space="preserve">:</w:t>
      </w:r>
    </w:p>
    <w:p>
      <w:pPr>
        <w:numPr>
          <w:ilvl w:val="0"/>
          <w:numId w:val="19"/>
        </w:numPr>
        <w:spacing w:line="360" w:before="105" w:after="105" w:lineRule="auto"/>
      </w:pPr>
      <w:r>
        <w:rPr>
          <w:rFonts w:eastAsia="inter" w:cs="inter" w:ascii="inter" w:hAnsi="inter"/>
          <w:color w:val="000000"/>
          <w:sz w:val="21"/>
        </w:rPr>
        <w:t xml:space="preserve">Global consulting firm with broad industry expertise</w:t>
      </w:r>
    </w:p>
    <w:p>
      <w:pPr>
        <w:numPr>
          <w:ilvl w:val="0"/>
          <w:numId w:val="19"/>
        </w:numPr>
        <w:spacing w:line="360" w:before="105" w:after="105" w:lineRule="auto"/>
      </w:pPr>
      <w:r>
        <w:rPr>
          <w:rFonts w:eastAsia="inter" w:cs="inter" w:ascii="inter" w:hAnsi="inter"/>
          <w:color w:val="000000"/>
          <w:sz w:val="21"/>
        </w:rPr>
        <w:t xml:space="preserve">Acquired boutiques for specialization (APG, DDIM, etc.)</w:t>
      </w:r>
    </w:p>
    <w:p>
      <w:pPr>
        <w:numPr>
          <w:ilvl w:val="0"/>
          <w:numId w:val="19"/>
        </w:numPr>
        <w:spacing w:line="360" w:before="105" w:after="105" w:lineRule="auto"/>
      </w:pPr>
      <w:r>
        <w:rPr>
          <w:rFonts w:eastAsia="inter" w:cs="inter" w:ascii="inter" w:hAnsi="inter"/>
          <w:color w:val="000000"/>
          <w:sz w:val="21"/>
        </w:rPr>
        <w:t xml:space="preserve">Launched AI Refinery for data/analytics transformation</w:t>
      </w:r>
    </w:p>
    <w:p>
      <w:pPr>
        <w:numPr>
          <w:ilvl w:val="0"/>
          <w:numId w:val="19"/>
        </w:numPr>
        <w:spacing w:line="360" w:before="105" w:after="105" w:lineRule="auto"/>
      </w:pPr>
      <w:r>
        <w:rPr>
          <w:rFonts w:eastAsia="inter" w:cs="inter" w:ascii="inter" w:hAnsi="inter"/>
          <w:color w:val="000000"/>
          <w:sz w:val="21"/>
        </w:rPr>
        <w:t xml:space="preserve">Large, but generalist—not deeply focused on Israeli market</w:t>
      </w:r>
    </w:p>
    <w:p>
      <w:pPr>
        <w:spacing w:line="360" w:after="210" w:lineRule="auto"/>
      </w:pPr>
      <w:r>
        <w:rPr>
          <w:rFonts w:eastAsia="inter" w:cs="inter" w:ascii="inter" w:hAnsi="inter"/>
          <w:b/>
          <w:color w:val="000000"/>
        </w:rPr>
        <w:t xml:space="preserve">Deloitte's Approach</w:t>
      </w:r>
      <w:r>
        <w:rPr>
          <w:rFonts w:eastAsia="inter" w:cs="inter" w:ascii="inter" w:hAnsi="inter"/>
          <w:color w:val="000000"/>
        </w:rPr>
        <w:t xml:space="preserve">:</w:t>
      </w:r>
    </w:p>
    <w:p>
      <w:pPr>
        <w:numPr>
          <w:ilvl w:val="0"/>
          <w:numId w:val="20"/>
        </w:numPr>
        <w:spacing w:line="360" w:before="105" w:after="105" w:lineRule="auto"/>
      </w:pPr>
      <w:r>
        <w:rPr>
          <w:rFonts w:eastAsia="inter" w:cs="inter" w:ascii="inter" w:hAnsi="inter"/>
          <w:color w:val="000000"/>
          <w:sz w:val="21"/>
        </w:rPr>
        <w:t xml:space="preserve">Executing the same playbook as Accenture...</w:t>
      </w:r>
    </w:p>
    <w:p>
      <w:pPr>
        <w:numPr>
          <w:ilvl w:val="0"/>
          <w:numId w:val="20"/>
        </w:numPr>
        <w:spacing w:line="360" w:before="105" w:after="105" w:lineRule="auto"/>
      </w:pPr>
      <w:r>
        <w:rPr>
          <w:rFonts w:eastAsia="inter" w:cs="inter" w:ascii="inter" w:hAnsi="inter"/>
          <w:color w:val="000000"/>
          <w:sz w:val="21"/>
        </w:rPr>
        <w:t xml:space="preserve">...but WITH direct execution capacity (HashedIn, OpTeamizer)</w:t>
      </w:r>
    </w:p>
    <w:p>
      <w:pPr>
        <w:numPr>
          <w:ilvl w:val="0"/>
          <w:numId w:val="20"/>
        </w:numPr>
        <w:spacing w:line="360" w:before="105" w:after="105" w:lineRule="auto"/>
      </w:pPr>
      <w:r>
        <w:rPr>
          <w:rFonts w:eastAsia="inter" w:cs="inter" w:ascii="inter" w:hAnsi="inter"/>
          <w:color w:val="000000"/>
          <w:sz w:val="21"/>
        </w:rPr>
        <w:t xml:space="preserve">...AND proprietary agentic AI platform (Zora AI)</w:t>
      </w:r>
    </w:p>
    <w:p>
      <w:pPr>
        <w:numPr>
          <w:ilvl w:val="0"/>
          <w:numId w:val="20"/>
        </w:numPr>
        <w:spacing w:line="360" w:before="105" w:after="105" w:lineRule="auto"/>
      </w:pPr>
      <w:r>
        <w:rPr>
          <w:rFonts w:eastAsia="inter" w:cs="inter" w:ascii="inter" w:hAnsi="inter"/>
          <w:color w:val="000000"/>
          <w:sz w:val="21"/>
        </w:rPr>
        <w:t xml:space="preserve">...AND deep Israeli startup ecosystem integration (Catalyst/Launchpad)</w:t>
      </w:r>
    </w:p>
    <w:p>
      <w:pPr>
        <w:numPr>
          <w:ilvl w:val="0"/>
          <w:numId w:val="20"/>
        </w:numPr>
        <w:spacing w:line="360" w:before="105" w:after="105" w:lineRule="auto"/>
      </w:pPr>
      <w:r>
        <w:rPr>
          <w:rFonts w:eastAsia="inter" w:cs="inter" w:ascii="inter" w:hAnsi="inter"/>
          <w:color w:val="000000"/>
          <w:sz w:val="21"/>
        </w:rPr>
        <w:t xml:space="preserve">...AND Israeli-based leadership (Argov, Laron) embedded in local ecosystem</w:t>
      </w:r>
    </w:p>
    <w:p>
      <w:pPr>
        <w:spacing w:line="360" w:after="210" w:lineRule="auto"/>
      </w:pPr>
      <w:r>
        <w:rPr>
          <w:rFonts w:eastAsia="inter" w:cs="inter" w:ascii="inter" w:hAnsi="inter"/>
          <w:b/>
          <w:color w:val="000000"/>
        </w:rPr>
        <w:t xml:space="preserve">The Asymmetry</w:t>
      </w:r>
      <w:r>
        <w:rPr>
          <w:rFonts w:eastAsia="inter" w:cs="inter" w:ascii="inter" w:hAnsi="inter"/>
          <w:color w:val="000000"/>
        </w:rPr>
        <w:t xml:space="preserve">: Accenture is a global competitor with strong consulting. Deloitte is a global competitor WITH consulting + execution + innovation pipeline + local rootedness.</w:t>
      </w:r>
    </w:p>
    <w:p>
      <w:pPr>
        <w:spacing w:line="360" w:after="210" w:lineRule="auto"/>
      </w:pPr>
      <w:r>
        <w:rPr>
          <w:rFonts w:eastAsia="inter" w:cs="inter" w:ascii="inter" w:hAnsi="inter"/>
          <w:color w:val="000000"/>
        </w:rPr>
        <w:t xml:space="preserve">For Elad/Matrix, the threat profile is:</w:t>
      </w:r>
    </w:p>
    <w:p>
      <w:pPr>
        <w:numPr>
          <w:ilvl w:val="0"/>
          <w:numId w:val="21"/>
        </w:numPr>
        <w:spacing w:line="360" w:before="105" w:after="105" w:lineRule="auto"/>
      </w:pPr>
      <w:r>
        <w:rPr>
          <w:rFonts w:eastAsia="inter" w:cs="inter" w:ascii="inter" w:hAnsi="inter"/>
          <w:color w:val="000000"/>
          <w:sz w:val="21"/>
        </w:rPr>
        <w:t xml:space="preserve">Accenture: A large consulting firm that might acquire them or compete on strategy</w:t>
      </w:r>
    </w:p>
    <w:p>
      <w:pPr>
        <w:numPr>
          <w:ilvl w:val="0"/>
          <w:numId w:val="21"/>
        </w:numPr>
        <w:spacing w:line="360" w:before="105" w:after="105" w:lineRule="auto"/>
      </w:pPr>
      <w:r>
        <w:rPr>
          <w:rFonts w:eastAsia="inter" w:cs="inter" w:ascii="inter" w:hAnsi="inter"/>
          <w:color w:val="000000"/>
          <w:sz w:val="21"/>
        </w:rPr>
        <w:t xml:space="preserve">Deloitte: A large consulting firm that has already acquired execution capacity (HashedIn), built an AI platform (Zora), and is actively competing for their core business (software delivery, systems integration, enterprise transformation)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bm_7_conclusion_the_strategic_threat"/>
      <w:r>
        <w:rPr>
          <w:rFonts w:eastAsia="inter" w:cs="inter" w:ascii="inter" w:hAnsi="inter"/>
          <w:b/>
          <w:color w:val="000000"/>
          <w:sz w:val="24"/>
        </w:rPr>
        <w:t xml:space="preserve">7. CONCLUSION: THE STRATEGIC THREAT</w:t>
      </w:r>
      <w:bookmarkEnd w:id="43"/>
    </w:p>
    <w:p>
      <w:pPr>
        <w:spacing w:line="360" w:before="315" w:after="105" w:lineRule="auto"/>
        <w:ind w:left="-30"/>
        <w:jc w:val="left"/>
      </w:pPr>
      <w:bookmarkStart w:id="44" w:name="what_deloitte_has_built"/>
      <w:r>
        <w:rPr>
          <w:rFonts w:eastAsia="inter" w:cs="inter" w:ascii="inter" w:hAnsi="inter"/>
          <w:b/>
          <w:color w:val="000000"/>
          <w:sz w:val="24"/>
        </w:rPr>
        <w:t xml:space="preserve">What Deloitte Has Built</w:t>
      </w:r>
      <w:bookmarkEnd w:id="44"/>
    </w:p>
    <w:p>
      <w:pPr>
        <w:numPr>
          <w:ilvl w:val="0"/>
          <w:numId w:val="22"/>
        </w:numPr>
        <w:spacing w:line="360" w:after="210" w:lineRule="auto"/>
      </w:pPr>
      <w:r>
        <w:rPr>
          <w:rFonts w:eastAsia="inter" w:cs="inter" w:ascii="inter" w:hAnsi="inter"/>
          <w:b/>
          <w:color w:val="000000"/>
          <w:sz w:val="21"/>
        </w:rPr>
        <w:t xml:space="preserve">Execution Engine</w:t>
      </w:r>
      <w:r>
        <w:rPr>
          <w:rFonts w:eastAsia="inter" w:cs="inter" w:ascii="inter" w:hAnsi="inter"/>
          <w:color w:val="000000"/>
          <w:sz w:val="21"/>
        </w:rPr>
        <w:t xml:space="preserve">: Acquisitions of HashedIn (700+ engineers), OpTeamizer (NVIDIA AI specialists), and Awesome (creative services) transformed Deloitte from consulting-led to full-stack transformation provider.</w:t>
      </w:r>
    </w:p>
    <w:p>
      <w:pPr>
        <w:numPr>
          <w:ilvl w:val="0"/>
          <w:numId w:val="22"/>
        </w:numPr>
        <w:spacing w:line="360" w:after="210" w:lineRule="auto"/>
      </w:pPr>
      <w:r>
        <w:rPr>
          <w:rFonts w:eastAsia="inter" w:cs="inter" w:ascii="inter" w:hAnsi="inter"/>
          <w:b/>
          <w:color w:val="000000"/>
          <w:sz w:val="21"/>
        </w:rPr>
        <w:t xml:space="preserve">Proprietary AI Platform</w:t>
      </w:r>
      <w:r>
        <w:rPr>
          <w:rFonts w:eastAsia="inter" w:cs="inter" w:ascii="inter" w:hAnsi="inter"/>
          <w:color w:val="000000"/>
          <w:sz w:val="21"/>
        </w:rPr>
        <w:t xml:space="preserve">: Zora AI is production-ready agentic AI with superior reasoning capabilities, pre-built domain agents, and proven internal ROI (25-40% productivity gains).</w:t>
      </w:r>
    </w:p>
    <w:p>
      <w:pPr>
        <w:numPr>
          <w:ilvl w:val="0"/>
          <w:numId w:val="22"/>
        </w:numPr>
        <w:spacing w:line="360" w:after="210" w:lineRule="auto"/>
      </w:pPr>
      <w:r>
        <w:rPr>
          <w:rFonts w:eastAsia="inter" w:cs="inter" w:ascii="inter" w:hAnsi="inter"/>
          <w:b/>
          <w:color w:val="000000"/>
          <w:sz w:val="21"/>
        </w:rPr>
        <w:t xml:space="preserve">Innovation Pipeline</w:t>
      </w:r>
      <w:r>
        <w:rPr>
          <w:rFonts w:eastAsia="inter" w:cs="inter" w:ascii="inter" w:hAnsi="inter"/>
          <w:color w:val="000000"/>
          <w:sz w:val="21"/>
        </w:rPr>
        <w:t xml:space="preserve">: Catalyst and Launchpad connect Deloitte to 74+ Israeli startups and $1.6B in collective funding, creating a continuous flow of emerging technology to integrate into client engagements.</w:t>
      </w:r>
    </w:p>
    <w:p>
      <w:pPr>
        <w:numPr>
          <w:ilvl w:val="0"/>
          <w:numId w:val="22"/>
        </w:numPr>
        <w:spacing w:line="360" w:after="210" w:lineRule="auto"/>
      </w:pPr>
      <w:r>
        <w:rPr>
          <w:rFonts w:eastAsia="inter" w:cs="inter" w:ascii="inter" w:hAnsi="inter"/>
          <w:b/>
          <w:color w:val="000000"/>
          <w:sz w:val="21"/>
        </w:rPr>
        <w:t xml:space="preserve">Market Positioning</w:t>
      </w:r>
      <w:r>
        <w:rPr>
          <w:rFonts w:eastAsia="inter" w:cs="inter" w:ascii="inter" w:hAnsi="inter"/>
          <w:color w:val="000000"/>
          <w:sz w:val="21"/>
        </w:rPr>
        <w:t xml:space="preserve">: "Age of With™" messaging positions Deloitte not as a developer or IT integrator, but as the business transformation partner that happens to have proprietary technology and global scale.</w:t>
      </w:r>
    </w:p>
    <w:p>
      <w:pPr>
        <w:numPr>
          <w:ilvl w:val="0"/>
          <w:numId w:val="22"/>
        </w:numPr>
        <w:spacing w:line="360" w:after="210" w:lineRule="auto"/>
      </w:pPr>
      <w:r>
        <w:rPr>
          <w:rFonts w:eastAsia="inter" w:cs="inter" w:ascii="inter" w:hAnsi="inter"/>
          <w:b/>
          <w:color w:val="000000"/>
          <w:sz w:val="21"/>
        </w:rPr>
        <w:t xml:space="preserve">Government Strategy</w:t>
      </w:r>
      <w:r>
        <w:rPr>
          <w:rFonts w:eastAsia="inter" w:cs="inter" w:ascii="inter" w:hAnsi="inter"/>
          <w:color w:val="000000"/>
          <w:sz w:val="21"/>
        </w:rPr>
        <w:t xml:space="preserve">: Advisory role on Nimbus transformation, S2S infrastructure for government/regulated industries, and integration services around SAP BTP and emerging GovTech.</w:t>
      </w:r>
    </w:p>
    <w:p>
      <w:pPr>
        <w:spacing w:line="360" w:before="315" w:after="105" w:lineRule="auto"/>
        <w:ind w:left="-30"/>
        <w:jc w:val="left"/>
      </w:pPr>
      <w:bookmarkStart w:id="45" w:name="why_this_is_a_bigger_threat_than_d756aa"/>
      <w:r>
        <w:rPr>
          <w:rFonts w:eastAsia="inter" w:cs="inter" w:ascii="inter" w:hAnsi="inter"/>
          <w:b/>
          <w:color w:val="000000"/>
          <w:sz w:val="24"/>
        </w:rPr>
        <w:t xml:space="preserve">Why This Is a Bigger Threat Than Accenture</w:t>
      </w:r>
      <w:bookmarkEnd w:id="45"/>
    </w:p>
    <w:p>
      <w:pPr>
        <w:numPr>
          <w:ilvl w:val="0"/>
          <w:numId w:val="23"/>
        </w:numPr>
        <w:spacing w:line="360" w:before="105" w:after="105" w:lineRule="auto"/>
      </w:pPr>
      <w:r>
        <w:rPr>
          <w:rFonts w:eastAsia="inter" w:cs="inter" w:ascii="inter" w:hAnsi="inter"/>
          <w:b/>
          <w:color w:val="000000"/>
          <w:sz w:val="21"/>
        </w:rPr>
        <w:t xml:space="preserve">Execution Depth</w:t>
      </w:r>
      <w:r>
        <w:rPr>
          <w:rFonts w:eastAsia="inter" w:cs="inter" w:ascii="inter" w:hAnsi="inter"/>
          <w:color w:val="000000"/>
          <w:sz w:val="21"/>
        </w:rPr>
        <w:t xml:space="preserve">: Deloitte owns delivery (HashedIn, OpTeamizer), not just consulting</w:t>
      </w:r>
    </w:p>
    <w:p>
      <w:pPr>
        <w:numPr>
          <w:ilvl w:val="0"/>
          <w:numId w:val="23"/>
        </w:numPr>
        <w:spacing w:line="360" w:before="105" w:after="105" w:lineRule="auto"/>
      </w:pPr>
      <w:r>
        <w:rPr>
          <w:rFonts w:eastAsia="inter" w:cs="inter" w:ascii="inter" w:hAnsi="inter"/>
          <w:b/>
          <w:color w:val="000000"/>
          <w:sz w:val="21"/>
        </w:rPr>
        <w:t xml:space="preserve">Startup Leverage</w:t>
      </w:r>
      <w:r>
        <w:rPr>
          <w:rFonts w:eastAsia="inter" w:cs="inter" w:ascii="inter" w:hAnsi="inter"/>
          <w:color w:val="000000"/>
          <w:sz w:val="21"/>
        </w:rPr>
        <w:t xml:space="preserve">: Direct access to Israeli innovation and ability to integrate it into client engagements</w:t>
      </w:r>
    </w:p>
    <w:p>
      <w:pPr>
        <w:numPr>
          <w:ilvl w:val="0"/>
          <w:numId w:val="23"/>
        </w:numPr>
        <w:spacing w:line="360" w:before="105" w:after="105" w:lineRule="auto"/>
      </w:pPr>
      <w:r>
        <w:rPr>
          <w:rFonts w:eastAsia="inter" w:cs="inter" w:ascii="inter" w:hAnsi="inter"/>
          <w:b/>
          <w:color w:val="000000"/>
          <w:sz w:val="21"/>
        </w:rPr>
        <w:t xml:space="preserve">Platform Differentiation</w:t>
      </w:r>
      <w:r>
        <w:rPr>
          <w:rFonts w:eastAsia="inter" w:cs="inter" w:ascii="inter" w:hAnsi="inter"/>
          <w:color w:val="000000"/>
          <w:sz w:val="21"/>
        </w:rPr>
        <w:t xml:space="preserve">: Zora AI with reasoning is ahead of competitors in agentic AI capabilities</w:t>
      </w:r>
    </w:p>
    <w:p>
      <w:pPr>
        <w:numPr>
          <w:ilvl w:val="0"/>
          <w:numId w:val="23"/>
        </w:numPr>
        <w:spacing w:line="360" w:before="105" w:after="105" w:lineRule="auto"/>
      </w:pPr>
      <w:r>
        <w:rPr>
          <w:rFonts w:eastAsia="inter" w:cs="inter" w:ascii="inter" w:hAnsi="inter"/>
          <w:b/>
          <w:color w:val="000000"/>
          <w:sz w:val="21"/>
        </w:rPr>
        <w:t xml:space="preserve">Local Embeddedness</w:t>
      </w:r>
      <w:r>
        <w:rPr>
          <w:rFonts w:eastAsia="inter" w:cs="inter" w:ascii="inter" w:hAnsi="inter"/>
          <w:color w:val="000000"/>
          <w:sz w:val="21"/>
        </w:rPr>
        <w:t xml:space="preserve">: Argov, Laron, and Israeli team embedded in local ecosystem, not remote executives</w:t>
      </w:r>
    </w:p>
    <w:p>
      <w:pPr>
        <w:spacing w:line="360" w:before="315" w:after="105" w:lineRule="auto"/>
        <w:ind w:left="-30"/>
        <w:jc w:val="left"/>
      </w:pPr>
      <w:bookmarkStart w:id="46" w:name="the_competitive_trap_for_elad_matrix"/>
      <w:r>
        <w:rPr>
          <w:rFonts w:eastAsia="inter" w:cs="inter" w:ascii="inter" w:hAnsi="inter"/>
          <w:b/>
          <w:color w:val="000000"/>
          <w:sz w:val="24"/>
        </w:rPr>
        <w:t xml:space="preserve">The Competitive Trap for Elad/Matrix</w:t>
      </w:r>
      <w:bookmarkEnd w:id="46"/>
    </w:p>
    <w:p>
      <w:pPr>
        <w:spacing w:line="360" w:after="210" w:lineRule="auto"/>
      </w:pPr>
      <w:r>
        <w:rPr>
          <w:rFonts w:eastAsia="inter" w:cs="inter" w:ascii="inter" w:hAnsi="inter"/>
          <w:color w:val="000000"/>
        </w:rPr>
        <w:t xml:space="preserve">Elad and Matrix are excellent at execution—building systems, integrating platforms, managing complex projects. But they are increasingly out-strategized:</w:t>
      </w:r>
    </w:p>
    <w:p>
      <w:pPr>
        <w:numPr>
          <w:ilvl w:val="0"/>
          <w:numId w:val="24"/>
        </w:numPr>
        <w:spacing w:line="360" w:before="105" w:after="105" w:lineRule="auto"/>
      </w:pPr>
      <w:r>
        <w:rPr>
          <w:rFonts w:eastAsia="inter" w:cs="inter" w:ascii="inter" w:hAnsi="inter"/>
          <w:b/>
          <w:color w:val="000000"/>
          <w:sz w:val="21"/>
        </w:rPr>
        <w:t xml:space="preserve">Consulting Positioning</w:t>
      </w:r>
      <w:r>
        <w:rPr>
          <w:rFonts w:eastAsia="inter" w:cs="inter" w:ascii="inter" w:hAnsi="inter"/>
          <w:color w:val="000000"/>
          <w:sz w:val="21"/>
        </w:rPr>
        <w:t xml:space="preserve">: Deloitte frames itself as the business transformation partner. Elad/Matrix are positioned as technical executors—less strategic, lower perceived value, lower margins.</w:t>
      </w:r>
    </w:p>
    <w:p>
      <w:pPr>
        <w:numPr>
          <w:ilvl w:val="0"/>
          <w:numId w:val="24"/>
        </w:numPr>
        <w:spacing w:line="360" w:before="105" w:after="105" w:lineRule="auto"/>
      </w:pPr>
      <w:r>
        <w:rPr>
          <w:rFonts w:eastAsia="inter" w:cs="inter" w:ascii="inter" w:hAnsi="inter"/>
          <w:b/>
          <w:color w:val="000000"/>
          <w:sz w:val="21"/>
        </w:rPr>
        <w:t xml:space="preserve">Platform Play</w:t>
      </w:r>
      <w:r>
        <w:rPr>
          <w:rFonts w:eastAsia="inter" w:cs="inter" w:ascii="inter" w:hAnsi="inter"/>
          <w:color w:val="000000"/>
          <w:sz w:val="21"/>
        </w:rPr>
        <w:t xml:space="preserve">: Deloitte has proprietary IP (Zora AI, S2S, Catalyst ecosystem) that is difficult to copy. Elad/Matrix compete on labor + experience—commoditizing factors.</w:t>
      </w:r>
    </w:p>
    <w:p>
      <w:pPr>
        <w:numPr>
          <w:ilvl w:val="0"/>
          <w:numId w:val="24"/>
        </w:numPr>
        <w:spacing w:line="360" w:before="105" w:after="105" w:lineRule="auto"/>
      </w:pPr>
      <w:r>
        <w:rPr>
          <w:rFonts w:eastAsia="inter" w:cs="inter" w:ascii="inter" w:hAnsi="inter"/>
          <w:b/>
          <w:color w:val="000000"/>
          <w:sz w:val="21"/>
        </w:rPr>
        <w:t xml:space="preserve">Global Scale</w:t>
      </w:r>
      <w:r>
        <w:rPr>
          <w:rFonts w:eastAsia="inter" w:cs="inter" w:ascii="inter" w:hAnsi="inter"/>
          <w:color w:val="000000"/>
          <w:sz w:val="21"/>
        </w:rPr>
        <w:t xml:space="preserve">: Deloitte can cross-sell Israeli solutions globally and bring global solutions to Israeli clients. Elad/Matrix are regional players with limited distribution.</w:t>
      </w:r>
    </w:p>
    <w:p>
      <w:pPr>
        <w:numPr>
          <w:ilvl w:val="0"/>
          <w:numId w:val="24"/>
        </w:numPr>
        <w:spacing w:line="360" w:before="105" w:after="105" w:lineRule="auto"/>
      </w:pPr>
      <w:r>
        <w:rPr>
          <w:rFonts w:eastAsia="inter" w:cs="inter" w:ascii="inter" w:hAnsi="inter"/>
          <w:b/>
          <w:color w:val="000000"/>
          <w:sz w:val="21"/>
        </w:rPr>
        <w:t xml:space="preserve">Startup Arbitrage</w:t>
      </w:r>
      <w:r>
        <w:rPr>
          <w:rFonts w:eastAsia="inter" w:cs="inter" w:ascii="inter" w:hAnsi="inter"/>
          <w:color w:val="000000"/>
          <w:sz w:val="21"/>
        </w:rPr>
        <w:t xml:space="preserve">: Deloitte captures alpha from Israeli innovation and distributes it globally. Elad/Matrix see startups as competitors.</w:t>
      </w:r>
    </w:p>
    <w:p>
      <w:pPr>
        <w:spacing w:line="360" w:before="315" w:after="105" w:lineRule="auto"/>
        <w:ind w:left="-30"/>
        <w:jc w:val="left"/>
      </w:pPr>
      <w:bookmarkStart w:id="47" w:name="immediate_actions_to_monitor"/>
      <w:r>
        <w:rPr>
          <w:rFonts w:eastAsia="inter" w:cs="inter" w:ascii="inter" w:hAnsi="inter"/>
          <w:b/>
          <w:color w:val="000000"/>
          <w:sz w:val="24"/>
        </w:rPr>
        <w:t xml:space="preserve">Immediate Actions to Monitor</w:t>
      </w:r>
      <w:bookmarkEnd w:id="47"/>
    </w:p>
    <w:p>
      <w:pPr>
        <w:numPr>
          <w:ilvl w:val="0"/>
          <w:numId w:val="25"/>
        </w:numPr>
        <w:spacing w:line="360" w:before="105" w:after="105" w:lineRule="auto"/>
      </w:pPr>
      <w:r>
        <w:rPr>
          <w:rFonts w:eastAsia="inter" w:cs="inter" w:ascii="inter" w:hAnsi="inter"/>
          <w:b/>
          <w:color w:val="000000"/>
          <w:sz w:val="21"/>
        </w:rPr>
        <w:t xml:space="preserve">Q1-Q2 2025</w:t>
      </w:r>
      <w:r>
        <w:rPr>
          <w:rFonts w:eastAsia="inter" w:cs="inter" w:ascii="inter" w:hAnsi="inter"/>
          <w:color w:val="000000"/>
          <w:sz w:val="21"/>
        </w:rPr>
        <w:t xml:space="preserve">: Deloitte Israel hiring and team expansion for Zora AI implementation</w:t>
      </w:r>
    </w:p>
    <w:p>
      <w:pPr>
        <w:numPr>
          <w:ilvl w:val="0"/>
          <w:numId w:val="25"/>
        </w:numPr>
        <w:spacing w:line="360" w:before="105" w:after="105" w:lineRule="auto"/>
      </w:pPr>
      <w:r>
        <w:rPr>
          <w:rFonts w:eastAsia="inter" w:cs="inter" w:ascii="inter" w:hAnsi="inter"/>
          <w:b/>
          <w:color w:val="000000"/>
          <w:sz w:val="21"/>
        </w:rPr>
        <w:t xml:space="preserve">Q2-Q3 2025</w:t>
      </w:r>
      <w:r>
        <w:rPr>
          <w:rFonts w:eastAsia="inter" w:cs="inter" w:ascii="inter" w:hAnsi="inter"/>
          <w:color w:val="000000"/>
          <w:sz w:val="21"/>
        </w:rPr>
        <w:t xml:space="preserve">: First major Zora AI client engagements announced (likely in finance, healthcare, or supply chain)</w:t>
      </w:r>
    </w:p>
    <w:p>
      <w:pPr>
        <w:numPr>
          <w:ilvl w:val="0"/>
          <w:numId w:val="25"/>
        </w:numPr>
        <w:spacing w:line="360" w:before="105" w:after="105" w:lineRule="auto"/>
      </w:pPr>
      <w:r>
        <w:rPr>
          <w:rFonts w:eastAsia="inter" w:cs="inter" w:ascii="inter" w:hAnsi="inter"/>
          <w:b/>
          <w:color w:val="000000"/>
          <w:sz w:val="21"/>
        </w:rPr>
        <w:t xml:space="preserve">Q3-Q4 2025</w:t>
      </w:r>
      <w:r>
        <w:rPr>
          <w:rFonts w:eastAsia="inter" w:cs="inter" w:ascii="inter" w:hAnsi="inter"/>
          <w:color w:val="000000"/>
          <w:sz w:val="21"/>
        </w:rPr>
        <w:t xml:space="preserve">: Catalyst/Launchpad integration into enterprise client engagements (startup technology adoption)</w:t>
      </w:r>
    </w:p>
    <w:p>
      <w:pPr>
        <w:numPr>
          <w:ilvl w:val="0"/>
          <w:numId w:val="25"/>
        </w:numPr>
        <w:spacing w:line="360" w:before="105" w:after="105" w:lineRule="auto"/>
      </w:pPr>
      <w:r>
        <w:rPr>
          <w:rFonts w:eastAsia="inter" w:cs="inter" w:ascii="inter" w:hAnsi="inter"/>
          <w:b/>
          <w:color w:val="000000"/>
          <w:sz w:val="21"/>
        </w:rPr>
        <w:t xml:space="preserve">Q1 2026</w:t>
      </w:r>
      <w:r>
        <w:rPr>
          <w:rFonts w:eastAsia="inter" w:cs="inter" w:ascii="inter" w:hAnsi="inter"/>
          <w:color w:val="000000"/>
          <w:sz w:val="21"/>
        </w:rPr>
        <w:t xml:space="preserve">: Government work expansion—S2S infrastructure deployment or Zora AI pilot with public sector</w:t>
      </w:r>
    </w:p>
    <w:p>
      <w:pPr>
        <w:spacing w:line="360" w:before="315" w:after="105" w:lineRule="auto"/>
        <w:ind w:left="-30"/>
        <w:jc w:val="left"/>
      </w:pPr>
      <w:bookmarkStart w:id="48" w:name="bottom_line"/>
      <w:r>
        <w:rPr>
          <w:rFonts w:eastAsia="inter" w:cs="inter" w:ascii="inter" w:hAnsi="inter"/>
          <w:b/>
          <w:color w:val="000000"/>
          <w:sz w:val="24"/>
        </w:rPr>
        <w:t xml:space="preserve">Bottom Line</w:t>
      </w:r>
      <w:bookmarkEnd w:id="48"/>
    </w:p>
    <w:p>
      <w:pPr>
        <w:spacing w:line="360" w:after="210" w:lineRule="auto"/>
      </w:pPr>
      <w:r>
        <w:rPr>
          <w:rFonts w:eastAsia="inter" w:cs="inter" w:ascii="inter" w:hAnsi="inter"/>
          <w:color w:val="000000"/>
        </w:rPr>
        <w:t xml:space="preserve">Deloitte Israel is not a theoretical competitor or a distant advisory boutique. It is a direct execution competitor with proprietary technology (Zora AI), deep delivery capacity (HashedIn + OpTeamizer), startup ecosystem integration (Catalyst/Launchpad), and strategic positioning that makes it the primary threat to Elad and Matrix for enterprise transformation projects in 2025 and beyond.</w:t>
      </w:r>
    </w:p>
    <w:p>
      <w:pPr>
        <w:spacing w:line="360" w:after="210" w:lineRule="auto"/>
      </w:pPr>
      <w:r>
        <w:rPr>
          <w:rFonts w:eastAsia="inter" w:cs="inter" w:ascii="inter" w:hAnsi="inter"/>
          <w:color w:val="000000"/>
        </w:rPr>
        <w:t xml:space="preserve">The "big threat" to Israeli IT services firms is not Accenture or other global consulting firms—it is Deloitte, which has built execution capability, platforms, and ecosystem integration in Israel while maintaining global reach and scale.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9" w:name="references"/>
      <w:r>
        <w:rPr>
          <w:rFonts w:eastAsia="inter" w:cs="inter" w:ascii="inter" w:hAnsi="inter"/>
          <w:b/>
          <w:color w:val="000000"/>
          <w:sz w:val="24"/>
        </w:rPr>
        <w:t xml:space="preserve">References</w:t>
      </w:r>
      <w:bookmarkEnd w:id="49"/>
    </w:p>
    <w:p>
      <w:pPr>
        <w:numPr>
          <w:ilvl w:val="0"/>
          <w:numId w:val="26"/>
        </w:numPr>
        <w:spacing w:line="360" w:before="105" w:after="105" w:lineRule="auto"/>
      </w:pPr>
      <w:r>
        <w:rPr>
          <w:rFonts w:eastAsia="inter" w:cs="inter" w:ascii="inter" w:hAnsi="inter"/>
          <w:color w:val="000000"/>
          <w:sz w:val="21"/>
        </w:rPr>
        <w:t xml:space="preserve">Deloitte Systems Delivery &amp; Modernization; - Deloitte Finland Systems Delivery</w:t>
      </w:r>
      <w:bookmarkStart w:id="50" w:name="fnref1_1"/>
      <w:bookmarkEnd w:id="50"/>
      <w:hyperlink w:anchor="fn1">
        <w:r>
          <w:rPr>
            <w:rFonts w:eastAsia="inter" w:cs="inter" w:ascii="inter" w:hAnsi="inter"/>
            <w:color w:val="#000"/>
            <w:sz w:val="21"/>
            <w:u w:val="single"/>
            <w:vertAlign w:val="superscript"/>
          </w:rPr>
          <w:t xml:space="preserve">[1]</w:t>
        </w:r>
      </w:hyperlink>
    </w:p>
    <w:p>
      <w:pPr>
        <w:spacing w:line="360" w:after="210" w:lineRule="auto"/>
      </w:pPr>
      <w:r>
        <w:rPr>
          <w:rFonts w:eastAsia="inter" w:cs="inter" w:ascii="inter" w:hAnsi="inter"/>
          <w:color w:val="000000"/>
        </w:rPr>
        <w:t xml:space="preserve">, , - OpTeamizer acquisition details; - NVIDIA CUDA focus</w:t>
      </w:r>
      <w:bookmarkStart w:id="51" w:name="fnref2_1"/>
      <w:bookmarkEnd w:id="51"/>
      <w:hyperlink w:anchor="fn2">
        <w:r>
          <w:rPr>
            <w:rFonts w:eastAsia="inter" w:cs="inter" w:ascii="inter" w:hAnsi="inter"/>
            <w:color w:val="#000"/>
            <w:u w:val="single"/>
            <w:vertAlign w:val="superscript"/>
          </w:rPr>
          <w:t xml:space="preserve">[2]</w:t>
        </w:r>
      </w:hyperlink>
    </w:p>
    <w:p>
      <w:pPr>
        <w:numPr>
          <w:ilvl w:val="0"/>
          <w:numId w:val="27"/>
        </w:numPr>
        <w:spacing w:line="360" w:before="105" w:after="105" w:lineRule="auto"/>
      </w:pPr>
      <w:r>
        <w:rPr>
          <w:rFonts w:eastAsia="inter" w:cs="inter" w:ascii="inter" w:hAnsi="inter"/>
          <w:color w:val="000000"/>
          <w:sz w:val="21"/>
        </w:rPr>
        <w:t xml:space="preserve">HashedIn Technologies acquisition announcement; - OpTeamizer and other acquisitions</w:t>
      </w:r>
      <w:bookmarkStart w:id="52" w:name="fnref3_1"/>
      <w:bookmarkEnd w:id="52"/>
      <w:hyperlink w:anchor="fn3">
        <w:r>
          <w:rPr>
            <w:rFonts w:eastAsia="inter" w:cs="inter" w:ascii="inter" w:hAnsi="inter"/>
            <w:color w:val="#000"/>
            <w:sz w:val="21"/>
            <w:u w:val="single"/>
            <w:vertAlign w:val="superscript"/>
          </w:rPr>
          <w:t xml:space="preserve">[3]</w:t>
        </w:r>
      </w:hyperlink>
    </w:p>
    <w:p>
      <w:pPr>
        <w:spacing w:line="360" w:after="210" w:lineRule="auto"/>
      </w:pPr>
      <w:r>
        <w:rPr>
          <w:rFonts w:eastAsia="inter" w:cs="inter" w:ascii="inter" w:hAnsi="inter"/>
          <w:color w:val="000000"/>
        </w:rPr>
        <w:t xml:space="preserve">, - Awesome acquisition and creative services integration; , - Awesome partnership details</w:t>
      </w:r>
      <w:bookmarkStart w:id="53" w:name="fnref4_1"/>
      <w:bookmarkEnd w:id="53"/>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color w:val="000000"/>
        </w:rPr>
        <w:t xml:space="preserve">, , - Launchpad program metrics and track record</w:t>
      </w:r>
      <w:bookmarkStart w:id="54" w:name="fnref5_1"/>
      <w:bookmarkEnd w:id="54"/>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color w:val="000000"/>
        </w:rPr>
        <w:t xml:space="preserve">, - CortexAI platform details and government applications</w:t>
      </w:r>
      <w:bookmarkStart w:id="55" w:name="fnref6_1"/>
      <w:bookmarkEnd w:id="55"/>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color w:val="000000"/>
        </w:rPr>
        <w:t xml:space="preserve">, - Zora AI launch, reasoning capabilities, internal deployment results; - SAP Joule integration</w:t>
      </w:r>
      <w:bookmarkStart w:id="56" w:name="fnref7_1"/>
      <w:bookmarkEnd w:id="56"/>
      <w:hyperlink w:anchor="fn7">
        <w:r>
          <w:rPr>
            <w:rFonts w:eastAsia="inter" w:cs="inter" w:ascii="inter" w:hAnsi="inter"/>
            <w:color w:val="#000"/>
            <w:u w:val="single"/>
            <w:vertAlign w:val="superscript"/>
          </w:rPr>
          <w:t xml:space="preserve">[7]</w:t>
        </w:r>
      </w:hyperlink>
    </w:p>
    <w:p>
      <w:pPr>
        <w:numPr>
          <w:ilvl w:val="0"/>
          <w:numId w:val="28"/>
        </w:numPr>
        <w:spacing w:line="360" w:before="105" w:after="105" w:lineRule="auto"/>
      </w:pPr>
      <w:r>
        <w:rPr>
          <w:rFonts w:eastAsia="inter" w:cs="inter" w:ascii="inter" w:hAnsi="inter"/>
          <w:color w:val="000000"/>
          <w:sz w:val="21"/>
        </w:rPr>
        <w:t xml:space="preserve">SAP Joule and Oracle AI Agent Studio integration</w:t>
      </w:r>
      <w:bookmarkStart w:id="57" w:name="fnref8_1"/>
      <w:bookmarkEnd w:id="57"/>
      <w:hyperlink w:anchor="fn8">
        <w:r>
          <w:rPr>
            <w:rFonts w:eastAsia="inter" w:cs="inter" w:ascii="inter" w:hAnsi="inter"/>
            <w:color w:val="#000"/>
            <w:sz w:val="21"/>
            <w:u w:val="single"/>
            <w:vertAlign w:val="superscript"/>
          </w:rPr>
          <w:t xml:space="preserve">[8]</w:t>
        </w:r>
      </w:hyperlink>
    </w:p>
    <w:p>
      <w:pPr>
        <w:spacing w:line="360" w:after="210" w:lineRule="auto"/>
      </w:pPr>
      <w:r>
        <w:rPr>
          <w:rFonts w:eastAsia="inter" w:cs="inter" w:ascii="inter" w:hAnsi="inter"/>
          <w:color w:val="000000"/>
        </w:rPr>
        <w:t xml:space="preserve">, - Internal Zora AI ROI: 25% cost reduction, 40% productivity increase</w:t>
      </w:r>
      <w:bookmarkStart w:id="58" w:name="fnref9_1"/>
      <w:bookmarkEnd w:id="58"/>
      <w:hyperlink w:anchor="fn9">
        <w:r>
          <w:rPr>
            <w:rFonts w:eastAsia="inter" w:cs="inter" w:ascii="inter" w:hAnsi="inter"/>
            <w:color w:val="#000"/>
            <w:u w:val="single"/>
            <w:vertAlign w:val="superscript"/>
          </w:rPr>
          <w:t xml:space="preserve">[9]</w:t>
        </w:r>
      </w:hyperlink>
    </w:p>
    <w:p>
      <w:pPr>
        <w:spacing w:line="360" w:after="210" w:lineRule="auto"/>
      </w:pPr>
      <w:r>
        <w:rPr>
          <w:rFonts w:eastAsia="inter" w:cs="inter" w:ascii="inter" w:hAnsi="inter"/>
          <w:color w:val="000000"/>
        </w:rPr>
        <w:t xml:space="preserve">, , - Matrix IT SAP BTP tender win on Nimbus Layer 5</w:t>
      </w:r>
      <w:bookmarkStart w:id="59" w:name="fnref10_1"/>
      <w:bookmarkEnd w:id="59"/>
      <w:hyperlink w:anchor="fn10">
        <w:r>
          <w:rPr>
            <w:rFonts w:eastAsia="inter" w:cs="inter" w:ascii="inter" w:hAnsi="inter"/>
            <w:color w:val="#000"/>
            <w:u w:val="single"/>
            <w:vertAlign w:val="superscript"/>
          </w:rPr>
          <w:t xml:space="preserve">[10]</w:t>
        </w:r>
      </w:hyperlink>
    </w:p>
    <w:p>
      <w:pPr>
        <w:numPr>
          <w:ilvl w:val="0"/>
          <w:numId w:val="29"/>
        </w:numPr>
        <w:spacing w:line="360" w:before="105" w:after="105" w:lineRule="auto"/>
      </w:pPr>
      <w:r>
        <w:rPr>
          <w:rFonts w:eastAsia="inter" w:cs="inter" w:ascii="inter" w:hAnsi="inter"/>
          <w:color w:val="000000"/>
          <w:sz w:val="21"/>
        </w:rPr>
        <w:t xml:space="preserve">Deloitte Canada selected for government cloud roadmap</w:t>
      </w:r>
      <w:bookmarkStart w:id="60" w:name="fnref11_1"/>
      <w:bookmarkEnd w:id="60"/>
      <w:hyperlink w:anchor="fn11">
        <w:r>
          <w:rPr>
            <w:rFonts w:eastAsia="inter" w:cs="inter" w:ascii="inter" w:hAnsi="inter"/>
            <w:color w:val="#000"/>
            <w:sz w:val="21"/>
            <w:u w:val="single"/>
            <w:vertAlign w:val="superscript"/>
          </w:rPr>
          <w:t xml:space="preserve">[11]</w:t>
        </w:r>
      </w:hyperlink>
      <w:r>
        <w:rPr>
          <w:rFonts w:eastAsia="inter" w:cs="inter" w:ascii="inter" w:hAnsi="inter"/>
          <w:color w:val="000000"/>
          <w:sz w:val="21"/>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61" w:name="fn1"/>
    <w:bookmarkEnd w:id="61"/>
    <w:p>
      <w:pPr>
        <w:numPr>
          <w:ilvl w:val="0"/>
          <w:numId w:val="31"/>
        </w:numPr>
        <w:spacing w:line="360" w:after="210" w:lineRule="auto"/>
      </w:pPr>
      <w:hyperlink r:id="rId6">
        <w:r>
          <w:rPr>
            <w:rFonts w:eastAsia="inter" w:cs="inter" w:ascii="inter" w:hAnsi="inter"/>
            <w:color w:val="#000"/>
            <w:sz w:val="18"/>
            <w:u w:val="single"/>
          </w:rPr>
          <w:t xml:space="preserve">https://www.chimia.ch/chimia/article/view/2015_172</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2" w:name="fn2"/>
    <w:bookmarkEnd w:id="62"/>
    <w:p>
      <w:pPr>
        <w:numPr>
          <w:ilvl w:val="0"/>
          <w:numId w:val="31"/>
        </w:numPr>
        <w:spacing w:line="360" w:after="210" w:lineRule="auto"/>
      </w:pPr>
      <w:hyperlink r:id="rId7">
        <w:r>
          <w:rPr>
            <w:rFonts w:eastAsia="inter" w:cs="inter" w:ascii="inter" w:hAnsi="inter"/>
            <w:color w:val="#000"/>
            <w:sz w:val="18"/>
            <w:u w:val="single"/>
          </w:rPr>
          <w:t xml:space="preserve">https://www.semanticscholar.org/paper/7020b7b1f5af1ccb8f3e65676e912a5e9ac582ea</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3" w:name="fn3"/>
    <w:bookmarkEnd w:id="63"/>
    <w:p>
      <w:pPr>
        <w:numPr>
          <w:ilvl w:val="0"/>
          <w:numId w:val="31"/>
        </w:numPr>
        <w:spacing w:line="360" w:after="210" w:lineRule="auto"/>
      </w:pPr>
      <w:hyperlink r:id="rId8">
        <w:r>
          <w:rPr>
            <w:rFonts w:eastAsia="inter" w:cs="inter" w:ascii="inter" w:hAnsi="inter"/>
            <w:color w:val="#000"/>
            <w:sz w:val="18"/>
            <w:u w:val="single"/>
          </w:rPr>
          <w:t xml:space="preserve">https://www.sba.org.br/open_journal_systems/index.php/sbse/article/view/3109</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4" w:name="fn4"/>
    <w:bookmarkEnd w:id="64"/>
    <w:p>
      <w:pPr>
        <w:numPr>
          <w:ilvl w:val="0"/>
          <w:numId w:val="31"/>
        </w:numPr>
        <w:spacing w:line="360" w:after="210" w:lineRule="auto"/>
      </w:pPr>
      <w:hyperlink r:id="rId9">
        <w:r>
          <w:rPr>
            <w:rFonts w:eastAsia="inter" w:cs="inter" w:ascii="inter" w:hAnsi="inter"/>
            <w:color w:val="#000"/>
            <w:sz w:val="18"/>
            <w:u w:val="single"/>
          </w:rPr>
          <w:t xml:space="preserve">https://www.semanticscholar.org/paper/dba0d2a015c56d87568137891200daf3bd19b6fb</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5" w:name="fn5"/>
    <w:bookmarkEnd w:id="65"/>
    <w:p>
      <w:pPr>
        <w:numPr>
          <w:ilvl w:val="0"/>
          <w:numId w:val="31"/>
        </w:numPr>
        <w:spacing w:line="360" w:after="210" w:lineRule="auto"/>
      </w:pPr>
      <w:hyperlink r:id="rId10">
        <w:r>
          <w:rPr>
            <w:rFonts w:eastAsia="inter" w:cs="inter" w:ascii="inter" w:hAnsi="inter"/>
            <w:color w:val="#000"/>
            <w:sz w:val="18"/>
            <w:u w:val="single"/>
          </w:rPr>
          <w:t xml:space="preserve">https://www.semanticscholar.org/paper/e0cf6ef9e243364e091f8b8e2121f4c3638630e2</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6" w:name="fn6"/>
    <w:bookmarkEnd w:id="66"/>
    <w:p>
      <w:pPr>
        <w:numPr>
          <w:ilvl w:val="0"/>
          <w:numId w:val="31"/>
        </w:numPr>
        <w:spacing w:line="360" w:after="210" w:lineRule="auto"/>
      </w:pPr>
      <w:hyperlink r:id="rId11">
        <w:r>
          <w:rPr>
            <w:rFonts w:eastAsia="inter" w:cs="inter" w:ascii="inter" w:hAnsi="inter"/>
            <w:color w:val="#000"/>
            <w:sz w:val="18"/>
            <w:u w:val="single"/>
          </w:rPr>
          <w:t xml:space="preserve">http://pubs.rsna.org/doi/10.1148/radiol.2512092512</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7" w:name="fn7"/>
    <w:bookmarkEnd w:id="67"/>
    <w:p>
      <w:pPr>
        <w:numPr>
          <w:ilvl w:val="0"/>
          <w:numId w:val="31"/>
        </w:numPr>
        <w:spacing w:line="360" w:after="210" w:lineRule="auto"/>
      </w:pPr>
      <w:hyperlink r:id="rId12">
        <w:r>
          <w:rPr>
            <w:rFonts w:eastAsia="inter" w:cs="inter" w:ascii="inter" w:hAnsi="inter"/>
            <w:color w:val="#000"/>
            <w:sz w:val="18"/>
            <w:u w:val="single"/>
          </w:rPr>
          <w:t xml:space="preserve">http://link.springer.com/10.1007/s11548-010-0430-y</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8" w:name="fn8"/>
    <w:bookmarkEnd w:id="68"/>
    <w:p>
      <w:pPr>
        <w:numPr>
          <w:ilvl w:val="0"/>
          <w:numId w:val="31"/>
        </w:numPr>
        <w:spacing w:line="360" w:after="210" w:lineRule="auto"/>
      </w:pPr>
      <w:hyperlink r:id="rId13">
        <w:r>
          <w:rPr>
            <w:rFonts w:eastAsia="inter" w:cs="inter" w:ascii="inter" w:hAnsi="inter"/>
            <w:color w:val="#000"/>
            <w:sz w:val="18"/>
            <w:u w:val="single"/>
          </w:rPr>
          <w:t xml:space="preserve">https://onlinelibrary.wiley.com/doi/10.1111/epi.12210</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9" w:name="fn9"/>
    <w:bookmarkEnd w:id="69"/>
    <w:p>
      <w:pPr>
        <w:numPr>
          <w:ilvl w:val="0"/>
          <w:numId w:val="31"/>
        </w:numPr>
        <w:spacing w:line="360" w:after="210" w:lineRule="auto"/>
      </w:pPr>
      <w:hyperlink r:id="rId14">
        <w:r>
          <w:rPr>
            <w:rFonts w:eastAsia="inter" w:cs="inter" w:ascii="inter" w:hAnsi="inter"/>
            <w:color w:val="#000"/>
            <w:sz w:val="18"/>
            <w:u w:val="single"/>
          </w:rPr>
          <w:t xml:space="preserve">https://www.semanticscholar.org/paper/0c1ffb66254e7a5fe705883012d1793c63134a15</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0" w:name="fn10"/>
    <w:bookmarkEnd w:id="70"/>
    <w:p>
      <w:pPr>
        <w:numPr>
          <w:ilvl w:val="0"/>
          <w:numId w:val="31"/>
        </w:numPr>
        <w:spacing w:line="360" w:after="210" w:lineRule="auto"/>
      </w:pPr>
      <w:hyperlink r:id="rId15">
        <w:r>
          <w:rPr>
            <w:rFonts w:eastAsia="inter" w:cs="inter" w:ascii="inter" w:hAnsi="inter"/>
            <w:color w:val="#000"/>
            <w:sz w:val="18"/>
            <w:u w:val="single"/>
          </w:rPr>
          <w:t xml:space="preserve">https://library.imaging.org/ei/articles/28/12/art00013</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1" w:name="fn11"/>
    <w:bookmarkEnd w:id="71"/>
    <w:p>
      <w:pPr>
        <w:numPr>
          <w:ilvl w:val="0"/>
          <w:numId w:val="31"/>
        </w:numPr>
        <w:spacing w:line="360" w:after="210" w:lineRule="auto"/>
      </w:pPr>
      <w:hyperlink r:id="rId16">
        <w:r>
          <w:rPr>
            <w:rFonts w:eastAsia="inter" w:cs="inter" w:ascii="inter" w:hAnsi="inter"/>
            <w:color w:val="#000"/>
            <w:sz w:val="18"/>
            <w:u w:val="single"/>
          </w:rPr>
          <w:t xml:space="preserve">https://www.mdpi.com/2071-1050/10/7/2499/pdf?version=1531821953</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2" w:name="fn12"/>
    <w:bookmarkEnd w:id="72"/>
    <w:p>
      <w:pPr>
        <w:numPr>
          <w:ilvl w:val="0"/>
          <w:numId w:val="31"/>
        </w:numPr>
        <w:spacing w:line="360" w:after="210" w:lineRule="auto"/>
      </w:pPr>
      <w:hyperlink r:id="rId17">
        <w:r>
          <w:rPr>
            <w:rFonts w:eastAsia="inter" w:cs="inter" w:ascii="inter" w:hAnsi="inter"/>
            <w:color w:val="#000"/>
            <w:sz w:val="18"/>
            <w:u w:val="single"/>
          </w:rPr>
          <w:t xml:space="preserve">https://www.deloitte.com/il/en/services/consulting/services/data-and-ai.html</w:t>
        </w:r>
      </w:hyperlink>
      <w:r>
        <w:rPr>
          <w:rFonts w:eastAsia="inter" w:cs="inter" w:ascii="inter" w:hAnsi="inter"/>
          <w:color w:val="000000"/>
          <w:sz w:val="18"/>
        </w:rPr>
        <w:t xml:space="preserve"> </w:t>
      </w:r>
    </w:p>
    <w:bookmarkStart w:id="73" w:name="fn13"/>
    <w:bookmarkEnd w:id="73"/>
    <w:p>
      <w:pPr>
        <w:numPr>
          <w:ilvl w:val="0"/>
          <w:numId w:val="31"/>
        </w:numPr>
        <w:spacing w:line="360" w:after="210" w:lineRule="auto"/>
      </w:pPr>
      <w:hyperlink r:id="rId18">
        <w:r>
          <w:rPr>
            <w:rFonts w:eastAsia="inter" w:cs="inter" w:ascii="inter" w:hAnsi="inter"/>
            <w:color w:val="#000"/>
            <w:sz w:val="18"/>
            <w:u w:val="single"/>
          </w:rPr>
          <w:t xml:space="preserve">https://www.deloitte.com/us/en/Industries/government-public/about/managed-ai-services.html</w:t>
        </w:r>
      </w:hyperlink>
      <w:r>
        <w:rPr>
          <w:rFonts w:eastAsia="inter" w:cs="inter" w:ascii="inter" w:hAnsi="inter"/>
          <w:color w:val="000000"/>
          <w:sz w:val="18"/>
        </w:rPr>
        <w:t xml:space="preserve"> </w:t>
      </w:r>
    </w:p>
    <w:bookmarkStart w:id="74" w:name="fn14"/>
    <w:bookmarkEnd w:id="74"/>
    <w:p>
      <w:pPr>
        <w:numPr>
          <w:ilvl w:val="0"/>
          <w:numId w:val="31"/>
        </w:numPr>
        <w:spacing w:line="360" w:after="210" w:lineRule="auto"/>
      </w:pPr>
      <w:hyperlink r:id="rId19">
        <w:r>
          <w:rPr>
            <w:rFonts w:eastAsia="inter" w:cs="inter" w:ascii="inter" w:hAnsi="inter"/>
            <w:color w:val="#000"/>
            <w:sz w:val="18"/>
            <w:u w:val="single"/>
          </w:rPr>
          <w:t xml:space="preserve">https://www.deloitte.com/us/en/about/press-room/deloitte-unveils-zora-ai-agentic-ai-for-tomorrows-workforce.html</w:t>
        </w:r>
      </w:hyperlink>
      <w:r>
        <w:rPr>
          <w:rFonts w:eastAsia="inter" w:cs="inter" w:ascii="inter" w:hAnsi="inter"/>
          <w:color w:val="000000"/>
          <w:sz w:val="18"/>
        </w:rPr>
        <w:t xml:space="preserve"> </w:t>
      </w:r>
    </w:p>
    <w:bookmarkStart w:id="75" w:name="fn15"/>
    <w:bookmarkEnd w:id="75"/>
    <w:p>
      <w:pPr>
        <w:numPr>
          <w:ilvl w:val="0"/>
          <w:numId w:val="31"/>
        </w:numPr>
        <w:spacing w:line="360" w:after="210" w:lineRule="auto"/>
      </w:pPr>
      <w:hyperlink r:id="rId20">
        <w:r>
          <w:rPr>
            <w:rFonts w:eastAsia="inter" w:cs="inter" w:ascii="inter" w:hAnsi="inter"/>
            <w:color w:val="#000"/>
            <w:sz w:val="18"/>
            <w:u w:val="single"/>
          </w:rPr>
          <w:t xml:space="preserve">https://innovationisrael.org.il/wp-content/uploads/2025/05/AI-National-Program-en-14.5.25.pdf</w:t>
        </w:r>
      </w:hyperlink>
      <w:r>
        <w:rPr>
          <w:rFonts w:eastAsia="inter" w:cs="inter" w:ascii="inter" w:hAnsi="inter"/>
          <w:color w:val="000000"/>
          <w:sz w:val="18"/>
        </w:rPr>
        <w:t xml:space="preserve"> </w:t>
      </w:r>
    </w:p>
    <w:bookmarkStart w:id="76" w:name="fn16"/>
    <w:bookmarkEnd w:id="76"/>
    <w:p>
      <w:pPr>
        <w:numPr>
          <w:ilvl w:val="0"/>
          <w:numId w:val="31"/>
        </w:numPr>
        <w:spacing w:line="360" w:after="210" w:lineRule="auto"/>
      </w:pPr>
      <w:hyperlink r:id="rId21">
        <w:r>
          <w:rPr>
            <w:rFonts w:eastAsia="inter" w:cs="inter" w:ascii="inter" w:hAnsi="inter"/>
            <w:color w:val="#000"/>
            <w:sz w:val="18"/>
            <w:u w:val="single"/>
          </w:rPr>
          <w:t xml:space="preserve">https://www.executivebiz.com/articles/deloitte-silicon-to-service-ai-government-regulated-industries</w:t>
        </w:r>
      </w:hyperlink>
      <w:r>
        <w:rPr>
          <w:rFonts w:eastAsia="inter" w:cs="inter" w:ascii="inter" w:hAnsi="inter"/>
          <w:color w:val="000000"/>
          <w:sz w:val="18"/>
        </w:rPr>
        <w:t xml:space="preserve"> </w:t>
      </w:r>
    </w:p>
    <w:bookmarkStart w:id="77" w:name="fn17"/>
    <w:bookmarkEnd w:id="77"/>
    <w:p>
      <w:pPr>
        <w:numPr>
          <w:ilvl w:val="0"/>
          <w:numId w:val="31"/>
        </w:numPr>
        <w:spacing w:line="360" w:after="210" w:lineRule="auto"/>
      </w:pPr>
      <w:hyperlink r:id="rId22">
        <w:r>
          <w:rPr>
            <w:rFonts w:eastAsia="inter" w:cs="inter" w:ascii="inter" w:hAnsi="inter"/>
            <w:color w:val="#000"/>
            <w:sz w:val="18"/>
            <w:u w:val="single"/>
          </w:rPr>
          <w:t xml:space="preserve">https://procurementmag.com/technology-and-ai/deloittes-zori-ai-improve-procurement-efficiency</w:t>
        </w:r>
      </w:hyperlink>
      <w:r>
        <w:rPr>
          <w:rFonts w:eastAsia="inter" w:cs="inter" w:ascii="inter" w:hAnsi="inter"/>
          <w:color w:val="000000"/>
          <w:sz w:val="18"/>
        </w:rPr>
        <w:t xml:space="preserve"> </w:t>
      </w:r>
    </w:p>
    <w:bookmarkStart w:id="78" w:name="fn18"/>
    <w:bookmarkEnd w:id="78"/>
    <w:p>
      <w:pPr>
        <w:numPr>
          <w:ilvl w:val="0"/>
          <w:numId w:val="31"/>
        </w:numPr>
        <w:spacing w:line="360" w:after="210" w:lineRule="auto"/>
      </w:pPr>
      <w:hyperlink r:id="rId23">
        <w:r>
          <w:rPr>
            <w:rFonts w:eastAsia="inter" w:cs="inter" w:ascii="inter" w:hAnsi="inter"/>
            <w:color w:val="#000"/>
            <w:sz w:val="18"/>
            <w:u w:val="single"/>
          </w:rPr>
          <w:t xml:space="preserve">https://www.deloitte.com/il/he/what-we-do/Own-Tomorrow-With-Deloitte/articles/To-lead-in-the-era-of-artificial-intelligence.html</w:t>
        </w:r>
      </w:hyperlink>
      <w:r>
        <w:rPr>
          <w:rFonts w:eastAsia="inter" w:cs="inter" w:ascii="inter" w:hAnsi="inter"/>
          <w:color w:val="000000"/>
          <w:sz w:val="18"/>
        </w:rPr>
        <w:t xml:space="preserve"> </w:t>
      </w:r>
    </w:p>
    <w:bookmarkStart w:id="79" w:name="fn19"/>
    <w:bookmarkEnd w:id="79"/>
    <w:p>
      <w:pPr>
        <w:numPr>
          <w:ilvl w:val="0"/>
          <w:numId w:val="31"/>
        </w:numPr>
        <w:spacing w:line="360" w:after="210" w:lineRule="auto"/>
      </w:pPr>
      <w:hyperlink r:id="rId24">
        <w:r>
          <w:rPr>
            <w:rFonts w:eastAsia="inter" w:cs="inter" w:ascii="inter" w:hAnsi="inter"/>
            <w:color w:val="#000"/>
            <w:sz w:val="18"/>
            <w:u w:val="single"/>
          </w:rPr>
          <w:t xml:space="preserve">https://www.prnewswire.com/news-releases/deloitte-unveils-silicon-to-service-for-government-and-regulated-industries-built-with-dell-technologies-and-nvidia-302463294.html</w:t>
        </w:r>
      </w:hyperlink>
      <w:r>
        <w:rPr>
          <w:rFonts w:eastAsia="inter" w:cs="inter" w:ascii="inter" w:hAnsi="inter"/>
          <w:color w:val="000000"/>
          <w:sz w:val="18"/>
        </w:rPr>
        <w:t xml:space="preserve"> </w:t>
      </w:r>
    </w:p>
    <w:bookmarkStart w:id="80" w:name="fn20"/>
    <w:bookmarkEnd w:id="80"/>
    <w:p>
      <w:pPr>
        <w:numPr>
          <w:ilvl w:val="0"/>
          <w:numId w:val="31"/>
        </w:numPr>
        <w:spacing w:line="360" w:after="210" w:lineRule="auto"/>
      </w:pPr>
      <w:hyperlink r:id="rId25">
        <w:r>
          <w:rPr>
            <w:rFonts w:eastAsia="inter" w:cs="inter" w:ascii="inter" w:hAnsi="inter"/>
            <w:color w:val="#000"/>
            <w:sz w:val="18"/>
            <w:u w:val="single"/>
          </w:rPr>
          <w:t xml:space="preserve">https://www.youtube.com/watch?v=dewbIu_yisI</w:t>
        </w:r>
      </w:hyperlink>
      <w:r>
        <w:rPr>
          <w:rFonts w:eastAsia="inter" w:cs="inter" w:ascii="inter" w:hAnsi="inter"/>
          <w:color w:val="000000"/>
          <w:sz w:val="18"/>
        </w:rPr>
        <w:t xml:space="preserve"> </w:t>
      </w:r>
    </w:p>
    <w:bookmarkStart w:id="81" w:name="fn21"/>
    <w:bookmarkEnd w:id="81"/>
    <w:p>
      <w:pPr>
        <w:numPr>
          <w:ilvl w:val="0"/>
          <w:numId w:val="31"/>
        </w:numPr>
        <w:spacing w:line="360" w:after="210" w:lineRule="auto"/>
      </w:pPr>
      <w:hyperlink r:id="rId26">
        <w:r>
          <w:rPr>
            <w:rFonts w:eastAsia="inter" w:cs="inter" w:ascii="inter" w:hAnsi="inter"/>
            <w:color w:val="#000"/>
            <w:sz w:val="18"/>
            <w:u w:val="single"/>
          </w:rPr>
          <w:t xml:space="preserve">https://www.deloitte.com/il/he/what-we-do/Own-Tomorrow-With-Deloitte/Strategy.html</w:t>
        </w:r>
      </w:hyperlink>
      <w:r>
        <w:rPr>
          <w:rFonts w:eastAsia="inter" w:cs="inter" w:ascii="inter" w:hAnsi="inter"/>
          <w:color w:val="000000"/>
          <w:sz w:val="18"/>
        </w:rPr>
        <w:t xml:space="preserve"> </w:t>
      </w:r>
    </w:p>
    <w:bookmarkStart w:id="82" w:name="fn22"/>
    <w:bookmarkEnd w:id="82"/>
    <w:p>
      <w:pPr>
        <w:numPr>
          <w:ilvl w:val="0"/>
          <w:numId w:val="31"/>
        </w:numPr>
        <w:spacing w:line="360" w:after="210" w:lineRule="auto"/>
      </w:pPr>
      <w:hyperlink r:id="rId27">
        <w:r>
          <w:rPr>
            <w:rFonts w:eastAsia="inter" w:cs="inter" w:ascii="inter" w:hAnsi="inter"/>
            <w:color w:val="#000"/>
            <w:sz w:val="18"/>
            <w:u w:val="single"/>
          </w:rPr>
          <w:t xml:space="preserve">https://jelle.lgu.edu.pk/jelle/article/view/285</w:t>
        </w:r>
      </w:hyperlink>
      <w:r>
        <w:rPr>
          <w:rFonts w:eastAsia="inter" w:cs="inter" w:ascii="inter" w:hAnsi="inter"/>
          <w:color w:val="000000"/>
          <w:sz w:val="18"/>
        </w:rPr>
        <w:t xml:space="preserve"> </w:t>
      </w:r>
    </w:p>
    <w:bookmarkStart w:id="83" w:name="fn23"/>
    <w:bookmarkEnd w:id="83"/>
    <w:p>
      <w:pPr>
        <w:numPr>
          <w:ilvl w:val="0"/>
          <w:numId w:val="31"/>
        </w:numPr>
        <w:spacing w:line="360" w:after="210" w:lineRule="auto"/>
      </w:pPr>
      <w:hyperlink r:id="rId28">
        <w:r>
          <w:rPr>
            <w:rFonts w:eastAsia="inter" w:cs="inter" w:ascii="inter" w:hAnsi="inter"/>
            <w:color w:val="#000"/>
            <w:sz w:val="18"/>
            <w:u w:val="single"/>
          </w:rPr>
          <w:t xml:space="preserve">https://www.matrix.co.il</w:t>
        </w:r>
      </w:hyperlink>
      <w:r>
        <w:rPr>
          <w:rFonts w:eastAsia="inter" w:cs="inter" w:ascii="inter" w:hAnsi="inter"/>
          <w:color w:val="000000"/>
          <w:sz w:val="18"/>
        </w:rPr>
        <w:t xml:space="preserve"> </w:t>
      </w:r>
    </w:p>
    <w:bookmarkStart w:id="84" w:name="fn24"/>
    <w:bookmarkEnd w:id="84"/>
    <w:p>
      <w:pPr>
        <w:numPr>
          <w:ilvl w:val="0"/>
          <w:numId w:val="31"/>
        </w:numPr>
        <w:spacing w:line="360" w:after="210" w:lineRule="auto"/>
      </w:pPr>
      <w:hyperlink r:id="rId29">
        <w:r>
          <w:rPr>
            <w:rFonts w:eastAsia="inter" w:cs="inter" w:ascii="inter" w:hAnsi="inter"/>
            <w:color w:val="#000"/>
            <w:sz w:val="18"/>
            <w:u w:val="single"/>
          </w:rPr>
          <w:t xml:space="preserve">https://www.matrix-globalservices.com/wp-content/uploads/Matrix_Q2_2024_Financial-statement_English.pdf</w:t>
        </w:r>
      </w:hyperlink>
      <w:r>
        <w:rPr>
          <w:rFonts w:eastAsia="inter" w:cs="inter" w:ascii="inter" w:hAnsi="inter"/>
          <w:color w:val="000000"/>
          <w:sz w:val="18"/>
        </w:rPr>
        <w:t xml:space="preserve"> </w:t>
      </w:r>
    </w:p>
    <w:bookmarkStart w:id="85" w:name="fn25"/>
    <w:bookmarkEnd w:id="85"/>
    <w:p>
      <w:pPr>
        <w:numPr>
          <w:ilvl w:val="0"/>
          <w:numId w:val="31"/>
        </w:numPr>
        <w:spacing w:line="360" w:after="210" w:lineRule="auto"/>
      </w:pPr>
      <w:hyperlink r:id="rId30">
        <w:r>
          <w:rPr>
            <w:rFonts w:eastAsia="inter" w:cs="inter" w:ascii="inter" w:hAnsi="inter"/>
            <w:color w:val="#000"/>
            <w:sz w:val="18"/>
            <w:u w:val="single"/>
          </w:rPr>
          <w:t xml:space="preserve">https://jewinthecity.com/2022/02/deloitte-proves-inclusivity-value-with-300-new-orthodox-hires/</w:t>
        </w:r>
      </w:hyperlink>
      <w:r>
        <w:rPr>
          <w:rFonts w:eastAsia="inter" w:cs="inter" w:ascii="inter" w:hAnsi="inter"/>
          <w:color w:val="000000"/>
          <w:sz w:val="18"/>
        </w:rPr>
        <w:t xml:space="preserve"> </w:t>
      </w:r>
    </w:p>
    <w:bookmarkStart w:id="86" w:name="fn26"/>
    <w:bookmarkEnd w:id="86"/>
    <w:p>
      <w:pPr>
        <w:numPr>
          <w:ilvl w:val="0"/>
          <w:numId w:val="31"/>
        </w:numPr>
        <w:spacing w:line="360" w:after="210" w:lineRule="auto"/>
      </w:pPr>
      <w:hyperlink r:id="rId31">
        <w:r>
          <w:rPr>
            <w:rFonts w:eastAsia="inter" w:cs="inter" w:ascii="inter" w:hAnsi="inter"/>
            <w:color w:val="#000"/>
            <w:sz w:val="18"/>
            <w:u w:val="single"/>
          </w:rPr>
          <w:t xml:space="preserve">https://il.linkedin.com/in/yair-laron-036b7065</w:t>
        </w:r>
      </w:hyperlink>
      <w:r>
        <w:rPr>
          <w:rFonts w:eastAsia="inter" w:cs="inter" w:ascii="inter" w:hAnsi="inter"/>
          <w:color w:val="000000"/>
          <w:sz w:val="18"/>
        </w:rPr>
        <w:t xml:space="preserve"> </w:t>
      </w:r>
    </w:p>
    <w:bookmarkStart w:id="87" w:name="fn27"/>
    <w:bookmarkEnd w:id="87"/>
    <w:p>
      <w:pPr>
        <w:numPr>
          <w:ilvl w:val="0"/>
          <w:numId w:val="31"/>
        </w:numPr>
        <w:spacing w:line="360" w:after="210" w:lineRule="auto"/>
      </w:pPr>
      <w:hyperlink r:id="rId32">
        <w:r>
          <w:rPr>
            <w:rFonts w:eastAsia="inter" w:cs="inter" w:ascii="inter" w:hAnsi="inter"/>
            <w:color w:val="#000"/>
            <w:sz w:val="18"/>
            <w:u w:val="single"/>
          </w:rPr>
          <w:t xml:space="preserve">https://www.whoprofits.org/companies/company/4009?matrix-it</w:t>
        </w:r>
      </w:hyperlink>
      <w:r>
        <w:rPr>
          <w:rFonts w:eastAsia="inter" w:cs="inter" w:ascii="inter" w:hAnsi="inter"/>
          <w:color w:val="000000"/>
          <w:sz w:val="18"/>
        </w:rPr>
        <w:t xml:space="preserve"> </w:t>
      </w:r>
    </w:p>
    <w:bookmarkStart w:id="88" w:name="fn28"/>
    <w:bookmarkEnd w:id="88"/>
    <w:p>
      <w:pPr>
        <w:numPr>
          <w:ilvl w:val="0"/>
          <w:numId w:val="31"/>
        </w:numPr>
        <w:spacing w:line="360" w:after="210" w:lineRule="auto"/>
      </w:pPr>
      <w:hyperlink r:id="rId33">
        <w:r>
          <w:rPr>
            <w:rFonts w:eastAsia="inter" w:cs="inter" w:ascii="inter" w:hAnsi="inter"/>
            <w:color w:val="#000"/>
            <w:sz w:val="18"/>
            <w:u w:val="single"/>
          </w:rPr>
          <w:t xml:space="preserve">https://www.deloitte.com/il/en/services/consulting/services/workforce-transformation.html</w:t>
        </w:r>
      </w:hyperlink>
      <w:r>
        <w:rPr>
          <w:rFonts w:eastAsia="inter" w:cs="inter" w:ascii="inter" w:hAnsi="inter"/>
          <w:color w:val="000000"/>
          <w:sz w:val="18"/>
        </w:rPr>
        <w:t xml:space="preserve"> </w:t>
      </w:r>
    </w:p>
    <w:bookmarkStart w:id="89" w:name="fn29"/>
    <w:bookmarkEnd w:id="89"/>
    <w:p>
      <w:pPr>
        <w:numPr>
          <w:ilvl w:val="0"/>
          <w:numId w:val="31"/>
        </w:numPr>
        <w:spacing w:line="360" w:after="210" w:lineRule="auto"/>
      </w:pPr>
      <w:hyperlink r:id="rId34">
        <w:r>
          <w:rPr>
            <w:rFonts w:eastAsia="inter" w:cs="inter" w:ascii="inter" w:hAnsi="inter"/>
            <w:color w:val="#000"/>
            <w:sz w:val="18"/>
            <w:u w:val="single"/>
          </w:rPr>
          <w:t xml:space="preserve">https://www.deloitte.com/il/en/about/people/profiles.yair-laron+ccaf768e.html</w:t>
        </w:r>
      </w:hyperlink>
      <w:r>
        <w:rPr>
          <w:rFonts w:eastAsia="inter" w:cs="inter" w:ascii="inter" w:hAnsi="inter"/>
          <w:color w:val="000000"/>
          <w:sz w:val="18"/>
        </w:rPr>
        <w:t xml:space="preserve"> </w:t>
      </w:r>
    </w:p>
    <w:bookmarkStart w:id="90" w:name="fn30"/>
    <w:bookmarkEnd w:id="90"/>
    <w:p>
      <w:pPr>
        <w:numPr>
          <w:ilvl w:val="0"/>
          <w:numId w:val="31"/>
        </w:numPr>
        <w:spacing w:line="360" w:after="210" w:lineRule="auto"/>
      </w:pPr>
      <w:hyperlink r:id="rId35">
        <w:r>
          <w:rPr>
            <w:rFonts w:eastAsia="inter" w:cs="inter" w:ascii="inter" w:hAnsi="inter"/>
            <w:color w:val="#000"/>
            <w:sz w:val="18"/>
            <w:u w:val="single"/>
          </w:rPr>
          <w:t xml:space="preserve">https://www.globes.co.il/news/article.aspx?did=1001497197</w:t>
        </w:r>
      </w:hyperlink>
      <w:r>
        <w:rPr>
          <w:rFonts w:eastAsia="inter" w:cs="inter" w:ascii="inter" w:hAnsi="inter"/>
          <w:color w:val="000000"/>
          <w:sz w:val="18"/>
        </w:rPr>
        <w:t xml:space="preserve"> </w:t>
      </w:r>
    </w:p>
    <w:bookmarkStart w:id="91" w:name="fn31"/>
    <w:bookmarkEnd w:id="91"/>
    <w:p>
      <w:pPr>
        <w:numPr>
          <w:ilvl w:val="0"/>
          <w:numId w:val="31"/>
        </w:numPr>
        <w:spacing w:line="360" w:after="210" w:lineRule="auto"/>
      </w:pPr>
      <w:hyperlink r:id="rId36">
        <w:r>
          <w:rPr>
            <w:rFonts w:eastAsia="inter" w:cs="inter" w:ascii="inter" w:hAnsi="inter"/>
            <w:color w:val="#000"/>
            <w:sz w:val="18"/>
            <w:u w:val="single"/>
          </w:rPr>
          <w:t xml:space="preserve">https://careers.deloitte.co.il</w:t>
        </w:r>
      </w:hyperlink>
      <w:r>
        <w:rPr>
          <w:rFonts w:eastAsia="inter" w:cs="inter" w:ascii="inter" w:hAnsi="inter"/>
          <w:color w:val="000000"/>
          <w:sz w:val="18"/>
        </w:rPr>
        <w:t xml:space="preserve"> </w:t>
      </w:r>
    </w:p>
    <w:bookmarkStart w:id="92" w:name="fn32"/>
    <w:bookmarkEnd w:id="92"/>
    <w:p>
      <w:pPr>
        <w:numPr>
          <w:ilvl w:val="0"/>
          <w:numId w:val="31"/>
        </w:numPr>
        <w:spacing w:line="360" w:after="210" w:lineRule="auto"/>
      </w:pPr>
      <w:hyperlink r:id="rId37">
        <w:r>
          <w:rPr>
            <w:rFonts w:eastAsia="inter" w:cs="inter" w:ascii="inter" w:hAnsi="inter"/>
            <w:color w:val="#000"/>
            <w:sz w:val="18"/>
            <w:u w:val="single"/>
          </w:rPr>
          <w:t xml:space="preserve">https://www.mdpi.com/2673-7116/2/3/23/pdf?version=1662624556</w:t>
        </w:r>
      </w:hyperlink>
      <w:r>
        <w:rPr>
          <w:rFonts w:eastAsia="inter" w:cs="inter" w:ascii="inter" w:hAnsi="inter"/>
          <w:color w:val="000000"/>
          <w:sz w:val="18"/>
        </w:rPr>
        <w:t xml:space="preserve"> </w:t>
      </w:r>
    </w:p>
    <w:bookmarkStart w:id="93" w:name="fn33"/>
    <w:bookmarkEnd w:id="93"/>
    <w:p>
      <w:pPr>
        <w:numPr>
          <w:ilvl w:val="0"/>
          <w:numId w:val="31"/>
        </w:numPr>
        <w:spacing w:line="360" w:after="210" w:lineRule="auto"/>
      </w:pPr>
      <w:hyperlink r:id="rId38">
        <w:r>
          <w:rPr>
            <w:rFonts w:eastAsia="inter" w:cs="inter" w:ascii="inter" w:hAnsi="inter"/>
            <w:color w:val="#000"/>
            <w:sz w:val="18"/>
            <w:u w:val="single"/>
          </w:rPr>
          <w:t xml:space="preserve">https://www.calcalistech.com/ctech/articles/0,7340,L-3876832,00.html</w:t>
        </w:r>
      </w:hyperlink>
      <w:r>
        <w:rPr>
          <w:rFonts w:eastAsia="inter" w:cs="inter" w:ascii="inter" w:hAnsi="inter"/>
          <w:color w:val="000000"/>
          <w:sz w:val="18"/>
        </w:rPr>
        <w:t xml:space="preserve"> </w:t>
      </w:r>
    </w:p>
    <w:bookmarkStart w:id="94" w:name="fn34"/>
    <w:bookmarkEnd w:id="94"/>
    <w:p>
      <w:pPr>
        <w:numPr>
          <w:ilvl w:val="0"/>
          <w:numId w:val="31"/>
        </w:numPr>
        <w:spacing w:line="360" w:after="210" w:lineRule="auto"/>
      </w:pPr>
      <w:hyperlink r:id="rId39">
        <w:r>
          <w:rPr>
            <w:rFonts w:eastAsia="inter" w:cs="inter" w:ascii="inter" w:hAnsi="inter"/>
            <w:color w:val="#000"/>
            <w:sz w:val="18"/>
            <w:u w:val="single"/>
          </w:rPr>
          <w:t xml:space="preserve">https://www.matrix-globalservices.com</w:t>
        </w:r>
      </w:hyperlink>
      <w:r>
        <w:rPr>
          <w:rFonts w:eastAsia="inter" w:cs="inter" w:ascii="inter" w:hAnsi="inter"/>
          <w:color w:val="000000"/>
          <w:sz w:val="18"/>
        </w:rPr>
        <w:t xml:space="preserve"> </w:t>
      </w:r>
    </w:p>
    <w:bookmarkStart w:id="95" w:name="fn35"/>
    <w:bookmarkEnd w:id="95"/>
    <w:p>
      <w:pPr>
        <w:numPr>
          <w:ilvl w:val="0"/>
          <w:numId w:val="31"/>
        </w:numPr>
        <w:spacing w:line="360" w:after="210" w:lineRule="auto"/>
      </w:pPr>
      <w:hyperlink r:id="rId40">
        <w:r>
          <w:rPr>
            <w:rFonts w:eastAsia="inter" w:cs="inter" w:ascii="inter" w:hAnsi="inter"/>
            <w:color w:val="#000"/>
            <w:sz w:val="18"/>
            <w:u w:val="single"/>
          </w:rPr>
          <w:t xml:space="preserve">https://www.deloitte.com/il/en/services/tax/perspectives/2024-incentives-alerts-circulars-israel.html</w:t>
        </w:r>
      </w:hyperlink>
      <w:r>
        <w:rPr>
          <w:rFonts w:eastAsia="inter" w:cs="inter" w:ascii="inter" w:hAnsi="inter"/>
          <w:color w:val="000000"/>
          <w:sz w:val="18"/>
        </w:rPr>
        <w:t xml:space="preserve"> </w:t>
      </w:r>
    </w:p>
    <w:bookmarkStart w:id="96" w:name="fn36"/>
    <w:bookmarkEnd w:id="96"/>
    <w:p>
      <w:pPr>
        <w:numPr>
          <w:ilvl w:val="0"/>
          <w:numId w:val="31"/>
        </w:numPr>
        <w:spacing w:line="360" w:after="210" w:lineRule="auto"/>
      </w:pPr>
      <w:hyperlink r:id="rId41">
        <w:r>
          <w:rPr>
            <w:rFonts w:eastAsia="inter" w:cs="inter" w:ascii="inter" w:hAnsi="inter"/>
            <w:color w:val="#000"/>
            <w:sz w:val="18"/>
            <w:u w:val="single"/>
          </w:rPr>
          <w:t xml:space="preserve">http://arxiv.org/pdf/2410.11199.pdf</w:t>
        </w:r>
      </w:hyperlink>
      <w:r>
        <w:rPr>
          <w:rFonts w:eastAsia="inter" w:cs="inter" w:ascii="inter" w:hAnsi="inter"/>
          <w:color w:val="000000"/>
          <w:sz w:val="18"/>
        </w:rPr>
        <w:t xml:space="preserve"> </w:t>
      </w:r>
    </w:p>
    <w:bookmarkStart w:id="97" w:name="fn37"/>
    <w:bookmarkEnd w:id="97"/>
    <w:p>
      <w:pPr>
        <w:numPr>
          <w:ilvl w:val="0"/>
          <w:numId w:val="31"/>
        </w:numPr>
        <w:spacing w:line="360" w:after="210" w:lineRule="auto"/>
      </w:pPr>
      <w:hyperlink r:id="rId42">
        <w:r>
          <w:rPr>
            <w:rFonts w:eastAsia="inter" w:cs="inter" w:ascii="inter" w:hAnsi="inter"/>
            <w:color w:val="#000"/>
            <w:sz w:val="18"/>
            <w:u w:val="single"/>
          </w:rPr>
          <w:t xml:space="preserve">https://ijsra.net/sites/default/files/IJSRA-2024-0287.pdf</w:t>
        </w:r>
      </w:hyperlink>
      <w:r>
        <w:rPr>
          <w:rFonts w:eastAsia="inter" w:cs="inter" w:ascii="inter" w:hAnsi="inter"/>
          <w:color w:val="000000"/>
          <w:sz w:val="18"/>
        </w:rPr>
        <w:t xml:space="preserve"> </w:t>
      </w:r>
    </w:p>
    <w:bookmarkStart w:id="98" w:name="fn38"/>
    <w:bookmarkEnd w:id="98"/>
    <w:p>
      <w:pPr>
        <w:numPr>
          <w:ilvl w:val="0"/>
          <w:numId w:val="31"/>
        </w:numPr>
        <w:spacing w:line="360" w:after="210" w:lineRule="auto"/>
      </w:pPr>
      <w:hyperlink r:id="rId43">
        <w:r>
          <w:rPr>
            <w:rFonts w:eastAsia="inter" w:cs="inter" w:ascii="inter" w:hAnsi="inter"/>
            <w:color w:val="#000"/>
            <w:sz w:val="18"/>
            <w:u w:val="single"/>
          </w:rPr>
          <w:t xml:space="preserve">https://linkinghub.elsevier.com/retrieve/pii/S108480452300067X</w:t>
        </w:r>
      </w:hyperlink>
      <w:r>
        <w:rPr>
          <w:rFonts w:eastAsia="inter" w:cs="inter" w:ascii="inter" w:hAnsi="inter"/>
          <w:color w:val="000000"/>
          <w:sz w:val="18"/>
        </w:rPr>
        <w:t xml:space="preserve"> </w:t>
      </w:r>
    </w:p>
    <w:bookmarkStart w:id="99" w:name="fn39"/>
    <w:bookmarkEnd w:id="99"/>
    <w:p>
      <w:pPr>
        <w:numPr>
          <w:ilvl w:val="0"/>
          <w:numId w:val="31"/>
        </w:numPr>
        <w:spacing w:line="360" w:after="210" w:lineRule="auto"/>
      </w:pPr>
      <w:hyperlink r:id="rId44">
        <w:r>
          <w:rPr>
            <w:rFonts w:eastAsia="inter" w:cs="inter" w:ascii="inter" w:hAnsi="inter"/>
            <w:color w:val="#000"/>
            <w:sz w:val="18"/>
            <w:u w:val="single"/>
          </w:rPr>
          <w:t xml:space="preserve">https://arxiv.org/pdf/2501.09562.pdf</w:t>
        </w:r>
      </w:hyperlink>
      <w:r>
        <w:rPr>
          <w:rFonts w:eastAsia="inter" w:cs="inter" w:ascii="inter" w:hAnsi="inter"/>
          <w:color w:val="000000"/>
          <w:sz w:val="18"/>
        </w:rPr>
        <w:t xml:space="preserve"> </w:t>
      </w:r>
    </w:p>
    <w:bookmarkStart w:id="100" w:name="fn40"/>
    <w:bookmarkEnd w:id="100"/>
    <w:p>
      <w:pPr>
        <w:numPr>
          <w:ilvl w:val="0"/>
          <w:numId w:val="31"/>
        </w:numPr>
        <w:spacing w:line="360" w:after="210" w:lineRule="auto"/>
      </w:pPr>
      <w:hyperlink r:id="rId45">
        <w:r>
          <w:rPr>
            <w:rFonts w:eastAsia="inter" w:cs="inter" w:ascii="inter" w:hAnsi="inter"/>
            <w:color w:val="#000"/>
            <w:sz w:val="18"/>
            <w:u w:val="single"/>
          </w:rPr>
          <w:t xml:space="preserve">https://arxiv.org/pdf/2401.04070.pdf</w:t>
        </w:r>
      </w:hyperlink>
      <w:r>
        <w:rPr>
          <w:rFonts w:eastAsia="inter" w:cs="inter" w:ascii="inter" w:hAnsi="inter"/>
          <w:color w:val="000000"/>
          <w:sz w:val="18"/>
        </w:rPr>
        <w:t xml:space="preserve"> </w:t>
      </w:r>
    </w:p>
    <w:bookmarkStart w:id="101" w:name="fn41"/>
    <w:bookmarkEnd w:id="101"/>
    <w:p>
      <w:pPr>
        <w:numPr>
          <w:ilvl w:val="0"/>
          <w:numId w:val="31"/>
        </w:numPr>
        <w:spacing w:line="360" w:after="210" w:lineRule="auto"/>
      </w:pPr>
      <w:hyperlink r:id="rId46">
        <w:r>
          <w:rPr>
            <w:rFonts w:eastAsia="inter" w:cs="inter" w:ascii="inter" w:hAnsi="inter"/>
            <w:color w:val="#000"/>
            <w:sz w:val="18"/>
            <w:u w:val="single"/>
          </w:rPr>
          <w:t xml:space="preserve">https://www.mdpi.com/1424-8220/25/6/1763</w:t>
        </w:r>
      </w:hyperlink>
      <w:r>
        <w:rPr>
          <w:rFonts w:eastAsia="inter" w:cs="inter" w:ascii="inter" w:hAnsi="inter"/>
          <w:color w:val="000000"/>
          <w:sz w:val="18"/>
        </w:rPr>
        <w:t xml:space="preserve"> </w:t>
      </w:r>
    </w:p>
    <w:bookmarkStart w:id="102" w:name="fn42"/>
    <w:bookmarkEnd w:id="102"/>
    <w:p>
      <w:pPr>
        <w:numPr>
          <w:ilvl w:val="0"/>
          <w:numId w:val="31"/>
        </w:numPr>
        <w:spacing w:line="360" w:after="210" w:lineRule="auto"/>
      </w:pPr>
      <w:hyperlink r:id="rId47">
        <w:r>
          <w:rPr>
            <w:rFonts w:eastAsia="inter" w:cs="inter" w:ascii="inter" w:hAnsi="inter"/>
            <w:color w:val="#000"/>
            <w:sz w:val="18"/>
            <w:u w:val="single"/>
          </w:rPr>
          <w:t xml:space="preserve">https://www.mdpi.com/1424-8220/23/3/1279/pdf?version=1674391836</w:t>
        </w:r>
      </w:hyperlink>
      <w:r>
        <w:rPr>
          <w:rFonts w:eastAsia="inter" w:cs="inter" w:ascii="inter" w:hAnsi="inter"/>
          <w:color w:val="000000"/>
          <w:sz w:val="18"/>
        </w:rPr>
        <w:t xml:space="preserve"> </w:t>
      </w:r>
    </w:p>
    <w:bookmarkStart w:id="103" w:name="fn43"/>
    <w:bookmarkEnd w:id="103"/>
    <w:p>
      <w:pPr>
        <w:numPr>
          <w:ilvl w:val="0"/>
          <w:numId w:val="31"/>
        </w:numPr>
        <w:spacing w:line="360" w:after="210" w:lineRule="auto"/>
      </w:pPr>
      <w:hyperlink r:id="rId48">
        <w:r>
          <w:rPr>
            <w:rFonts w:eastAsia="inter" w:cs="inter" w:ascii="inter" w:hAnsi="inter"/>
            <w:color w:val="#000"/>
            <w:sz w:val="18"/>
            <w:u w:val="single"/>
          </w:rPr>
          <w:t xml:space="preserve">https://www.ccsenet.org/journal/index.php/ijbm/article/download/73624/40941</w:t>
        </w:r>
      </w:hyperlink>
      <w:r>
        <w:rPr>
          <w:rFonts w:eastAsia="inter" w:cs="inter" w:ascii="inter" w:hAnsi="inter"/>
          <w:color w:val="000000"/>
          <w:sz w:val="18"/>
        </w:rPr>
        <w:t xml:space="preserve"> </w:t>
      </w:r>
    </w:p>
    <w:bookmarkStart w:id="104" w:name="fn44"/>
    <w:bookmarkEnd w:id="104"/>
    <w:p>
      <w:pPr>
        <w:numPr>
          <w:ilvl w:val="0"/>
          <w:numId w:val="31"/>
        </w:numPr>
        <w:spacing w:line="360" w:after="210" w:lineRule="auto"/>
      </w:pPr>
      <w:hyperlink r:id="rId49">
        <w:r>
          <w:rPr>
            <w:rFonts w:eastAsia="inter" w:cs="inter" w:ascii="inter" w:hAnsi="inter"/>
            <w:color w:val="#000"/>
            <w:sz w:val="18"/>
            <w:u w:val="single"/>
          </w:rPr>
          <w:t xml:space="preserve">https://arxiv.org/pdf/2205.01081.pdf</w:t>
        </w:r>
      </w:hyperlink>
      <w:r>
        <w:rPr>
          <w:rFonts w:eastAsia="inter" w:cs="inter" w:ascii="inter" w:hAnsi="inter"/>
          <w:color w:val="000000"/>
          <w:sz w:val="18"/>
        </w:rPr>
        <w:t xml:space="preserve"> </w:t>
      </w:r>
    </w:p>
    <w:bookmarkStart w:id="105" w:name="fn45"/>
    <w:bookmarkEnd w:id="105"/>
    <w:p>
      <w:pPr>
        <w:numPr>
          <w:ilvl w:val="0"/>
          <w:numId w:val="31"/>
        </w:numPr>
        <w:spacing w:line="360" w:after="210" w:lineRule="auto"/>
      </w:pPr>
      <w:hyperlink r:id="rId50">
        <w:r>
          <w:rPr>
            <w:rFonts w:eastAsia="inter" w:cs="inter" w:ascii="inter" w:hAnsi="inter"/>
            <w:color w:val="#000"/>
            <w:sz w:val="18"/>
            <w:u w:val="single"/>
          </w:rPr>
          <w:t xml:space="preserve">https://www.indianweb2.com/2024/02/deloitte-acquires-israel-based.html</w:t>
        </w:r>
      </w:hyperlink>
      <w:r>
        <w:rPr>
          <w:rFonts w:eastAsia="inter" w:cs="inter" w:ascii="inter" w:hAnsi="inter"/>
          <w:color w:val="000000"/>
          <w:sz w:val="18"/>
        </w:rPr>
        <w:t xml:space="preserve"> </w:t>
      </w:r>
    </w:p>
    <w:bookmarkStart w:id="106" w:name="fn46"/>
    <w:bookmarkEnd w:id="106"/>
    <w:p>
      <w:pPr>
        <w:numPr>
          <w:ilvl w:val="0"/>
          <w:numId w:val="31"/>
        </w:numPr>
        <w:spacing w:line="360" w:after="210" w:lineRule="auto"/>
      </w:pPr>
      <w:hyperlink r:id="rId51">
        <w:r>
          <w:rPr>
            <w:rFonts w:eastAsia="inter" w:cs="inter" w:ascii="inter" w:hAnsi="inter"/>
            <w:color w:val="#000"/>
            <w:sz w:val="18"/>
            <w:u w:val="single"/>
          </w:rPr>
          <w:t xml:space="preserve">https://www.deloitte.com/il/en/services/consulting/perspectives/awesome-a-deloitte-business.html</w:t>
        </w:r>
      </w:hyperlink>
      <w:r>
        <w:rPr>
          <w:rFonts w:eastAsia="inter" w:cs="inter" w:ascii="inter" w:hAnsi="inter"/>
          <w:color w:val="000000"/>
          <w:sz w:val="18"/>
        </w:rPr>
        <w:t xml:space="preserve"> </w:t>
      </w:r>
    </w:p>
    <w:bookmarkStart w:id="107" w:name="fn47"/>
    <w:bookmarkEnd w:id="107"/>
    <w:p>
      <w:pPr>
        <w:numPr>
          <w:ilvl w:val="0"/>
          <w:numId w:val="31"/>
        </w:numPr>
        <w:spacing w:line="360" w:after="210" w:lineRule="auto"/>
      </w:pPr>
      <w:hyperlink r:id="rId52">
        <w:r>
          <w:rPr>
            <w:rFonts w:eastAsia="inter" w:cs="inter" w:ascii="inter" w:hAnsi="inter"/>
            <w:color w:val="#000"/>
            <w:sz w:val="18"/>
            <w:u w:val="single"/>
          </w:rPr>
          <w:t xml:space="preserve">https://bloomer.co.il/deloitte-רוכשת-את-פעילותה-של-opteamizer/</w:t>
        </w:r>
      </w:hyperlink>
      <w:r>
        <w:rPr>
          <w:rFonts w:eastAsia="inter" w:cs="inter" w:ascii="inter" w:hAnsi="inter"/>
          <w:color w:val="000000"/>
          <w:sz w:val="18"/>
        </w:rPr>
        <w:t xml:space="preserve"> </w:t>
      </w:r>
    </w:p>
    <w:bookmarkStart w:id="108" w:name="fn48"/>
    <w:bookmarkEnd w:id="108"/>
    <w:p>
      <w:pPr>
        <w:numPr>
          <w:ilvl w:val="0"/>
          <w:numId w:val="31"/>
        </w:numPr>
        <w:spacing w:line="360" w:after="210" w:lineRule="auto"/>
      </w:pPr>
      <w:hyperlink r:id="rId53">
        <w:r>
          <w:rPr>
            <w:rFonts w:eastAsia="inter" w:cs="inter" w:ascii="inter" w:hAnsi="inter"/>
            <w:color w:val="#000"/>
            <w:sz w:val="18"/>
            <w:u w:val="single"/>
          </w:rPr>
          <w:t xml:space="preserve">https://www.linkedin.com/posts/awesome-deloitte_it-was-one-year-ago-thatdeloittecompleted-activity-6946354939522625536-2X4X</w:t>
        </w:r>
      </w:hyperlink>
      <w:r>
        <w:rPr>
          <w:rFonts w:eastAsia="inter" w:cs="inter" w:ascii="inter" w:hAnsi="inter"/>
          <w:color w:val="000000"/>
          <w:sz w:val="18"/>
        </w:rPr>
        <w:t xml:space="preserve"> </w:t>
      </w:r>
    </w:p>
    <w:bookmarkStart w:id="109" w:name="fn49"/>
    <w:bookmarkEnd w:id="109"/>
    <w:p>
      <w:pPr>
        <w:numPr>
          <w:ilvl w:val="0"/>
          <w:numId w:val="31"/>
        </w:numPr>
        <w:spacing w:line="360" w:after="210" w:lineRule="auto"/>
      </w:pPr>
      <w:hyperlink r:id="rId54">
        <w:r>
          <w:rPr>
            <w:rFonts w:eastAsia="inter" w:cs="inter" w:ascii="inter" w:hAnsi="inter"/>
            <w:color w:val="#000"/>
            <w:sz w:val="18"/>
            <w:u w:val="single"/>
          </w:rPr>
          <w:t xml:space="preserve">https://ibimapublishing.com/articles/JFSR/2021/796491/796491.pdf</w:t>
        </w:r>
      </w:hyperlink>
      <w:r>
        <w:rPr>
          <w:rFonts w:eastAsia="inter" w:cs="inter" w:ascii="inter" w:hAnsi="inter"/>
          <w:color w:val="000000"/>
          <w:sz w:val="18"/>
        </w:rPr>
        <w:t xml:space="preserve"> </w:t>
      </w:r>
    </w:p>
    <w:bookmarkStart w:id="110" w:name="fn50"/>
    <w:bookmarkEnd w:id="110"/>
    <w:p>
      <w:pPr>
        <w:numPr>
          <w:ilvl w:val="0"/>
          <w:numId w:val="31"/>
        </w:numPr>
        <w:spacing w:line="360" w:after="210" w:lineRule="auto"/>
      </w:pPr>
      <w:hyperlink r:id="rId55">
        <w:r>
          <w:rPr>
            <w:rFonts w:eastAsia="inter" w:cs="inter" w:ascii="inter" w:hAnsi="inter"/>
            <w:color w:val="#000"/>
            <w:sz w:val="18"/>
            <w:u w:val="single"/>
          </w:rPr>
          <w:t xml:space="preserve">https://www.mdpi.com/2227-7099/12/7/172/pdf?version=1720095987</w:t>
        </w:r>
      </w:hyperlink>
      <w:r>
        <w:rPr>
          <w:rFonts w:eastAsia="inter" w:cs="inter" w:ascii="inter" w:hAnsi="inter"/>
          <w:color w:val="000000"/>
          <w:sz w:val="18"/>
        </w:rPr>
        <w:t xml:space="preserve"> </w:t>
      </w:r>
    </w:p>
    <w:bookmarkStart w:id="111" w:name="fn51"/>
    <w:bookmarkEnd w:id="111"/>
    <w:p>
      <w:pPr>
        <w:numPr>
          <w:ilvl w:val="0"/>
          <w:numId w:val="31"/>
        </w:numPr>
        <w:spacing w:line="360" w:after="210" w:lineRule="auto"/>
      </w:pPr>
      <w:hyperlink r:id="rId56">
        <w:r>
          <w:rPr>
            <w:rFonts w:eastAsia="inter" w:cs="inter" w:ascii="inter" w:hAnsi="inter"/>
            <w:color w:val="#000"/>
            <w:sz w:val="18"/>
            <w:u w:val="single"/>
          </w:rPr>
          <w:t xml:space="preserve">https://www.tandfonline.com/doi/full/10.1080/00343404.2021.1998418</w:t>
        </w:r>
      </w:hyperlink>
      <w:r>
        <w:rPr>
          <w:rFonts w:eastAsia="inter" w:cs="inter" w:ascii="inter" w:hAnsi="inter"/>
          <w:color w:val="000000"/>
          <w:sz w:val="18"/>
        </w:rPr>
        <w:t xml:space="preserve"> </w:t>
      </w:r>
    </w:p>
    <w:bookmarkStart w:id="112" w:name="fn52"/>
    <w:bookmarkEnd w:id="112"/>
    <w:p>
      <w:pPr>
        <w:numPr>
          <w:ilvl w:val="0"/>
          <w:numId w:val="31"/>
        </w:numPr>
        <w:spacing w:line="360" w:after="210" w:lineRule="auto"/>
      </w:pPr>
      <w:hyperlink r:id="rId57">
        <w:r>
          <w:rPr>
            <w:rFonts w:eastAsia="inter" w:cs="inter" w:ascii="inter" w:hAnsi="inter"/>
            <w:color w:val="#000"/>
            <w:sz w:val="18"/>
            <w:u w:val="single"/>
          </w:rPr>
          <w:t xml:space="preserve">http://arxiv.org/pdf/2402.03910.pdf</w:t>
        </w:r>
      </w:hyperlink>
      <w:r>
        <w:rPr>
          <w:rFonts w:eastAsia="inter" w:cs="inter" w:ascii="inter" w:hAnsi="inter"/>
          <w:color w:val="000000"/>
          <w:sz w:val="18"/>
        </w:rPr>
        <w:t xml:space="preserve"> </w:t>
      </w:r>
    </w:p>
    <w:bookmarkStart w:id="113" w:name="fn53"/>
    <w:bookmarkEnd w:id="113"/>
    <w:p>
      <w:pPr>
        <w:numPr>
          <w:ilvl w:val="0"/>
          <w:numId w:val="31"/>
        </w:numPr>
        <w:spacing w:line="360" w:after="210" w:lineRule="auto"/>
      </w:pPr>
      <w:hyperlink r:id="rId58">
        <w:r>
          <w:rPr>
            <w:rFonts w:eastAsia="inter" w:cs="inter" w:ascii="inter" w:hAnsi="inter"/>
            <w:color w:val="#000"/>
            <w:sz w:val="18"/>
            <w:u w:val="single"/>
          </w:rPr>
          <w:t xml:space="preserve">https://figshare.com/articles/online_resource/The_maturation_of_offshore_sourcing_of_information_technology_work/23889585/1/files/41887665.pdf</w:t>
        </w:r>
      </w:hyperlink>
      <w:r>
        <w:rPr>
          <w:rFonts w:eastAsia="inter" w:cs="inter" w:ascii="inter" w:hAnsi="inter"/>
          <w:color w:val="000000"/>
          <w:sz w:val="18"/>
        </w:rPr>
        <w:t xml:space="preserve"> </w:t>
      </w:r>
    </w:p>
    <w:bookmarkStart w:id="114" w:name="fn54"/>
    <w:bookmarkEnd w:id="114"/>
    <w:p>
      <w:pPr>
        <w:numPr>
          <w:ilvl w:val="0"/>
          <w:numId w:val="31"/>
        </w:numPr>
        <w:spacing w:line="360" w:after="210" w:lineRule="auto"/>
      </w:pPr>
      <w:hyperlink r:id="rId59">
        <w:r>
          <w:rPr>
            <w:rFonts w:eastAsia="inter" w:cs="inter" w:ascii="inter" w:hAnsi="inter"/>
            <w:color w:val="#000"/>
            <w:sz w:val="18"/>
            <w:u w:val="single"/>
          </w:rPr>
          <w:t xml:space="preserve">https://www.deloitte.com/il/en/services/consulting/services/artificial-intelligence-and-data.html</w:t>
        </w:r>
      </w:hyperlink>
      <w:r>
        <w:rPr>
          <w:rFonts w:eastAsia="inter" w:cs="inter" w:ascii="inter" w:hAnsi="inter"/>
          <w:color w:val="000000"/>
          <w:sz w:val="18"/>
        </w:rPr>
        <w:t xml:space="preserve"> </w:t>
      </w:r>
    </w:p>
    <w:bookmarkStart w:id="115" w:name="fn55"/>
    <w:bookmarkEnd w:id="115"/>
    <w:p>
      <w:pPr>
        <w:numPr>
          <w:ilvl w:val="0"/>
          <w:numId w:val="31"/>
        </w:numPr>
        <w:spacing w:line="360" w:after="210" w:lineRule="auto"/>
      </w:pPr>
      <w:hyperlink r:id="rId60">
        <w:r>
          <w:rPr>
            <w:rFonts w:eastAsia="inter" w:cs="inter" w:ascii="inter" w:hAnsi="inter"/>
            <w:color w:val="#000"/>
            <w:sz w:val="18"/>
            <w:u w:val="single"/>
          </w:rPr>
          <w:t xml:space="preserve">https://www.deloitte.com/il/en/services/consulting/perspectives/DeepTech-Explained-September.html</w:t>
        </w:r>
      </w:hyperlink>
      <w:r>
        <w:rPr>
          <w:rFonts w:eastAsia="inter" w:cs="inter" w:ascii="inter" w:hAnsi="inter"/>
          <w:color w:val="000000"/>
          <w:sz w:val="18"/>
        </w:rPr>
        <w:t xml:space="preserve"> </w:t>
      </w:r>
    </w:p>
    <w:bookmarkStart w:id="116" w:name="fn56"/>
    <w:bookmarkEnd w:id="116"/>
    <w:p>
      <w:pPr>
        <w:numPr>
          <w:ilvl w:val="0"/>
          <w:numId w:val="31"/>
        </w:numPr>
        <w:spacing w:line="360" w:after="210" w:lineRule="auto"/>
      </w:pPr>
      <w:hyperlink r:id="rId61">
        <w:r>
          <w:rPr>
            <w:rFonts w:eastAsia="inter" w:cs="inter" w:ascii="inter" w:hAnsi="inter"/>
            <w:color w:val="#000"/>
            <w:sz w:val="18"/>
            <w:u w:val="single"/>
          </w:rPr>
          <w:t xml:space="preserve">https://www.deloitte.com/middle-east/en/about/press-room/deloitte-expands-global-ai-infrastructure-partnership-to-the-middle-east.html</w:t>
        </w:r>
      </w:hyperlink>
      <w:r>
        <w:rPr>
          <w:rFonts w:eastAsia="inter" w:cs="inter" w:ascii="inter" w:hAnsi="inter"/>
          <w:color w:val="000000"/>
          <w:sz w:val="18"/>
        </w:rPr>
        <w:t xml:space="preserve"> </w:t>
      </w:r>
    </w:p>
    <w:bookmarkStart w:id="117" w:name="fn57"/>
    <w:bookmarkEnd w:id="117"/>
    <w:p>
      <w:pPr>
        <w:numPr>
          <w:ilvl w:val="0"/>
          <w:numId w:val="31"/>
        </w:numPr>
        <w:spacing w:line="360" w:after="210" w:lineRule="auto"/>
      </w:pPr>
      <w:hyperlink r:id="rId62">
        <w:r>
          <w:rPr>
            <w:rFonts w:eastAsia="inter" w:cs="inter" w:ascii="inter" w:hAnsi="inter"/>
            <w:color w:val="#000"/>
            <w:sz w:val="18"/>
            <w:u w:val="single"/>
          </w:rPr>
          <w:t xml:space="preserve">https://www.deloitte.com/il/he/services/consulting/services/itil-solutions.html</w:t>
        </w:r>
      </w:hyperlink>
      <w:r>
        <w:rPr>
          <w:rFonts w:eastAsia="inter" w:cs="inter" w:ascii="inter" w:hAnsi="inter"/>
          <w:color w:val="000000"/>
          <w:sz w:val="18"/>
        </w:rPr>
        <w:t xml:space="preserve"> </w:t>
      </w:r>
    </w:p>
    <w:bookmarkStart w:id="118" w:name="fn58"/>
    <w:bookmarkEnd w:id="118"/>
    <w:p>
      <w:pPr>
        <w:numPr>
          <w:ilvl w:val="0"/>
          <w:numId w:val="31"/>
        </w:numPr>
        <w:spacing w:line="360" w:after="210" w:lineRule="auto"/>
      </w:pPr>
      <w:hyperlink r:id="rId63">
        <w:r>
          <w:rPr>
            <w:rFonts w:eastAsia="inter" w:cs="inter" w:ascii="inter" w:hAnsi="inter"/>
            <w:color w:val="#000"/>
            <w:sz w:val="18"/>
            <w:u w:val="single"/>
          </w:rPr>
          <w:t xml:space="preserve">https://www.prnewswire.com/news-releases/deloitte-acquires-innowake-to-help-clients-modernize-aging-it-systems-faster-300469354.html</w:t>
        </w:r>
      </w:hyperlink>
      <w:r>
        <w:rPr>
          <w:rFonts w:eastAsia="inter" w:cs="inter" w:ascii="inter" w:hAnsi="inter"/>
          <w:color w:val="000000"/>
          <w:sz w:val="18"/>
        </w:rPr>
        <w:t xml:space="preserve"> </w:t>
      </w:r>
    </w:p>
    <w:bookmarkStart w:id="119" w:name="fn59"/>
    <w:bookmarkEnd w:id="119"/>
    <w:p>
      <w:pPr>
        <w:numPr>
          <w:ilvl w:val="0"/>
          <w:numId w:val="31"/>
        </w:numPr>
        <w:spacing w:line="360" w:after="210" w:lineRule="auto"/>
      </w:pPr>
      <w:hyperlink r:id="rId64">
        <w:r>
          <w:rPr>
            <w:rFonts w:eastAsia="inter" w:cs="inter" w:ascii="inter" w:hAnsi="inter"/>
            <w:color w:val="#000"/>
            <w:sz w:val="18"/>
            <w:u w:val="single"/>
          </w:rPr>
          <w:t xml:space="preserve">https://www.prnewswire.com/news-releases/deloitte-agrees-to-acquire-hashedin-technologies-a-leading-cloud-native-software-engineering-and-product-development-boutique-301185765.html</w:t>
        </w:r>
      </w:hyperlink>
      <w:r>
        <w:rPr>
          <w:rFonts w:eastAsia="inter" w:cs="inter" w:ascii="inter" w:hAnsi="inter"/>
          <w:color w:val="000000"/>
          <w:sz w:val="18"/>
        </w:rPr>
        <w:t xml:space="preserve"> </w:t>
      </w:r>
    </w:p>
    <w:bookmarkStart w:id="120" w:name="fn60"/>
    <w:bookmarkEnd w:id="120"/>
    <w:p>
      <w:pPr>
        <w:numPr>
          <w:ilvl w:val="0"/>
          <w:numId w:val="31"/>
        </w:numPr>
        <w:spacing w:line="360" w:after="210" w:lineRule="auto"/>
      </w:pPr>
      <w:hyperlink r:id="rId65">
        <w:r>
          <w:rPr>
            <w:rFonts w:eastAsia="inter" w:cs="inter" w:ascii="inter" w:hAnsi="inter"/>
            <w:color w:val="#000"/>
            <w:sz w:val="18"/>
            <w:u w:val="single"/>
          </w:rPr>
          <w:t xml:space="preserve">https://solutionsmap.deloitte.co.il/en/private-solution/business-growth/transactions-financing-and-capital-raising/mergers-acquisitions-advisory-services/</w:t>
        </w:r>
      </w:hyperlink>
      <w:r>
        <w:rPr>
          <w:rFonts w:eastAsia="inter" w:cs="inter" w:ascii="inter" w:hAnsi="inter"/>
          <w:color w:val="000000"/>
          <w:sz w:val="18"/>
        </w:rPr>
        <w:t xml:space="preserve"> </w:t>
      </w:r>
    </w:p>
    <w:bookmarkStart w:id="121" w:name="fn61"/>
    <w:bookmarkEnd w:id="121"/>
    <w:p>
      <w:pPr>
        <w:numPr>
          <w:ilvl w:val="0"/>
          <w:numId w:val="31"/>
        </w:numPr>
        <w:spacing w:line="360" w:after="210" w:lineRule="auto"/>
      </w:pPr>
      <w:hyperlink r:id="rId66">
        <w:r>
          <w:rPr>
            <w:rFonts w:eastAsia="inter" w:cs="inter" w:ascii="inter" w:hAnsi="inter"/>
            <w:color w:val="#000"/>
            <w:sz w:val="18"/>
            <w:u w:val="single"/>
          </w:rPr>
          <w:t xml:space="preserve">https://www.deloitte.com/us/en/about/press-room/deloitte-acquires-opteamizer-to-enhance-generative-ai-capabilities-for-nvidia-ai-solutions.html</w:t>
        </w:r>
      </w:hyperlink>
      <w:r>
        <w:rPr>
          <w:rFonts w:eastAsia="inter" w:cs="inter" w:ascii="inter" w:hAnsi="inter"/>
          <w:color w:val="000000"/>
          <w:sz w:val="18"/>
        </w:rPr>
        <w:t xml:space="preserve"> </w:t>
      </w:r>
    </w:p>
    <w:bookmarkStart w:id="122" w:name="fn62"/>
    <w:bookmarkEnd w:id="122"/>
    <w:p>
      <w:pPr>
        <w:numPr>
          <w:ilvl w:val="0"/>
          <w:numId w:val="31"/>
        </w:numPr>
        <w:spacing w:line="360" w:after="210" w:lineRule="auto"/>
      </w:pPr>
      <w:hyperlink r:id="rId67">
        <w:r>
          <w:rPr>
            <w:rFonts w:eastAsia="inter" w:cs="inter" w:ascii="inter" w:hAnsi="inter"/>
            <w:color w:val="#000"/>
            <w:sz w:val="18"/>
            <w:u w:val="single"/>
          </w:rPr>
          <w:t xml:space="preserve">https://www.calcalist.co.il/local/articles/0,7340,L-3732778,00.html</w:t>
        </w:r>
      </w:hyperlink>
      <w:r>
        <w:rPr>
          <w:rFonts w:eastAsia="inter" w:cs="inter" w:ascii="inter" w:hAnsi="inter"/>
          <w:color w:val="000000"/>
          <w:sz w:val="18"/>
        </w:rPr>
        <w:t xml:space="preserve"> </w:t>
      </w:r>
    </w:p>
    <w:bookmarkStart w:id="123" w:name="fn63"/>
    <w:bookmarkEnd w:id="123"/>
    <w:p>
      <w:pPr>
        <w:numPr>
          <w:ilvl w:val="0"/>
          <w:numId w:val="31"/>
        </w:numPr>
        <w:spacing w:line="360" w:after="210" w:lineRule="auto"/>
      </w:pPr>
      <w:hyperlink r:id="rId68">
        <w:r>
          <w:rPr>
            <w:rFonts w:eastAsia="inter" w:cs="inter" w:ascii="inter" w:hAnsi="inter"/>
            <w:color w:val="#000"/>
            <w:sz w:val="18"/>
            <w:u w:val="single"/>
          </w:rPr>
          <w:t xml:space="preserve">https://iati.co.il/wp-content/uploads/2023/12/IATIThe-impact-of-the-tech-sector-on-the-Israeli-economy-society-2023-full-version.pdf</w:t>
        </w:r>
      </w:hyperlink>
      <w:r>
        <w:rPr>
          <w:rFonts w:eastAsia="inter" w:cs="inter" w:ascii="inter" w:hAnsi="inter"/>
          <w:color w:val="000000"/>
          <w:sz w:val="18"/>
        </w:rPr>
        <w:t xml:space="preserve"> </w:t>
      </w:r>
    </w:p>
    <w:bookmarkStart w:id="124" w:name="fn64"/>
    <w:bookmarkEnd w:id="124"/>
    <w:p>
      <w:pPr>
        <w:numPr>
          <w:ilvl w:val="0"/>
          <w:numId w:val="31"/>
        </w:numPr>
        <w:spacing w:line="360" w:after="210" w:lineRule="auto"/>
      </w:pPr>
      <w:hyperlink r:id="rId69">
        <w:r>
          <w:rPr>
            <w:rFonts w:eastAsia="inter" w:cs="inter" w:ascii="inter" w:hAnsi="inter"/>
            <w:color w:val="#000"/>
            <w:sz w:val="18"/>
            <w:u w:val="single"/>
          </w:rPr>
          <w:t xml:space="preserve">https://www.deloitte.com/il/he/services/consulting/about/welcome-opteamizer.html</w:t>
        </w:r>
      </w:hyperlink>
      <w:r>
        <w:rPr>
          <w:rFonts w:eastAsia="inter" w:cs="inter" w:ascii="inter" w:hAnsi="inter"/>
          <w:color w:val="000000"/>
          <w:sz w:val="18"/>
        </w:rPr>
        <w:t xml:space="preserve"> </w:t>
      </w:r>
    </w:p>
    <w:bookmarkStart w:id="125" w:name="fn65"/>
    <w:bookmarkEnd w:id="125"/>
    <w:p>
      <w:pPr>
        <w:numPr>
          <w:ilvl w:val="0"/>
          <w:numId w:val="31"/>
        </w:numPr>
        <w:spacing w:line="360" w:after="210" w:lineRule="auto"/>
      </w:pPr>
      <w:hyperlink r:id="rId70">
        <w:r>
          <w:rPr>
            <w:rFonts w:eastAsia="inter" w:cs="inter" w:ascii="inter" w:hAnsi="inter"/>
            <w:color w:val="#000"/>
            <w:sz w:val="18"/>
            <w:u w:val="single"/>
          </w:rPr>
          <w:t xml:space="preserve">https://www.calcalistech.com/ctechnews/article/hysljcgixg</w:t>
        </w:r>
      </w:hyperlink>
      <w:r>
        <w:rPr>
          <w:rFonts w:eastAsia="inter" w:cs="inter" w:ascii="inter" w:hAnsi="inter"/>
          <w:color w:val="000000"/>
          <w:sz w:val="18"/>
        </w:rPr>
        <w:t xml:space="preserve"> </w:t>
      </w:r>
    </w:p>
    <w:bookmarkStart w:id="126" w:name="fn66"/>
    <w:bookmarkEnd w:id="126"/>
    <w:p>
      <w:pPr>
        <w:numPr>
          <w:ilvl w:val="0"/>
          <w:numId w:val="31"/>
        </w:numPr>
        <w:spacing w:line="360" w:after="210" w:lineRule="auto"/>
      </w:pPr>
      <w:hyperlink r:id="rId71">
        <w:r>
          <w:rPr>
            <w:rFonts w:eastAsia="inter" w:cs="inter" w:ascii="inter" w:hAnsi="inter"/>
            <w:color w:val="#000"/>
            <w:sz w:val="18"/>
            <w:u w:val="single"/>
          </w:rPr>
          <w:t xml:space="preserve">https://solutionsmap.deloitte.co.il/en/organizations/performance-enhancement/systems-optimization/strategy-and-it-architecture/</w:t>
        </w:r>
      </w:hyperlink>
      <w:r>
        <w:rPr>
          <w:rFonts w:eastAsia="inter" w:cs="inter" w:ascii="inter" w:hAnsi="inter"/>
          <w:color w:val="000000"/>
          <w:sz w:val="18"/>
        </w:rPr>
        <w:t xml:space="preserve"> </w:t>
      </w:r>
    </w:p>
    <w:bookmarkStart w:id="127" w:name="fn67"/>
    <w:bookmarkEnd w:id="127"/>
    <w:p>
      <w:pPr>
        <w:numPr>
          <w:ilvl w:val="0"/>
          <w:numId w:val="31"/>
        </w:numPr>
        <w:spacing w:line="360" w:after="210" w:lineRule="auto"/>
      </w:pPr>
      <w:hyperlink r:id="rId72">
        <w:r>
          <w:rPr>
            <w:rFonts w:eastAsia="inter" w:cs="inter" w:ascii="inter" w:hAnsi="inter"/>
            <w:color w:val="#000"/>
            <w:sz w:val="18"/>
            <w:u w:val="single"/>
          </w:rPr>
          <w:t xml:space="preserve">https://www.calcalistech.com/ctechnews/article/rkm1qbrrge</w:t>
        </w:r>
      </w:hyperlink>
      <w:r>
        <w:rPr>
          <w:rFonts w:eastAsia="inter" w:cs="inter" w:ascii="inter" w:hAnsi="inter"/>
          <w:color w:val="000000"/>
          <w:sz w:val="18"/>
        </w:rPr>
        <w:t xml:space="preserve"> </w:t>
      </w:r>
    </w:p>
    <w:bookmarkStart w:id="128" w:name="fn68"/>
    <w:bookmarkEnd w:id="128"/>
    <w:p>
      <w:pPr>
        <w:numPr>
          <w:ilvl w:val="0"/>
          <w:numId w:val="31"/>
        </w:numPr>
        <w:spacing w:line="360" w:after="210" w:lineRule="auto"/>
      </w:pPr>
      <w:hyperlink r:id="rId73">
        <w:r>
          <w:rPr>
            <w:rFonts w:eastAsia="inter" w:cs="inter" w:ascii="inter" w:hAnsi="inter"/>
            <w:color w:val="#000"/>
            <w:sz w:val="18"/>
            <w:u w:val="single"/>
          </w:rPr>
          <w:t xml:space="preserve">https://en.globes.co.il/en/article-israeli-tech-keeps-the-retail-giants-in-the-game-1001307683</w:t>
        </w:r>
      </w:hyperlink>
      <w:r>
        <w:rPr>
          <w:rFonts w:eastAsia="inter" w:cs="inter" w:ascii="inter" w:hAnsi="inter"/>
          <w:color w:val="000000"/>
          <w:sz w:val="18"/>
        </w:rPr>
        <w:t xml:space="preserve"> </w:t>
      </w:r>
    </w:p>
    <w:bookmarkStart w:id="129" w:name="fn69"/>
    <w:bookmarkEnd w:id="129"/>
    <w:p>
      <w:pPr>
        <w:numPr>
          <w:ilvl w:val="0"/>
          <w:numId w:val="31"/>
        </w:numPr>
        <w:spacing w:line="360" w:after="210" w:lineRule="auto"/>
      </w:pPr>
      <w:hyperlink r:id="rId74">
        <w:r>
          <w:rPr>
            <w:rFonts w:eastAsia="inter" w:cs="inter" w:ascii="inter" w:hAnsi="inter"/>
            <w:color w:val="#000"/>
            <w:sz w:val="18"/>
            <w:u w:val="single"/>
          </w:rPr>
          <w:t xml:space="preserve">https://www.deloitte.com/il/en/Industries/consumer/research/future-of-retail-tech-emerging-landscape-in-israel-2020.html</w:t>
        </w:r>
      </w:hyperlink>
      <w:r>
        <w:rPr>
          <w:rFonts w:eastAsia="inter" w:cs="inter" w:ascii="inter" w:hAnsi="inter"/>
          <w:color w:val="000000"/>
          <w:sz w:val="18"/>
        </w:rPr>
        <w:t xml:space="preserve"> </w:t>
      </w:r>
    </w:p>
    <w:bookmarkStart w:id="130" w:name="fn70"/>
    <w:bookmarkEnd w:id="130"/>
    <w:p>
      <w:pPr>
        <w:numPr>
          <w:ilvl w:val="0"/>
          <w:numId w:val="31"/>
        </w:numPr>
        <w:spacing w:line="360" w:after="210" w:lineRule="auto"/>
      </w:pPr>
      <w:hyperlink r:id="rId75">
        <w:r>
          <w:rPr>
            <w:rFonts w:eastAsia="inter" w:cs="inter" w:ascii="inter" w:hAnsi="inter"/>
            <w:color w:val="#000"/>
            <w:sz w:val="18"/>
            <w:u w:val="single"/>
          </w:rPr>
          <w:t xml:space="preserve">https://www.asianinstituteofresearch.org/JEBarchives/Government-Support-for-Startups%3A-A-Comprehensive-Analysis-of-Funding-Initiatives-and-the-Role-of-the-Indian-Government-in-Nurturing-the-Startup-Ecosystem</w:t>
        </w:r>
      </w:hyperlink>
      <w:r>
        <w:rPr>
          <w:rFonts w:eastAsia="inter" w:cs="inter" w:ascii="inter" w:hAnsi="inter"/>
          <w:color w:val="000000"/>
          <w:sz w:val="18"/>
        </w:rPr>
        <w:t xml:space="preserve"> </w:t>
      </w:r>
    </w:p>
    <w:bookmarkStart w:id="131" w:name="fn71"/>
    <w:bookmarkEnd w:id="131"/>
    <w:p>
      <w:pPr>
        <w:numPr>
          <w:ilvl w:val="0"/>
          <w:numId w:val="31"/>
        </w:numPr>
        <w:spacing w:line="360" w:after="210" w:lineRule="auto"/>
      </w:pPr>
      <w:hyperlink r:id="rId76">
        <w:r>
          <w:rPr>
            <w:rFonts w:eastAsia="inter" w:cs="inter" w:ascii="inter" w:hAnsi="inter"/>
            <w:color w:val="#000"/>
            <w:sz w:val="18"/>
            <w:u w:val="single"/>
          </w:rPr>
          <w:t xml:space="preserve">https://www.mdpi.com/2254-9625/13/9/130/pdf?version=1694586407</w:t>
        </w:r>
      </w:hyperlink>
      <w:r>
        <w:rPr>
          <w:rFonts w:eastAsia="inter" w:cs="inter" w:ascii="inter" w:hAnsi="inter"/>
          <w:color w:val="000000"/>
          <w:sz w:val="18"/>
        </w:rPr>
        <w:t xml:space="preserve"> </w:t>
      </w:r>
    </w:p>
    <w:bookmarkStart w:id="132" w:name="fn72"/>
    <w:bookmarkEnd w:id="132"/>
    <w:p>
      <w:pPr>
        <w:numPr>
          <w:ilvl w:val="0"/>
          <w:numId w:val="31"/>
        </w:numPr>
        <w:spacing w:line="360" w:after="210" w:lineRule="auto"/>
      </w:pPr>
      <w:hyperlink r:id="rId77">
        <w:r>
          <w:rPr>
            <w:rFonts w:eastAsia="inter" w:cs="inter" w:ascii="inter" w:hAnsi="inter"/>
            <w:color w:val="#000"/>
            <w:sz w:val="18"/>
            <w:u w:val="single"/>
          </w:rPr>
          <w:t xml:space="preserve">https://www.mdpi.com/2071-1050/13/9/4632/pdf?version=1620636663</w:t>
        </w:r>
      </w:hyperlink>
      <w:r>
        <w:rPr>
          <w:rFonts w:eastAsia="inter" w:cs="inter" w:ascii="inter" w:hAnsi="inter"/>
          <w:color w:val="000000"/>
          <w:sz w:val="18"/>
        </w:rPr>
        <w:t xml:space="preserve"> </w:t>
      </w:r>
    </w:p>
    <w:bookmarkStart w:id="133" w:name="fn73"/>
    <w:bookmarkEnd w:id="133"/>
    <w:p>
      <w:pPr>
        <w:numPr>
          <w:ilvl w:val="0"/>
          <w:numId w:val="31"/>
        </w:numPr>
        <w:spacing w:line="360" w:after="210" w:lineRule="auto"/>
      </w:pPr>
      <w:hyperlink r:id="rId78">
        <w:r>
          <w:rPr>
            <w:rFonts w:eastAsia="inter" w:cs="inter" w:ascii="inter" w:hAnsi="inter"/>
            <w:color w:val="#000"/>
            <w:sz w:val="18"/>
            <w:u w:val="single"/>
          </w:rPr>
          <w:t xml:space="preserve">https://www.mdpi.com/2071-1050/13/24/13687/pdf?version=1639376383</w:t>
        </w:r>
      </w:hyperlink>
      <w:r>
        <w:rPr>
          <w:rFonts w:eastAsia="inter" w:cs="inter" w:ascii="inter" w:hAnsi="inter"/>
          <w:color w:val="000000"/>
          <w:sz w:val="18"/>
        </w:rPr>
        <w:t xml:space="preserve"> </w:t>
      </w:r>
    </w:p>
    <w:bookmarkStart w:id="134" w:name="fn74"/>
    <w:bookmarkEnd w:id="134"/>
    <w:p>
      <w:pPr>
        <w:numPr>
          <w:ilvl w:val="0"/>
          <w:numId w:val="31"/>
        </w:numPr>
        <w:spacing w:line="360" w:after="210" w:lineRule="auto"/>
      </w:pPr>
      <w:hyperlink r:id="rId79">
        <w:r>
          <w:rPr>
            <w:rFonts w:eastAsia="inter" w:cs="inter" w:ascii="inter" w:hAnsi="inter"/>
            <w:color w:val="#000"/>
            <w:sz w:val="18"/>
            <w:u w:val="single"/>
          </w:rPr>
          <w:t xml:space="preserve">https://www.mdpi.com/2075-1680/12/6/528/pdf?version=1687230920</w:t>
        </w:r>
      </w:hyperlink>
      <w:r>
        <w:rPr>
          <w:rFonts w:eastAsia="inter" w:cs="inter" w:ascii="inter" w:hAnsi="inter"/>
          <w:color w:val="000000"/>
          <w:sz w:val="18"/>
        </w:rPr>
        <w:t xml:space="preserve"> </w:t>
      </w:r>
    </w:p>
    <w:bookmarkStart w:id="135" w:name="fn75"/>
    <w:bookmarkEnd w:id="135"/>
    <w:p>
      <w:pPr>
        <w:numPr>
          <w:ilvl w:val="0"/>
          <w:numId w:val="31"/>
        </w:numPr>
        <w:spacing w:line="360" w:after="210" w:lineRule="auto"/>
      </w:pPr>
      <w:hyperlink r:id="rId80">
        <w:r>
          <w:rPr>
            <w:rFonts w:eastAsia="inter" w:cs="inter" w:ascii="inter" w:hAnsi="inter"/>
            <w:color w:val="#000"/>
            <w:sz w:val="18"/>
            <w:u w:val="single"/>
          </w:rPr>
          <w:t xml:space="preserve">https://www.mdpi.com/2071-1050/15/16/12419/pdf?version=1692155456</w:t>
        </w:r>
      </w:hyperlink>
      <w:r>
        <w:rPr>
          <w:rFonts w:eastAsia="inter" w:cs="inter" w:ascii="inter" w:hAnsi="inter"/>
          <w:color w:val="000000"/>
          <w:sz w:val="18"/>
        </w:rPr>
        <w:t xml:space="preserve"> </w:t>
      </w:r>
    </w:p>
    <w:bookmarkStart w:id="136" w:name="fn76"/>
    <w:bookmarkEnd w:id="136"/>
    <w:p>
      <w:pPr>
        <w:numPr>
          <w:ilvl w:val="0"/>
          <w:numId w:val="31"/>
        </w:numPr>
        <w:spacing w:line="360" w:after="210" w:lineRule="auto"/>
      </w:pPr>
      <w:hyperlink r:id="rId81">
        <w:r>
          <w:rPr>
            <w:rFonts w:eastAsia="inter" w:cs="inter" w:ascii="inter" w:hAnsi="inter"/>
            <w:color w:val="#000"/>
            <w:sz w:val="18"/>
            <w:u w:val="single"/>
          </w:rPr>
          <w:t xml:space="preserve">https://www.mdpi.com/2673-7116/2/4/31/pdf?version=1666102702</w:t>
        </w:r>
      </w:hyperlink>
      <w:r>
        <w:rPr>
          <w:rFonts w:eastAsia="inter" w:cs="inter" w:ascii="inter" w:hAnsi="inter"/>
          <w:color w:val="000000"/>
          <w:sz w:val="18"/>
        </w:rPr>
        <w:t xml:space="preserve"> </w:t>
      </w:r>
    </w:p>
    <w:bookmarkStart w:id="137" w:name="fn77"/>
    <w:bookmarkEnd w:id="137"/>
    <w:p>
      <w:pPr>
        <w:numPr>
          <w:ilvl w:val="0"/>
          <w:numId w:val="31"/>
        </w:numPr>
        <w:spacing w:line="360" w:after="210" w:lineRule="auto"/>
      </w:pPr>
      <w:hyperlink r:id="rId82">
        <w:r>
          <w:rPr>
            <w:rFonts w:eastAsia="inter" w:cs="inter" w:ascii="inter" w:hAnsi="inter"/>
            <w:color w:val="#000"/>
            <w:sz w:val="18"/>
            <w:u w:val="single"/>
          </w:rPr>
          <w:t xml:space="preserve">https://www.emerald.com/insight/content/doi/10.1108/EJIM-01-2024-0081/full/pdf?title=strategies-for-digital-entrepreneurship-success-the-role-of-digital-implementation-and-dynamic-capabilities</w:t>
        </w:r>
      </w:hyperlink>
      <w:r>
        <w:rPr>
          <w:rFonts w:eastAsia="inter" w:cs="inter" w:ascii="inter" w:hAnsi="inter"/>
          <w:color w:val="000000"/>
          <w:sz w:val="18"/>
        </w:rPr>
        <w:t xml:space="preserve"> </w:t>
      </w:r>
    </w:p>
    <w:bookmarkStart w:id="138" w:name="fn78"/>
    <w:bookmarkEnd w:id="138"/>
    <w:p>
      <w:pPr>
        <w:numPr>
          <w:ilvl w:val="0"/>
          <w:numId w:val="31"/>
        </w:numPr>
        <w:spacing w:line="360" w:after="210" w:lineRule="auto"/>
      </w:pPr>
      <w:hyperlink r:id="rId83">
        <w:r>
          <w:rPr>
            <w:rFonts w:eastAsia="inter" w:cs="inter" w:ascii="inter" w:hAnsi="inter"/>
            <w:color w:val="#000"/>
            <w:sz w:val="18"/>
            <w:u w:val="single"/>
          </w:rPr>
          <w:t xml:space="preserve">https://onlinelibrary.wiley.com/doi/pdfdirect/10.1111/radm.12587</w:t>
        </w:r>
      </w:hyperlink>
      <w:r>
        <w:rPr>
          <w:rFonts w:eastAsia="inter" w:cs="inter" w:ascii="inter" w:hAnsi="inter"/>
          <w:color w:val="000000"/>
          <w:sz w:val="18"/>
        </w:rPr>
        <w:t xml:space="preserve"> </w:t>
      </w:r>
    </w:p>
    <w:bookmarkStart w:id="139" w:name="fn79"/>
    <w:bookmarkEnd w:id="139"/>
    <w:p>
      <w:pPr>
        <w:numPr>
          <w:ilvl w:val="0"/>
          <w:numId w:val="31"/>
        </w:numPr>
        <w:spacing w:line="360" w:after="210" w:lineRule="auto"/>
      </w:pPr>
      <w:hyperlink r:id="rId84">
        <w:r>
          <w:rPr>
            <w:rFonts w:eastAsia="inter" w:cs="inter" w:ascii="inter" w:hAnsi="inter"/>
            <w:color w:val="#000"/>
            <w:sz w:val="18"/>
            <w:u w:val="single"/>
          </w:rPr>
          <w:t xml:space="preserve">https://launchpad.deloitte.co.il</w:t>
        </w:r>
      </w:hyperlink>
      <w:r>
        <w:rPr>
          <w:rFonts w:eastAsia="inter" w:cs="inter" w:ascii="inter" w:hAnsi="inter"/>
          <w:color w:val="000000"/>
          <w:sz w:val="18"/>
        </w:rPr>
        <w:t xml:space="preserve"> </w:t>
      </w:r>
    </w:p>
    <w:bookmarkStart w:id="140" w:name="fn80"/>
    <w:bookmarkEnd w:id="140"/>
    <w:p>
      <w:pPr>
        <w:numPr>
          <w:ilvl w:val="0"/>
          <w:numId w:val="31"/>
        </w:numPr>
        <w:spacing w:line="360" w:after="210" w:lineRule="auto"/>
      </w:pPr>
      <w:hyperlink r:id="rId85">
        <w:r>
          <w:rPr>
            <w:rFonts w:eastAsia="inter" w:cs="inter" w:ascii="inter" w:hAnsi="inter"/>
            <w:color w:val="#000"/>
            <w:sz w:val="18"/>
            <w:u w:val="single"/>
          </w:rPr>
          <w:t xml:space="preserve">https://www.destinationisrael.com/works/deloitte-catalyst</w:t>
        </w:r>
      </w:hyperlink>
      <w:r>
        <w:rPr>
          <w:rFonts w:eastAsia="inter" w:cs="inter" w:ascii="inter" w:hAnsi="inter"/>
          <w:color w:val="000000"/>
          <w:sz w:val="18"/>
        </w:rPr>
        <w:t xml:space="preserve"> </w:t>
      </w:r>
    </w:p>
    <w:bookmarkStart w:id="141" w:name="fn81"/>
    <w:bookmarkEnd w:id="141"/>
    <w:p>
      <w:pPr>
        <w:numPr>
          <w:ilvl w:val="0"/>
          <w:numId w:val="31"/>
        </w:numPr>
        <w:spacing w:line="360" w:after="210" w:lineRule="auto"/>
      </w:pPr>
      <w:hyperlink r:id="rId86">
        <w:r>
          <w:rPr>
            <w:rFonts w:eastAsia="inter" w:cs="inter" w:ascii="inter" w:hAnsi="inter"/>
            <w:color w:val="#000"/>
            <w:sz w:val="18"/>
            <w:u w:val="single"/>
          </w:rPr>
          <w:t xml:space="preserve">https://www.timesofisrael.com/amid-war-deloitte-kicks-off-7th-cohort-for-israel-startup-accelerator-program/</w:t>
        </w:r>
      </w:hyperlink>
      <w:r>
        <w:rPr>
          <w:rFonts w:eastAsia="inter" w:cs="inter" w:ascii="inter" w:hAnsi="inter"/>
          <w:color w:val="000000"/>
          <w:sz w:val="18"/>
        </w:rPr>
        <w:t xml:space="preserve"> </w:t>
      </w:r>
    </w:p>
    <w:bookmarkStart w:id="142" w:name="fn82"/>
    <w:bookmarkEnd w:id="142"/>
    <w:p>
      <w:pPr>
        <w:numPr>
          <w:ilvl w:val="0"/>
          <w:numId w:val="31"/>
        </w:numPr>
        <w:spacing w:line="360" w:after="210" w:lineRule="auto"/>
      </w:pPr>
      <w:hyperlink r:id="rId87">
        <w:r>
          <w:rPr>
            <w:rFonts w:eastAsia="inter" w:cs="inter" w:ascii="inter" w:hAnsi="inter"/>
            <w:color w:val="#000"/>
            <w:sz w:val="18"/>
            <w:u w:val="single"/>
          </w:rPr>
          <w:t xml:space="preserve">https://www.prnewswire.com/news-releases/deloitte-launches-cortexai-platform-to-help-organizations-accelerate-applied-ai-in-the-age-of-with-301150922.html</w:t>
        </w:r>
      </w:hyperlink>
      <w:r>
        <w:rPr>
          <w:rFonts w:eastAsia="inter" w:cs="inter" w:ascii="inter" w:hAnsi="inter"/>
          <w:color w:val="000000"/>
          <w:sz w:val="18"/>
        </w:rPr>
        <w:t xml:space="preserve"> </w:t>
      </w:r>
    </w:p>
    <w:bookmarkStart w:id="143" w:name="fn83"/>
    <w:bookmarkEnd w:id="143"/>
    <w:p>
      <w:pPr>
        <w:numPr>
          <w:ilvl w:val="0"/>
          <w:numId w:val="31"/>
        </w:numPr>
        <w:spacing w:line="360" w:after="210" w:lineRule="auto"/>
      </w:pPr>
      <w:hyperlink r:id="rId88">
        <w:r>
          <w:rPr>
            <w:rFonts w:eastAsia="inter" w:cs="inter" w:ascii="inter" w:hAnsi="inter"/>
            <w:color w:val="#000"/>
            <w:sz w:val="18"/>
            <w:u w:val="single"/>
          </w:rPr>
          <w:t xml:space="preserve">https://solutionsmap.deloitte.co.il/en/catalyst/</w:t>
        </w:r>
      </w:hyperlink>
      <w:r>
        <w:rPr>
          <w:rFonts w:eastAsia="inter" w:cs="inter" w:ascii="inter" w:hAnsi="inter"/>
          <w:color w:val="000000"/>
          <w:sz w:val="18"/>
        </w:rPr>
        <w:t xml:space="preserve"> </w:t>
      </w:r>
    </w:p>
    <w:bookmarkStart w:id="144" w:name="fn84"/>
    <w:bookmarkEnd w:id="144"/>
    <w:p>
      <w:pPr>
        <w:numPr>
          <w:ilvl w:val="0"/>
          <w:numId w:val="31"/>
        </w:numPr>
        <w:spacing w:line="360" w:after="210" w:lineRule="auto"/>
      </w:pPr>
      <w:hyperlink r:id="rId89">
        <w:r>
          <w:rPr>
            <w:rFonts w:eastAsia="inter" w:cs="inter" w:ascii="inter" w:hAnsi="inter"/>
            <w:color w:val="#000"/>
            <w:sz w:val="18"/>
            <w:u w:val="single"/>
          </w:rPr>
          <w:t xml:space="preserve">https://www.calcalistech.com/ctechnews/article/hk7js0nwjg</w:t>
        </w:r>
      </w:hyperlink>
      <w:r>
        <w:rPr>
          <w:rFonts w:eastAsia="inter" w:cs="inter" w:ascii="inter" w:hAnsi="inter"/>
          <w:color w:val="000000"/>
          <w:sz w:val="18"/>
        </w:rPr>
        <w:t xml:space="preserve"> </w:t>
      </w:r>
    </w:p>
    <w:bookmarkStart w:id="145" w:name="fn85"/>
    <w:bookmarkEnd w:id="145"/>
    <w:p>
      <w:pPr>
        <w:numPr>
          <w:ilvl w:val="0"/>
          <w:numId w:val="31"/>
        </w:numPr>
        <w:spacing w:line="360" w:after="210" w:lineRule="auto"/>
      </w:pPr>
      <w:hyperlink r:id="rId90">
        <w:r>
          <w:rPr>
            <w:rFonts w:eastAsia="inter" w:cs="inter" w:ascii="inter" w:hAnsi="inter"/>
            <w:color w:val="#000"/>
            <w:sz w:val="18"/>
            <w:u w:val="single"/>
          </w:rPr>
          <w:t xml:space="preserve">https://www.prnewswire.com/news-releases/deloitte-launches-cortexai-for-government-platform-to-help-the-public-sector-build-operate-and-scale-ai-solutions-301217050.html</w:t>
        </w:r>
      </w:hyperlink>
      <w:r>
        <w:rPr>
          <w:rFonts w:eastAsia="inter" w:cs="inter" w:ascii="inter" w:hAnsi="inter"/>
          <w:color w:val="000000"/>
          <w:sz w:val="18"/>
        </w:rPr>
        <w:t xml:space="preserve"> </w:t>
      </w:r>
    </w:p>
    <w:bookmarkStart w:id="146" w:name="fn86"/>
    <w:bookmarkEnd w:id="146"/>
    <w:p>
      <w:pPr>
        <w:numPr>
          <w:ilvl w:val="0"/>
          <w:numId w:val="31"/>
        </w:numPr>
        <w:spacing w:line="360" w:after="210" w:lineRule="auto"/>
      </w:pPr>
      <w:hyperlink r:id="rId91">
        <w:r>
          <w:rPr>
            <w:rFonts w:eastAsia="inter" w:cs="inter" w:ascii="inter" w:hAnsi="inter"/>
            <w:color w:val="#000"/>
            <w:sz w:val="18"/>
            <w:u w:val="single"/>
          </w:rPr>
          <w:t xml:space="preserve">https://www.calcalistech.com/ctechnews/article/rysbkhwbee</w:t>
        </w:r>
      </w:hyperlink>
      <w:r>
        <w:rPr>
          <w:rFonts w:eastAsia="inter" w:cs="inter" w:ascii="inter" w:hAnsi="inter"/>
          <w:color w:val="000000"/>
          <w:sz w:val="18"/>
        </w:rPr>
        <w:t xml:space="preserve"> </w:t>
      </w:r>
    </w:p>
    <w:bookmarkStart w:id="147" w:name="fn87"/>
    <w:bookmarkEnd w:id="147"/>
    <w:p>
      <w:pPr>
        <w:numPr>
          <w:ilvl w:val="0"/>
          <w:numId w:val="31"/>
        </w:numPr>
        <w:spacing w:line="360" w:after="210" w:lineRule="auto"/>
      </w:pPr>
      <w:hyperlink r:id="rId92">
        <w:r>
          <w:rPr>
            <w:rFonts w:eastAsia="inter" w:cs="inter" w:ascii="inter" w:hAnsi="inter"/>
            <w:color w:val="#000"/>
            <w:sz w:val="18"/>
            <w:u w:val="single"/>
          </w:rPr>
          <w:t xml:space="preserve">https://www.deloitte.com/il/he/what-we-do/Own-Tomorrow-With-Deloitte/data-and-ai.html</w:t>
        </w:r>
      </w:hyperlink>
      <w:r>
        <w:rPr>
          <w:rFonts w:eastAsia="inter" w:cs="inter" w:ascii="inter" w:hAnsi="inter"/>
          <w:color w:val="000000"/>
          <w:sz w:val="18"/>
        </w:rPr>
        <w:t xml:space="preserve"> </w:t>
      </w:r>
    </w:p>
    <w:bookmarkStart w:id="148" w:name="fn88"/>
    <w:bookmarkEnd w:id="148"/>
    <w:p>
      <w:pPr>
        <w:numPr>
          <w:ilvl w:val="0"/>
          <w:numId w:val="31"/>
        </w:numPr>
        <w:spacing w:line="360" w:after="210" w:lineRule="auto"/>
      </w:pPr>
      <w:hyperlink r:id="rId93">
        <w:r>
          <w:rPr>
            <w:rFonts w:eastAsia="inter" w:cs="inter" w:ascii="inter" w:hAnsi="inter"/>
            <w:color w:val="#000"/>
            <w:sz w:val="18"/>
            <w:u w:val="single"/>
          </w:rPr>
          <w:t xml:space="preserve">https://www.deloitte.com/il/en/services/consulting-financial/services/deloitte-catalyst.html</w:t>
        </w:r>
      </w:hyperlink>
      <w:r>
        <w:rPr>
          <w:rFonts w:eastAsia="inter" w:cs="inter" w:ascii="inter" w:hAnsi="inter"/>
          <w:color w:val="000000"/>
          <w:sz w:val="18"/>
        </w:rPr>
        <w:t xml:space="preserve"> </w:t>
      </w:r>
    </w:p>
    <w:bookmarkStart w:id="149" w:name="fn89"/>
    <w:bookmarkEnd w:id="149"/>
    <w:p>
      <w:pPr>
        <w:numPr>
          <w:ilvl w:val="0"/>
          <w:numId w:val="31"/>
        </w:numPr>
        <w:spacing w:line="360" w:after="210" w:lineRule="auto"/>
      </w:pPr>
      <w:hyperlink r:id="rId94">
        <w:r>
          <w:rPr>
            <w:rFonts w:eastAsia="inter" w:cs="inter" w:ascii="inter" w:hAnsi="inter"/>
            <w:color w:val="#000"/>
            <w:sz w:val="18"/>
            <w:u w:val="single"/>
          </w:rPr>
          <w:t xml:space="preserve">https://nocamels.com/2024/05/10-more-israeli-startups-join-global-consulting-firms-accelerator/</w:t>
        </w:r>
      </w:hyperlink>
      <w:r>
        <w:rPr>
          <w:rFonts w:eastAsia="inter" w:cs="inter" w:ascii="inter" w:hAnsi="inter"/>
          <w:color w:val="000000"/>
          <w:sz w:val="18"/>
        </w:rPr>
        <w:t xml:space="preserve"> </w:t>
      </w:r>
    </w:p>
    <w:bookmarkStart w:id="150" w:name="fn90"/>
    <w:bookmarkEnd w:id="150"/>
    <w:p>
      <w:pPr>
        <w:numPr>
          <w:ilvl w:val="0"/>
          <w:numId w:val="31"/>
        </w:numPr>
        <w:spacing w:line="360" w:after="210" w:lineRule="auto"/>
      </w:pPr>
      <w:hyperlink r:id="rId95">
        <w:r>
          <w:rPr>
            <w:rFonts w:eastAsia="inter" w:cs="inter" w:ascii="inter" w:hAnsi="inter"/>
            <w:color w:val="#000"/>
            <w:sz w:val="18"/>
            <w:u w:val="single"/>
          </w:rPr>
          <w:t xml:space="preserve">https://anthrosource.onlinelibrary.wiley.com/doi/10.1111/epic.12198</w:t>
        </w:r>
      </w:hyperlink>
      <w:r>
        <w:rPr>
          <w:rFonts w:eastAsia="inter" w:cs="inter" w:ascii="inter" w:hAnsi="inter"/>
          <w:color w:val="000000"/>
          <w:sz w:val="18"/>
        </w:rPr>
        <w:t xml:space="preserve"> </w:t>
      </w:r>
    </w:p>
    <w:bookmarkStart w:id="151" w:name="fn91"/>
    <w:bookmarkEnd w:id="151"/>
    <w:p>
      <w:pPr>
        <w:numPr>
          <w:ilvl w:val="0"/>
          <w:numId w:val="31"/>
        </w:numPr>
        <w:spacing w:line="360" w:after="210" w:lineRule="auto"/>
      </w:pPr>
      <w:hyperlink r:id="rId96">
        <w:r>
          <w:rPr>
            <w:rFonts w:eastAsia="inter" w:cs="inter" w:ascii="inter" w:hAnsi="inter"/>
            <w:color w:val="#000"/>
            <w:sz w:val="18"/>
            <w:u w:val="single"/>
          </w:rPr>
          <w:t xml:space="preserve">https://arxiv.org/pdf/2312.10893.pdf</w:t>
        </w:r>
      </w:hyperlink>
      <w:r>
        <w:rPr>
          <w:rFonts w:eastAsia="inter" w:cs="inter" w:ascii="inter" w:hAnsi="inter"/>
          <w:color w:val="000000"/>
          <w:sz w:val="18"/>
        </w:rPr>
        <w:t xml:space="preserve"> </w:t>
      </w:r>
    </w:p>
    <w:bookmarkStart w:id="152" w:name="fn92"/>
    <w:bookmarkEnd w:id="152"/>
    <w:p>
      <w:pPr>
        <w:numPr>
          <w:ilvl w:val="0"/>
          <w:numId w:val="31"/>
        </w:numPr>
        <w:spacing w:line="360" w:after="210" w:lineRule="auto"/>
      </w:pPr>
      <w:hyperlink r:id="rId97">
        <w:r>
          <w:rPr>
            <w:rFonts w:eastAsia="inter" w:cs="inter" w:ascii="inter" w:hAnsi="inter"/>
            <w:color w:val="#000"/>
            <w:sz w:val="18"/>
            <w:u w:val="single"/>
          </w:rPr>
          <w:t xml:space="preserve">http://arxiv.org/pdf/2411.14437.pdf</w:t>
        </w:r>
      </w:hyperlink>
      <w:r>
        <w:rPr>
          <w:rFonts w:eastAsia="inter" w:cs="inter" w:ascii="inter" w:hAnsi="inter"/>
          <w:color w:val="000000"/>
          <w:sz w:val="18"/>
        </w:rPr>
        <w:t xml:space="preserve"> </w:t>
      </w:r>
    </w:p>
    <w:bookmarkStart w:id="153" w:name="fn93"/>
    <w:bookmarkEnd w:id="153"/>
    <w:p>
      <w:pPr>
        <w:numPr>
          <w:ilvl w:val="0"/>
          <w:numId w:val="31"/>
        </w:numPr>
        <w:spacing w:line="360" w:after="210" w:lineRule="auto"/>
      </w:pPr>
      <w:hyperlink r:id="rId98">
        <w:r>
          <w:rPr>
            <w:rFonts w:eastAsia="inter" w:cs="inter" w:ascii="inter" w:hAnsi="inter"/>
            <w:color w:val="#000"/>
            <w:sz w:val="18"/>
            <w:u w:val="single"/>
          </w:rPr>
          <w:t xml:space="preserve">https://arxiv.org/pdf/2410.18357.pdf</w:t>
        </w:r>
      </w:hyperlink>
      <w:r>
        <w:rPr>
          <w:rFonts w:eastAsia="inter" w:cs="inter" w:ascii="inter" w:hAnsi="inter"/>
          <w:color w:val="000000"/>
          <w:sz w:val="18"/>
        </w:rPr>
        <w:t xml:space="preserve"> </w:t>
      </w:r>
    </w:p>
    <w:bookmarkStart w:id="154" w:name="fn94"/>
    <w:bookmarkEnd w:id="154"/>
    <w:p>
      <w:pPr>
        <w:numPr>
          <w:ilvl w:val="0"/>
          <w:numId w:val="31"/>
        </w:numPr>
        <w:spacing w:line="360" w:after="210" w:lineRule="auto"/>
      </w:pPr>
      <w:hyperlink r:id="rId99">
        <w:r>
          <w:rPr>
            <w:rFonts w:eastAsia="inter" w:cs="inter" w:ascii="inter" w:hAnsi="inter"/>
            <w:color w:val="#000"/>
            <w:sz w:val="18"/>
            <w:u w:val="single"/>
          </w:rPr>
          <w:t xml:space="preserve">https://arxiv.org/pdf/2407.12004.pdf</w:t>
        </w:r>
      </w:hyperlink>
      <w:r>
        <w:rPr>
          <w:rFonts w:eastAsia="inter" w:cs="inter" w:ascii="inter" w:hAnsi="inter"/>
          <w:color w:val="000000"/>
          <w:sz w:val="18"/>
        </w:rPr>
        <w:t xml:space="preserve"> </w:t>
      </w:r>
    </w:p>
    <w:bookmarkStart w:id="155" w:name="fn95"/>
    <w:bookmarkEnd w:id="155"/>
    <w:p>
      <w:pPr>
        <w:numPr>
          <w:ilvl w:val="0"/>
          <w:numId w:val="31"/>
        </w:numPr>
        <w:spacing w:line="360" w:after="210" w:lineRule="auto"/>
      </w:pPr>
      <w:hyperlink r:id="rId100">
        <w:r>
          <w:rPr>
            <w:rFonts w:eastAsia="inter" w:cs="inter" w:ascii="inter" w:hAnsi="inter"/>
            <w:color w:val="#000"/>
            <w:sz w:val="18"/>
            <w:u w:val="single"/>
          </w:rPr>
          <w:t xml:space="preserve">http://arxiv.org/pdf/2407.17495.pdf</w:t>
        </w:r>
      </w:hyperlink>
      <w:r>
        <w:rPr>
          <w:rFonts w:eastAsia="inter" w:cs="inter" w:ascii="inter" w:hAnsi="inter"/>
          <w:color w:val="000000"/>
          <w:sz w:val="18"/>
        </w:rPr>
        <w:t xml:space="preserve"> </w:t>
      </w:r>
    </w:p>
    <w:bookmarkStart w:id="156" w:name="fn96"/>
    <w:bookmarkEnd w:id="156"/>
    <w:p>
      <w:pPr>
        <w:numPr>
          <w:ilvl w:val="0"/>
          <w:numId w:val="31"/>
        </w:numPr>
        <w:spacing w:line="360" w:after="210" w:lineRule="auto"/>
      </w:pPr>
      <w:hyperlink r:id="rId101">
        <w:r>
          <w:rPr>
            <w:rFonts w:eastAsia="inter" w:cs="inter" w:ascii="inter" w:hAnsi="inter"/>
            <w:color w:val="#000"/>
            <w:sz w:val="18"/>
            <w:u w:val="single"/>
          </w:rPr>
          <w:t xml:space="preserve">https://arxiv.org/pdf/2402.11364.pdf</w:t>
        </w:r>
      </w:hyperlink>
      <w:r>
        <w:rPr>
          <w:rFonts w:eastAsia="inter" w:cs="inter" w:ascii="inter" w:hAnsi="inter"/>
          <w:color w:val="000000"/>
          <w:sz w:val="18"/>
        </w:rPr>
        <w:t xml:space="preserve"> </w:t>
      </w:r>
    </w:p>
    <w:bookmarkStart w:id="157" w:name="fn97"/>
    <w:bookmarkEnd w:id="157"/>
    <w:p>
      <w:pPr>
        <w:numPr>
          <w:ilvl w:val="0"/>
          <w:numId w:val="31"/>
        </w:numPr>
        <w:spacing w:line="360" w:after="210" w:lineRule="auto"/>
      </w:pPr>
      <w:hyperlink r:id="rId102">
        <w:r>
          <w:rPr>
            <w:rFonts w:eastAsia="inter" w:cs="inter" w:ascii="inter" w:hAnsi="inter"/>
            <w:color w:val="#000"/>
            <w:sz w:val="18"/>
            <w:u w:val="single"/>
          </w:rPr>
          <w:t xml:space="preserve">https://arxiv.org/pdf/2403.08802.pdf</w:t>
        </w:r>
      </w:hyperlink>
      <w:r>
        <w:rPr>
          <w:rFonts w:eastAsia="inter" w:cs="inter" w:ascii="inter" w:hAnsi="inter"/>
          <w:color w:val="000000"/>
          <w:sz w:val="18"/>
        </w:rPr>
        <w:t xml:space="preserve"> </w:t>
      </w:r>
    </w:p>
    <w:bookmarkStart w:id="158" w:name="fn98"/>
    <w:bookmarkEnd w:id="158"/>
    <w:p>
      <w:pPr>
        <w:numPr>
          <w:ilvl w:val="0"/>
          <w:numId w:val="31"/>
        </w:numPr>
        <w:spacing w:line="360" w:after="210" w:lineRule="auto"/>
      </w:pPr>
      <w:hyperlink r:id="rId103">
        <w:r>
          <w:rPr>
            <w:rFonts w:eastAsia="inter" w:cs="inter" w:ascii="inter" w:hAnsi="inter"/>
            <w:color w:val="#000"/>
            <w:sz w:val="18"/>
            <w:u w:val="single"/>
          </w:rPr>
          <w:t xml:space="preserve">https://www.deloitte.com/il/en/about/people/profiles.rani-argov+50d58676.html</w:t>
        </w:r>
      </w:hyperlink>
      <w:r>
        <w:rPr>
          <w:rFonts w:eastAsia="inter" w:cs="inter" w:ascii="inter" w:hAnsi="inter"/>
          <w:color w:val="000000"/>
          <w:sz w:val="18"/>
        </w:rPr>
        <w:t xml:space="preserve"> </w:t>
      </w:r>
    </w:p>
    <w:bookmarkStart w:id="159" w:name="fn99"/>
    <w:bookmarkEnd w:id="159"/>
    <w:p>
      <w:pPr>
        <w:numPr>
          <w:ilvl w:val="0"/>
          <w:numId w:val="31"/>
        </w:numPr>
        <w:spacing w:line="360" w:after="210" w:lineRule="auto"/>
      </w:pPr>
      <w:hyperlink r:id="rId104">
        <w:r>
          <w:rPr>
            <w:rFonts w:eastAsia="inter" w:cs="inter" w:ascii="inter" w:hAnsi="inter"/>
            <w:color w:val="#000"/>
            <w:sz w:val="18"/>
            <w:u w:val="single"/>
          </w:rPr>
          <w:t xml:space="preserve">https://www.calcalistech.com/ctech/articles/0,7340,L-3914732,00.html</w:t>
        </w:r>
      </w:hyperlink>
      <w:r>
        <w:rPr>
          <w:rFonts w:eastAsia="inter" w:cs="inter" w:ascii="inter" w:hAnsi="inter"/>
          <w:color w:val="000000"/>
          <w:sz w:val="18"/>
        </w:rPr>
        <w:t xml:space="preserve"> </w:t>
      </w:r>
    </w:p>
    <w:bookmarkStart w:id="160" w:name="fn100"/>
    <w:bookmarkEnd w:id="160"/>
    <w:p>
      <w:pPr>
        <w:numPr>
          <w:ilvl w:val="0"/>
          <w:numId w:val="31"/>
        </w:numPr>
        <w:spacing w:line="360" w:after="210" w:lineRule="auto"/>
      </w:pPr>
      <w:hyperlink r:id="rId105">
        <w:r>
          <w:rPr>
            <w:rFonts w:eastAsia="inter" w:cs="inter" w:ascii="inter" w:hAnsi="inter"/>
            <w:color w:val="#000"/>
            <w:sz w:val="18"/>
            <w:u w:val="single"/>
          </w:rPr>
          <w:t xml:space="preserve">https://www.peerspot.com/products/comparisons/accenture-ai-refinery_vs_deloitte-ai-data-analysis-services</w:t>
        </w:r>
      </w:hyperlink>
      <w:r>
        <w:rPr>
          <w:rFonts w:eastAsia="inter" w:cs="inter" w:ascii="inter" w:hAnsi="inter"/>
          <w:color w:val="000000"/>
          <w:sz w:val="18"/>
        </w:rPr>
        <w:t xml:space="preserve"> </w:t>
      </w:r>
    </w:p>
    <w:bookmarkStart w:id="161" w:name="fn101"/>
    <w:bookmarkEnd w:id="161"/>
    <w:p>
      <w:pPr>
        <w:numPr>
          <w:ilvl w:val="0"/>
          <w:numId w:val="31"/>
        </w:numPr>
        <w:spacing w:line="360" w:after="210" w:lineRule="auto"/>
      </w:pPr>
      <w:hyperlink r:id="rId106">
        <w:r>
          <w:rPr>
            <w:rFonts w:eastAsia="inter" w:cs="inter" w:ascii="inter" w:hAnsi="inter"/>
            <w:color w:val="#000"/>
            <w:sz w:val="18"/>
            <w:u w:val="single"/>
          </w:rPr>
          <w:t xml:space="preserve">https://mr.gov.il/ilgstorefront/en/news/details/111222</w:t>
        </w:r>
      </w:hyperlink>
      <w:r>
        <w:rPr>
          <w:rFonts w:eastAsia="inter" w:cs="inter" w:ascii="inter" w:hAnsi="inter"/>
          <w:color w:val="000000"/>
          <w:sz w:val="18"/>
        </w:rPr>
        <w:t xml:space="preserve"> </w:t>
      </w:r>
    </w:p>
    <w:bookmarkStart w:id="162" w:name="fn102"/>
    <w:bookmarkEnd w:id="162"/>
    <w:p>
      <w:pPr>
        <w:numPr>
          <w:ilvl w:val="0"/>
          <w:numId w:val="31"/>
        </w:numPr>
        <w:spacing w:line="360" w:after="210" w:lineRule="auto"/>
      </w:pPr>
      <w:hyperlink r:id="rId107">
        <w:r>
          <w:rPr>
            <w:rFonts w:eastAsia="inter" w:cs="inter" w:ascii="inter" w:hAnsi="inter"/>
            <w:color w:val="#000"/>
            <w:sz w:val="18"/>
            <w:u w:val="single"/>
          </w:rPr>
          <w:t xml:space="preserve">https://www.facebook.com/deloitteisrael/videos/future-of-retail-tech-promo/1083600938782860/?locale=he_IL</w:t>
        </w:r>
      </w:hyperlink>
      <w:r>
        <w:rPr>
          <w:rFonts w:eastAsia="inter" w:cs="inter" w:ascii="inter" w:hAnsi="inter"/>
          <w:color w:val="000000"/>
          <w:sz w:val="18"/>
        </w:rPr>
        <w:t xml:space="preserve"> </w:t>
      </w:r>
    </w:p>
    <w:bookmarkStart w:id="163" w:name="fn103"/>
    <w:bookmarkEnd w:id="163"/>
    <w:p>
      <w:pPr>
        <w:numPr>
          <w:ilvl w:val="0"/>
          <w:numId w:val="31"/>
        </w:numPr>
        <w:spacing w:line="360" w:after="210" w:lineRule="auto"/>
      </w:pPr>
      <w:hyperlink r:id="rId108">
        <w:r>
          <w:rPr>
            <w:rFonts w:eastAsia="inter" w:cs="inter" w:ascii="inter" w:hAnsi="inter"/>
            <w:color w:val="#000"/>
            <w:sz w:val="18"/>
            <w:u w:val="single"/>
          </w:rPr>
          <w:t xml:space="preserve">https://telecomtalk.info/oracle-deloitte-accenture-ntt-data-agentic-ai/992009/</w:t>
        </w:r>
      </w:hyperlink>
      <w:r>
        <w:rPr>
          <w:rFonts w:eastAsia="inter" w:cs="inter" w:ascii="inter" w:hAnsi="inter"/>
          <w:color w:val="000000"/>
          <w:sz w:val="18"/>
        </w:rPr>
        <w:t xml:space="preserve"> </w:t>
      </w:r>
    </w:p>
    <w:bookmarkStart w:id="164" w:name="fn104"/>
    <w:bookmarkEnd w:id="164"/>
    <w:p>
      <w:pPr>
        <w:numPr>
          <w:ilvl w:val="0"/>
          <w:numId w:val="31"/>
        </w:numPr>
        <w:spacing w:line="360" w:after="210" w:lineRule="auto"/>
      </w:pPr>
      <w:hyperlink r:id="rId109">
        <w:r>
          <w:rPr>
            <w:rFonts w:eastAsia="inter" w:cs="inter" w:ascii="inter" w:hAnsi="inter"/>
            <w:color w:val="#000"/>
            <w:sz w:val="18"/>
            <w:u w:val="single"/>
          </w:rPr>
          <w:t xml:space="preserve">https://www.linkedin.com/posts/omri-nezer_nimbus-layer5-govtech-activity-7227005194373386241-WbCE</w:t>
        </w:r>
      </w:hyperlink>
      <w:r>
        <w:rPr>
          <w:rFonts w:eastAsia="inter" w:cs="inter" w:ascii="inter" w:hAnsi="inter"/>
          <w:color w:val="000000"/>
          <w:sz w:val="18"/>
        </w:rPr>
        <w:t xml:space="preserve"> </w:t>
      </w:r>
    </w:p>
    <w:bookmarkStart w:id="165" w:name="fn105"/>
    <w:bookmarkEnd w:id="165"/>
    <w:p>
      <w:pPr>
        <w:numPr>
          <w:ilvl w:val="0"/>
          <w:numId w:val="31"/>
        </w:numPr>
        <w:spacing w:line="360" w:after="210" w:lineRule="auto"/>
      </w:pPr>
      <w:hyperlink r:id="rId110">
        <w:r>
          <w:rPr>
            <w:rFonts w:eastAsia="inter" w:cs="inter" w:ascii="inter" w:hAnsi="inter"/>
            <w:color w:val="#000"/>
            <w:sz w:val="18"/>
            <w:u w:val="single"/>
          </w:rPr>
          <w:t xml:space="preserve">https://solutionsmap.deloitte.co.il/en/organizations/growth/digital-transformation/digital-transformation/</w:t>
        </w:r>
      </w:hyperlink>
      <w:r>
        <w:rPr>
          <w:rFonts w:eastAsia="inter" w:cs="inter" w:ascii="inter" w:hAnsi="inter"/>
          <w:color w:val="000000"/>
          <w:sz w:val="18"/>
        </w:rPr>
        <w:t xml:space="preserve"> </w:t>
      </w:r>
    </w:p>
    <w:bookmarkStart w:id="166" w:name="fn106"/>
    <w:bookmarkEnd w:id="166"/>
    <w:p>
      <w:pPr>
        <w:numPr>
          <w:ilvl w:val="0"/>
          <w:numId w:val="31"/>
        </w:numPr>
        <w:spacing w:line="360" w:after="210" w:lineRule="auto"/>
      </w:pPr>
      <w:hyperlink r:id="rId111">
        <w:r>
          <w:rPr>
            <w:rFonts w:eastAsia="inter" w:cs="inter" w:ascii="inter" w:hAnsi="inter"/>
            <w:color w:val="#000"/>
            <w:sz w:val="18"/>
            <w:u w:val="single"/>
          </w:rPr>
          <w:t xml:space="preserve">https://www.youtube.com/watch?v=S6ya3-P6BPg</w:t>
        </w:r>
      </w:hyperlink>
      <w:r>
        <w:rPr>
          <w:rFonts w:eastAsia="inter" w:cs="inter" w:ascii="inter" w:hAnsi="inter"/>
          <w:color w:val="000000"/>
          <w:sz w:val="18"/>
        </w:rPr>
        <w:t xml:space="preserve"> </w:t>
      </w:r>
    </w:p>
    <w:bookmarkStart w:id="167" w:name="fn107"/>
    <w:bookmarkEnd w:id="167"/>
    <w:p>
      <w:pPr>
        <w:numPr>
          <w:ilvl w:val="0"/>
          <w:numId w:val="31"/>
        </w:numPr>
        <w:spacing w:line="360" w:after="210" w:lineRule="auto"/>
      </w:pPr>
      <w:hyperlink r:id="rId112">
        <w:r>
          <w:rPr>
            <w:rFonts w:eastAsia="inter" w:cs="inter" w:ascii="inter" w:hAnsi="inter"/>
            <w:color w:val="#000"/>
            <w:sz w:val="18"/>
            <w:u w:val="single"/>
          </w:rPr>
          <w:t xml:space="preserve">https://www.globes.co.il/news/article.aspx?did=1001368335</w:t>
        </w:r>
      </w:hyperlink>
      <w:r>
        <w:rPr>
          <w:rFonts w:eastAsia="inter" w:cs="inter" w:ascii="inter" w:hAnsi="inter"/>
          <w:color w:val="000000"/>
          <w:sz w:val="18"/>
        </w:rPr>
        <w:t xml:space="preserve"> </w:t>
      </w:r>
    </w:p>
    <w:bookmarkStart w:id="168" w:name="fn108"/>
    <w:bookmarkEnd w:id="168"/>
    <w:p>
      <w:pPr>
        <w:numPr>
          <w:ilvl w:val="0"/>
          <w:numId w:val="31"/>
        </w:numPr>
        <w:spacing w:line="360" w:after="210" w:lineRule="auto"/>
      </w:pPr>
      <w:hyperlink r:id="rId113">
        <w:r>
          <w:rPr>
            <w:rFonts w:eastAsia="inter" w:cs="inter" w:ascii="inter" w:hAnsi="inter"/>
            <w:color w:val="#000"/>
            <w:sz w:val="18"/>
            <w:u w:val="single"/>
          </w:rPr>
          <w:t xml:space="preserve">https://www.linkedin.com/posts/ilan-birnfeld_am-yisrael-chai-several-days-after-the-activity-7117955345775235073-luEp</w:t>
        </w:r>
      </w:hyperlink>
      <w:r>
        <w:rPr>
          <w:rFonts w:eastAsia="inter" w:cs="inter" w:ascii="inter" w:hAnsi="inter"/>
          <w:color w:val="000000"/>
          <w:sz w:val="18"/>
        </w:rPr>
        <w:t xml:space="preserve"> </w:t>
      </w:r>
    </w:p>
    <w:bookmarkStart w:id="169" w:name="fn109"/>
    <w:bookmarkEnd w:id="169"/>
    <w:p>
      <w:pPr>
        <w:numPr>
          <w:ilvl w:val="0"/>
          <w:numId w:val="31"/>
        </w:numPr>
        <w:spacing w:line="360" w:after="210" w:lineRule="auto"/>
      </w:pPr>
      <w:hyperlink r:id="rId114">
        <w:r>
          <w:rPr>
            <w:rFonts w:eastAsia="inter" w:cs="inter" w:ascii="inter" w:hAnsi="inter"/>
            <w:color w:val="#000"/>
            <w:sz w:val="18"/>
            <w:u w:val="single"/>
          </w:rPr>
          <w:t xml:space="preserve">https://www.accenture.com/us-en/services/data-ai/ai-refinery</w:t>
        </w:r>
      </w:hyperlink>
      <w:r>
        <w:rPr>
          <w:rFonts w:eastAsia="inter" w:cs="inter" w:ascii="inter" w:hAnsi="inter"/>
          <w:color w:val="000000"/>
          <w:sz w:val="18"/>
        </w:rPr>
        <w:t xml:space="preserve"> </w:t>
      </w:r>
    </w:p>
    <w:bookmarkStart w:id="170" w:name="fn110"/>
    <w:bookmarkEnd w:id="170"/>
    <w:p>
      <w:pPr>
        <w:numPr>
          <w:ilvl w:val="0"/>
          <w:numId w:val="31"/>
        </w:numPr>
        <w:spacing w:line="360" w:after="210" w:lineRule="auto"/>
      </w:pPr>
      <w:hyperlink r:id="rId115">
        <w:r>
          <w:rPr>
            <w:rFonts w:eastAsia="inter" w:cs="inter" w:ascii="inter" w:hAnsi="inter"/>
            <w:color w:val="#000"/>
            <w:sz w:val="18"/>
            <w:u w:val="single"/>
          </w:rPr>
          <w:t xml:space="preserve">https://arxiv.org/pdf/1910.00577.pdf</w:t>
        </w:r>
      </w:hyperlink>
      <w:r>
        <w:rPr>
          <w:rFonts w:eastAsia="inter" w:cs="inter" w:ascii="inter" w:hAnsi="inter"/>
          <w:color w:val="000000"/>
          <w:sz w:val="18"/>
        </w:rPr>
        <w:t xml:space="preserve"> </w:t>
      </w:r>
    </w:p>
    <w:bookmarkStart w:id="171" w:name="fn111"/>
    <w:bookmarkEnd w:id="171"/>
    <w:p>
      <w:pPr>
        <w:numPr>
          <w:ilvl w:val="0"/>
          <w:numId w:val="31"/>
        </w:numPr>
        <w:spacing w:line="360" w:after="210" w:lineRule="auto"/>
      </w:pPr>
      <w:hyperlink r:id="rId116">
        <w:r>
          <w:rPr>
            <w:rFonts w:eastAsia="inter" w:cs="inter" w:ascii="inter" w:hAnsi="inter"/>
            <w:color w:val="#000"/>
            <w:sz w:val="18"/>
            <w:u w:val="single"/>
          </w:rPr>
          <w:t xml:space="preserve">https://eladsoft.com</w:t>
        </w:r>
      </w:hyperlink>
      <w:r>
        <w:rPr>
          <w:rFonts w:eastAsia="inter" w:cs="inter" w:ascii="inter" w:hAnsi="inter"/>
          <w:color w:val="000000"/>
          <w:sz w:val="18"/>
        </w:rPr>
        <w:t xml:space="preserve"> </w:t>
      </w:r>
    </w:p>
    <w:bookmarkStart w:id="172" w:name="fn112"/>
    <w:bookmarkEnd w:id="172"/>
    <w:p>
      <w:pPr>
        <w:numPr>
          <w:ilvl w:val="0"/>
          <w:numId w:val="31"/>
        </w:numPr>
        <w:spacing w:line="360" w:after="210" w:lineRule="auto"/>
      </w:pPr>
      <w:hyperlink r:id="rId117">
        <w:r>
          <w:rPr>
            <w:rFonts w:eastAsia="inter" w:cs="inter" w:ascii="inter" w:hAnsi="inter"/>
            <w:color w:val="#000"/>
            <w:sz w:val="18"/>
            <w:u w:val="single"/>
          </w:rPr>
          <w:t xml:space="preserve">https://eladsoft.com/en/elad-people/</w:t>
        </w:r>
      </w:hyperlink>
      <w:r>
        <w:rPr>
          <w:rFonts w:eastAsia="inter" w:cs="inter" w:ascii="inter" w:hAnsi="inter"/>
          <w:color w:val="000000"/>
          <w:sz w:val="18"/>
        </w:rPr>
        <w:t xml:space="preserve"> </w:t>
      </w:r>
    </w:p>
    <w:bookmarkStart w:id="173" w:name="fn113"/>
    <w:bookmarkEnd w:id="173"/>
    <w:p>
      <w:pPr>
        <w:numPr>
          <w:ilvl w:val="0"/>
          <w:numId w:val="31"/>
        </w:numPr>
        <w:spacing w:line="360" w:after="210" w:lineRule="auto"/>
      </w:pPr>
      <w:hyperlink r:id="rId118">
        <w:r>
          <w:rPr>
            <w:rFonts w:eastAsia="inter" w:cs="inter" w:ascii="inter" w:hAnsi="inter"/>
            <w:color w:val="#000"/>
            <w:sz w:val="18"/>
            <w:u w:val="single"/>
          </w:rPr>
          <w:t xml:space="preserve">https://www.deloitte.com/il/en/services/consulting/services/systems-delivery-modernization.html</w:t>
        </w:r>
      </w:hyperlink>
      <w:r>
        <w:rPr>
          <w:rFonts w:eastAsia="inter" w:cs="inter" w:ascii="inter" w:hAnsi="inter"/>
          <w:color w:val="000000"/>
          <w:sz w:val="18"/>
        </w:rPr>
        <w:t xml:space="preserve"> </w:t>
      </w:r>
    </w:p>
    <w:bookmarkStart w:id="174" w:name="fn114"/>
    <w:bookmarkEnd w:id="174"/>
    <w:p>
      <w:pPr>
        <w:numPr>
          <w:ilvl w:val="0"/>
          <w:numId w:val="31"/>
        </w:numPr>
        <w:spacing w:line="360" w:after="210" w:lineRule="auto"/>
      </w:pPr>
      <w:hyperlink r:id="rId119">
        <w:r>
          <w:rPr>
            <w:rFonts w:eastAsia="inter" w:cs="inter" w:ascii="inter" w:hAnsi="inter"/>
            <w:color w:val="#000"/>
            <w:sz w:val="18"/>
            <w:u w:val="single"/>
          </w:rPr>
          <w:t xml:space="preserve">https://solutionsmap.deloitte.co.il/en/organizations/growth/strategy-and-growth/innovation/</w:t>
        </w:r>
      </w:hyperlink>
      <w:r>
        <w:rPr>
          <w:rFonts w:eastAsia="inter" w:cs="inter" w:ascii="inter" w:hAnsi="inter"/>
          <w:color w:val="000000"/>
          <w:sz w:val="18"/>
        </w:rPr>
        <w:t xml:space="preserve"> </w:t>
      </w:r>
    </w:p>
    <w:bookmarkStart w:id="175" w:name="fn115"/>
    <w:bookmarkEnd w:id="175"/>
    <w:p>
      <w:pPr>
        <w:numPr>
          <w:ilvl w:val="0"/>
          <w:numId w:val="31"/>
        </w:numPr>
        <w:spacing w:line="360" w:after="210" w:lineRule="auto"/>
      </w:pPr>
      <w:hyperlink r:id="rId120">
        <w:r>
          <w:rPr>
            <w:rFonts w:eastAsia="inter" w:cs="inter" w:ascii="inter" w:hAnsi="inter"/>
            <w:color w:val="#000"/>
            <w:sz w:val="18"/>
            <w:u w:val="single"/>
          </w:rPr>
          <w:t xml:space="preserve">https://devjobs.co.il/company-details/elad-software-systems</w:t>
        </w:r>
      </w:hyperlink>
      <w:r>
        <w:rPr>
          <w:rFonts w:eastAsia="inter" w:cs="inter" w:ascii="inter" w:hAnsi="inter"/>
          <w:color w:val="000000"/>
          <w:sz w:val="18"/>
        </w:rPr>
        <w:t xml:space="preserve"> </w:t>
      </w:r>
    </w:p>
    <w:bookmarkStart w:id="176" w:name="fn116"/>
    <w:bookmarkEnd w:id="176"/>
    <w:p>
      <w:pPr>
        <w:numPr>
          <w:ilvl w:val="0"/>
          <w:numId w:val="31"/>
        </w:numPr>
        <w:spacing w:line="360" w:after="210" w:lineRule="auto"/>
      </w:pPr>
      <w:hyperlink r:id="rId121">
        <w:r>
          <w:rPr>
            <w:rFonts w:eastAsia="inter" w:cs="inter" w:ascii="inter" w:hAnsi="inter"/>
            <w:color w:val="#000"/>
            <w:sz w:val="18"/>
            <w:u w:val="single"/>
          </w:rPr>
          <w:t xml:space="preserve">https://www.deloitte.com/il/en/services/consulting/services/end-to-end-digital-transformation.html</w:t>
        </w:r>
      </w:hyperlink>
      <w:r>
        <w:rPr>
          <w:rFonts w:eastAsia="inter" w:cs="inter" w:ascii="inter" w:hAnsi="inter"/>
          <w:color w:val="000000"/>
          <w:sz w:val="18"/>
        </w:rPr>
        <w:t xml:space="preserve"> </w:t>
      </w:r>
    </w:p>
    <w:bookmarkStart w:id="177" w:name="fn117"/>
    <w:bookmarkEnd w:id="177"/>
    <w:p>
      <w:pPr>
        <w:numPr>
          <w:ilvl w:val="0"/>
          <w:numId w:val="31"/>
        </w:numPr>
        <w:spacing w:line="360" w:after="210" w:lineRule="auto"/>
      </w:pPr>
      <w:hyperlink r:id="rId122">
        <w:r>
          <w:rPr>
            <w:rFonts w:eastAsia="inter" w:cs="inter" w:ascii="inter" w:hAnsi="inter"/>
            <w:color w:val="#000"/>
            <w:sz w:val="18"/>
            <w:u w:val="single"/>
          </w:rPr>
          <w:t xml:space="preserve">https://www.linkedin.com/company/elad-systems</w:t>
        </w:r>
      </w:hyperlink>
      <w:r>
        <w:rPr>
          <w:rFonts w:eastAsia="inter" w:cs="inter" w:ascii="inter" w:hAnsi="inter"/>
          <w:color w:val="000000"/>
          <w:sz w:val="18"/>
        </w:rPr>
        <w:t xml:space="preserve"> </w:t>
      </w:r>
    </w:p>
    <w:bookmarkStart w:id="178" w:name="fn118"/>
    <w:bookmarkEnd w:id="178"/>
    <w:p>
      <w:pPr>
        <w:numPr>
          <w:ilvl w:val="0"/>
          <w:numId w:val="31"/>
        </w:numPr>
        <w:spacing w:line="360" w:after="210" w:lineRule="auto"/>
      </w:pPr>
      <w:hyperlink r:id="rId123">
        <w:r>
          <w:rPr>
            <w:rFonts w:eastAsia="inter" w:cs="inter" w:ascii="inter" w:hAnsi="inter"/>
            <w:color w:val="#000"/>
            <w:sz w:val="18"/>
            <w:u w:val="single"/>
          </w:rPr>
          <w:t xml:space="preserve">https://solutionsmap.deloitte.co.il/en/itt-solution/technology-consulting-implementation/</w:t>
        </w:r>
      </w:hyperlink>
      <w:r>
        <w:rPr>
          <w:rFonts w:eastAsia="inter" w:cs="inter" w:ascii="inter" w:hAnsi="inter"/>
          <w:color w:val="000000"/>
          <w:sz w:val="18"/>
        </w:rPr>
        <w:t xml:space="preserve"> </w:t>
      </w:r>
    </w:p>
    <w:bookmarkStart w:id="179" w:name="fn119"/>
    <w:bookmarkEnd w:id="179"/>
    <w:p>
      <w:pPr>
        <w:numPr>
          <w:ilvl w:val="0"/>
          <w:numId w:val="31"/>
        </w:numPr>
        <w:spacing w:line="360" w:after="210" w:lineRule="auto"/>
      </w:pPr>
      <w:hyperlink r:id="rId124">
        <w:r>
          <w:rPr>
            <w:rFonts w:eastAsia="inter" w:cs="inter" w:ascii="inter" w:hAnsi="inter"/>
            <w:color w:val="#000"/>
            <w:sz w:val="18"/>
            <w:u w:val="single"/>
          </w:rPr>
          <w:t xml:space="preserve">https://www.deloitte.com/il/en.html</w:t>
        </w:r>
      </w:hyperlink>
      <w:r>
        <w:rPr>
          <w:rFonts w:eastAsia="inter" w:cs="inter" w:ascii="inter" w:hAnsi="inter"/>
          <w:color w:val="000000"/>
          <w:sz w:val="18"/>
        </w:rPr>
        <w:t xml:space="preserve"> </w:t>
      </w:r>
    </w:p>
    <w:bookmarkStart w:id="180" w:name="fn120"/>
    <w:bookmarkEnd w:id="180"/>
    <w:p>
      <w:pPr>
        <w:numPr>
          <w:ilvl w:val="0"/>
          <w:numId w:val="31"/>
        </w:numPr>
        <w:spacing w:line="360" w:after="210" w:lineRule="auto"/>
      </w:pPr>
      <w:hyperlink r:id="rId125">
        <w:r>
          <w:rPr>
            <w:rFonts w:eastAsia="inter" w:cs="inter" w:ascii="inter" w:hAnsi="inter"/>
            <w:color w:val="#000"/>
            <w:sz w:val="18"/>
            <w:u w:val="single"/>
          </w:rPr>
          <w:t xml:space="preserve">http://evo-it.co.il/?page_id=121</w:t>
        </w:r>
      </w:hyperlink>
      <w:r>
        <w:rPr>
          <w:rFonts w:eastAsia="inter" w:cs="inter" w:ascii="inter" w:hAnsi="inter"/>
          <w:color w:val="000000"/>
          <w:sz w:val="18"/>
        </w:rPr>
        <w:t xml:space="preserve"> </w:t>
      </w:r>
    </w:p>
    <w:bookmarkStart w:id="181" w:name="fn121"/>
    <w:bookmarkEnd w:id="181"/>
    <w:p>
      <w:pPr>
        <w:numPr>
          <w:ilvl w:val="0"/>
          <w:numId w:val="31"/>
        </w:numPr>
        <w:spacing w:line="360" w:after="210" w:lineRule="auto"/>
      </w:pPr>
      <w:hyperlink r:id="rId126">
        <w:r>
          <w:rPr>
            <w:rFonts w:eastAsia="inter" w:cs="inter" w:ascii="inter" w:hAnsi="inter"/>
            <w:color w:val="#000"/>
            <w:sz w:val="18"/>
            <w:u w:val="single"/>
          </w:rPr>
          <w:t xml:space="preserve">https://www.deloitte.com/il/he/services/consulting/services/enterprise-technology-performance.html</w:t>
        </w:r>
      </w:hyperlink>
      <w:r>
        <w:rPr>
          <w:rFonts w:eastAsia="inter" w:cs="inter" w:ascii="inter" w:hAnsi="inter"/>
          <w:color w:val="000000"/>
          <w:sz w:val="18"/>
        </w:rPr>
        <w:t xml:space="preserve"> </w:t>
      </w:r>
    </w:p>
    <w:bookmarkStart w:id="182" w:name="fn122"/>
    <w:bookmarkEnd w:id="182"/>
    <w:p>
      <w:pPr>
        <w:numPr>
          <w:ilvl w:val="0"/>
          <w:numId w:val="31"/>
        </w:numPr>
        <w:spacing w:line="360" w:after="210" w:lineRule="auto"/>
      </w:pPr>
      <w:hyperlink r:id="rId127">
        <w:r>
          <w:rPr>
            <w:rFonts w:eastAsia="inter" w:cs="inter" w:ascii="inter" w:hAnsi="inter"/>
            <w:color w:val="#000"/>
            <w:sz w:val="18"/>
            <w:u w:val="single"/>
          </w:rPr>
          <w:t xml:space="preserve">https://eladsoft.com/en/elad-digital/</w:t>
        </w:r>
      </w:hyperlink>
      <w:r>
        <w:rPr>
          <w:rFonts w:eastAsia="inter" w:cs="inter" w:ascii="inter" w:hAnsi="inter"/>
          <w:color w:val="000000"/>
          <w:sz w:val="18"/>
        </w:rPr>
        <w:t xml:space="preserve"> </w:t>
      </w:r>
    </w:p>
    <w:bookmarkStart w:id="183" w:name="fn123"/>
    <w:bookmarkEnd w:id="183"/>
    <w:p>
      <w:pPr>
        <w:numPr>
          <w:ilvl w:val="0"/>
          <w:numId w:val="31"/>
        </w:numPr>
        <w:spacing w:line="360" w:after="210" w:lineRule="auto"/>
      </w:pPr>
      <w:hyperlink r:id="rId128">
        <w:r>
          <w:rPr>
            <w:rFonts w:eastAsia="inter" w:cs="inter" w:ascii="inter" w:hAnsi="inter"/>
            <w:color w:val="#000"/>
            <w:sz w:val="18"/>
            <w:u w:val="single"/>
          </w:rPr>
          <w:t xml:space="preserve">https://ekonomiaisrodowisko.pl/journal/article/view/963</w:t>
        </w:r>
      </w:hyperlink>
      <w:r>
        <w:rPr>
          <w:rFonts w:eastAsia="inter" w:cs="inter" w:ascii="inter" w:hAnsi="inter"/>
          <w:color w:val="000000"/>
          <w:sz w:val="18"/>
        </w:rPr>
        <w:t xml:space="preserve"> </w:t>
      </w:r>
    </w:p>
    <w:bookmarkStart w:id="184" w:name="fn124"/>
    <w:bookmarkEnd w:id="184"/>
    <w:p>
      <w:pPr>
        <w:numPr>
          <w:ilvl w:val="0"/>
          <w:numId w:val="31"/>
        </w:numPr>
        <w:spacing w:line="360" w:after="210" w:lineRule="auto"/>
      </w:pPr>
      <w:hyperlink r:id="rId129">
        <w:r>
          <w:rPr>
            <w:rFonts w:eastAsia="inter" w:cs="inter" w:ascii="inter" w:hAnsi="inter"/>
            <w:color w:val="#000"/>
            <w:sz w:val="18"/>
            <w:u w:val="single"/>
          </w:rPr>
          <w:t xml:space="preserve">http://eui.zu.edu.ua/article/view/346743</w:t>
        </w:r>
      </w:hyperlink>
      <w:r>
        <w:rPr>
          <w:rFonts w:eastAsia="inter" w:cs="inter" w:ascii="inter" w:hAnsi="inter"/>
          <w:color w:val="000000"/>
          <w:sz w:val="18"/>
        </w:rPr>
        <w:t xml:space="preserve"> </w:t>
      </w:r>
    </w:p>
    <w:bookmarkStart w:id="185" w:name="fn125"/>
    <w:bookmarkEnd w:id="185"/>
    <w:p>
      <w:pPr>
        <w:numPr>
          <w:ilvl w:val="0"/>
          <w:numId w:val="31"/>
        </w:numPr>
        <w:spacing w:line="360" w:after="210" w:lineRule="auto"/>
      </w:pPr>
      <w:hyperlink r:id="rId130">
        <w:r>
          <w:rPr>
            <w:rFonts w:eastAsia="inter" w:cs="inter" w:ascii="inter" w:hAnsi="inter"/>
            <w:color w:val="#000"/>
            <w:sz w:val="18"/>
            <w:u w:val="single"/>
          </w:rPr>
          <w:t xml:space="preserve">https://www.semanticscholar.org/paper/b900f03d332edf5b26e4b5acae6dded7498b1fba</w:t>
        </w:r>
      </w:hyperlink>
      <w:r>
        <w:rPr>
          <w:rFonts w:eastAsia="inter" w:cs="inter" w:ascii="inter" w:hAnsi="inter"/>
          <w:color w:val="000000"/>
          <w:sz w:val="18"/>
        </w:rPr>
        <w:t xml:space="preserve"> </w:t>
      </w:r>
    </w:p>
    <w:bookmarkStart w:id="186" w:name="fn126"/>
    <w:bookmarkEnd w:id="186"/>
    <w:p>
      <w:pPr>
        <w:numPr>
          <w:ilvl w:val="0"/>
          <w:numId w:val="31"/>
        </w:numPr>
        <w:spacing w:line="360" w:after="210" w:lineRule="auto"/>
      </w:pPr>
      <w:hyperlink r:id="rId131">
        <w:r>
          <w:rPr>
            <w:rFonts w:eastAsia="inter" w:cs="inter" w:ascii="inter" w:hAnsi="inter"/>
            <w:color w:val="#000"/>
            <w:sz w:val="18"/>
            <w:u w:val="single"/>
          </w:rPr>
          <w:t xml:space="preserve">http://arxiv.org/pdf/2412.06936.pdf</w:t>
        </w:r>
      </w:hyperlink>
      <w:r>
        <w:rPr>
          <w:rFonts w:eastAsia="inter" w:cs="inter" w:ascii="inter" w:hAnsi="inter"/>
          <w:color w:val="000000"/>
          <w:sz w:val="18"/>
        </w:rPr>
        <w:t xml:space="preserve"> </w:t>
      </w:r>
    </w:p>
    <w:bookmarkStart w:id="187" w:name="fn127"/>
    <w:bookmarkEnd w:id="187"/>
    <w:p>
      <w:pPr>
        <w:numPr>
          <w:ilvl w:val="0"/>
          <w:numId w:val="31"/>
        </w:numPr>
        <w:spacing w:line="360" w:after="210" w:lineRule="auto"/>
      </w:pPr>
      <w:hyperlink r:id="rId132">
        <w:r>
          <w:rPr>
            <w:rFonts w:eastAsia="inter" w:cs="inter" w:ascii="inter" w:hAnsi="inter"/>
            <w:color w:val="#000"/>
            <w:sz w:val="18"/>
            <w:u w:val="single"/>
          </w:rPr>
          <w:t xml:space="preserve">https://arxiv.org/pdf/2402.17177v1.pdf</w:t>
        </w:r>
      </w:hyperlink>
      <w:r>
        <w:rPr>
          <w:rFonts w:eastAsia="inter" w:cs="inter" w:ascii="inter" w:hAnsi="inter"/>
          <w:color w:val="000000"/>
          <w:sz w:val="18"/>
        </w:rPr>
        <w:t xml:space="preserve"> </w:t>
      </w:r>
    </w:p>
    <w:bookmarkStart w:id="188" w:name="fn128"/>
    <w:bookmarkEnd w:id="188"/>
    <w:p>
      <w:pPr>
        <w:numPr>
          <w:ilvl w:val="0"/>
          <w:numId w:val="31"/>
        </w:numPr>
        <w:spacing w:line="360" w:after="210" w:lineRule="auto"/>
      </w:pPr>
      <w:hyperlink r:id="rId133">
        <w:r>
          <w:rPr>
            <w:rFonts w:eastAsia="inter" w:cs="inter" w:ascii="inter" w:hAnsi="inter"/>
            <w:color w:val="#000"/>
            <w:sz w:val="18"/>
            <w:u w:val="single"/>
          </w:rPr>
          <w:t xml:space="preserve">https://arxiv.org/pdf/2304.11771.pdf</w:t>
        </w:r>
      </w:hyperlink>
      <w:r>
        <w:rPr>
          <w:rFonts w:eastAsia="inter" w:cs="inter" w:ascii="inter" w:hAnsi="inter"/>
          <w:color w:val="000000"/>
          <w:sz w:val="18"/>
        </w:rPr>
        <w:t xml:space="preserve"> </w:t>
      </w:r>
    </w:p>
    <w:bookmarkStart w:id="189" w:name="fn129"/>
    <w:bookmarkEnd w:id="189"/>
    <w:p>
      <w:pPr>
        <w:numPr>
          <w:ilvl w:val="0"/>
          <w:numId w:val="31"/>
        </w:numPr>
        <w:spacing w:line="360" w:after="210" w:lineRule="auto"/>
      </w:pPr>
      <w:hyperlink r:id="rId134">
        <w:r>
          <w:rPr>
            <w:rFonts w:eastAsia="inter" w:cs="inter" w:ascii="inter" w:hAnsi="inter"/>
            <w:color w:val="#000"/>
            <w:sz w:val="18"/>
            <w:u w:val="single"/>
          </w:rPr>
          <w:t xml:space="preserve">https://www.mdpi.com/2673-2688/1/2/11/pdf</w:t>
        </w:r>
      </w:hyperlink>
      <w:r>
        <w:rPr>
          <w:rFonts w:eastAsia="inter" w:cs="inter" w:ascii="inter" w:hAnsi="inter"/>
          <w:color w:val="000000"/>
          <w:sz w:val="18"/>
        </w:rPr>
        <w:t xml:space="preserve"> </w:t>
      </w:r>
    </w:p>
    <w:bookmarkStart w:id="190" w:name="fn130"/>
    <w:bookmarkEnd w:id="190"/>
    <w:p>
      <w:pPr>
        <w:numPr>
          <w:ilvl w:val="0"/>
          <w:numId w:val="31"/>
        </w:numPr>
        <w:spacing w:line="360" w:after="210" w:lineRule="auto"/>
      </w:pPr>
      <w:hyperlink r:id="rId135">
        <w:r>
          <w:rPr>
            <w:rFonts w:eastAsia="inter" w:cs="inter" w:ascii="inter" w:hAnsi="inter"/>
            <w:color w:val="#000"/>
            <w:sz w:val="18"/>
            <w:u w:val="single"/>
          </w:rPr>
          <w:t xml:space="preserve">http://arxiv.org/pdf/2409.05919.pdf</w:t>
        </w:r>
      </w:hyperlink>
      <w:r>
        <w:rPr>
          <w:rFonts w:eastAsia="inter" w:cs="inter" w:ascii="inter" w:hAnsi="inter"/>
          <w:color w:val="000000"/>
          <w:sz w:val="18"/>
        </w:rPr>
        <w:t xml:space="preserve"> </w:t>
      </w:r>
    </w:p>
    <w:bookmarkStart w:id="191" w:name="fn131"/>
    <w:bookmarkEnd w:id="191"/>
    <w:p>
      <w:pPr>
        <w:numPr>
          <w:ilvl w:val="0"/>
          <w:numId w:val="31"/>
        </w:numPr>
        <w:spacing w:line="360" w:after="210" w:lineRule="auto"/>
      </w:pPr>
      <w:hyperlink r:id="rId136">
        <w:r>
          <w:rPr>
            <w:rFonts w:eastAsia="inter" w:cs="inter" w:ascii="inter" w:hAnsi="inter"/>
            <w:color w:val="#000"/>
            <w:sz w:val="18"/>
            <w:u w:val="single"/>
          </w:rPr>
          <w:t xml:space="preserve">https://aclanthology.org/2023.emnlp-demo.3.pdf</w:t>
        </w:r>
      </w:hyperlink>
      <w:r>
        <w:rPr>
          <w:rFonts w:eastAsia="inter" w:cs="inter" w:ascii="inter" w:hAnsi="inter"/>
          <w:color w:val="000000"/>
          <w:sz w:val="18"/>
        </w:rPr>
        <w:t xml:space="preserve"> </w:t>
      </w:r>
    </w:p>
    <w:bookmarkStart w:id="192" w:name="fn132"/>
    <w:bookmarkEnd w:id="192"/>
    <w:p>
      <w:pPr>
        <w:numPr>
          <w:ilvl w:val="0"/>
          <w:numId w:val="31"/>
        </w:numPr>
        <w:spacing w:line="360" w:after="210" w:lineRule="auto"/>
      </w:pPr>
      <w:hyperlink r:id="rId137">
        <w:r>
          <w:rPr>
            <w:rFonts w:eastAsia="inter" w:cs="inter" w:ascii="inter" w:hAnsi="inter"/>
            <w:color w:val="#000"/>
            <w:sz w:val="18"/>
            <w:u w:val="single"/>
          </w:rPr>
          <w:t xml:space="preserve">https://www.mdpi.com/1911-8074/17/1/38/pdf?version=1705559205</w:t>
        </w:r>
      </w:hyperlink>
      <w:r>
        <w:rPr>
          <w:rFonts w:eastAsia="inter" w:cs="inter" w:ascii="inter" w:hAnsi="inter"/>
          <w:color w:val="000000"/>
          <w:sz w:val="18"/>
        </w:rPr>
        <w:t xml:space="preserve"> </w:t>
      </w:r>
    </w:p>
    <w:bookmarkStart w:id="193" w:name="fn133"/>
    <w:bookmarkEnd w:id="193"/>
    <w:p>
      <w:pPr>
        <w:numPr>
          <w:ilvl w:val="0"/>
          <w:numId w:val="31"/>
        </w:numPr>
        <w:spacing w:line="360" w:after="210" w:lineRule="auto"/>
      </w:pPr>
      <w:hyperlink r:id="rId138">
        <w:r>
          <w:rPr>
            <w:rFonts w:eastAsia="inter" w:cs="inter" w:ascii="inter" w:hAnsi="inter"/>
            <w:color w:val="#000"/>
            <w:sz w:val="18"/>
            <w:u w:val="single"/>
          </w:rPr>
          <w:t xml:space="preserve">https://www.deloitte.com/us/en/services/consulting/services/zora-generative-ai-agent.html</w:t>
        </w:r>
      </w:hyperlink>
      <w:r>
        <w:rPr>
          <w:rFonts w:eastAsia="inter" w:cs="inter" w:ascii="inter" w:hAnsi="inter"/>
          <w:color w:val="000000"/>
          <w:sz w:val="18"/>
        </w:rPr>
        <w:t xml:space="preserve"> </w:t>
      </w:r>
    </w:p>
    <w:bookmarkStart w:id="194" w:name="fn134"/>
    <w:bookmarkEnd w:id="194"/>
    <w:p>
      <w:pPr>
        <w:numPr>
          <w:ilvl w:val="0"/>
          <w:numId w:val="31"/>
        </w:numPr>
        <w:spacing w:line="360" w:after="210" w:lineRule="auto"/>
      </w:pPr>
      <w:hyperlink r:id="rId139">
        <w:r>
          <w:rPr>
            <w:rFonts w:eastAsia="inter" w:cs="inter" w:ascii="inter" w:hAnsi="inter"/>
            <w:color w:val="#000"/>
            <w:sz w:val="18"/>
            <w:u w:val="single"/>
          </w:rPr>
          <w:t xml:space="preserve">https://www.prnewswire.com/news-releases/deloitte-to-integrate-zora-ai-with-sap-joule-agents-to-unlock-deep-reasoning-capabilities-302459808.html</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decimal"/>
      <w:lvlText w:val="%1."/>
      <w:lvlJc w:val="left"/>
      <w:pPr>
        <w:tabs>
          <w:tab w:val="num" w:pos="900"/>
        </w:tabs>
        <w:ind w:left="540" w:hanging="360"/>
      </w:pPr>
    </w:lvl>
  </w:abstractNum>
  <w:abstractNum w:abstractNumId="10">
    <w:multiLevelType w:val="hybridMultilevel"/>
    <w:lvl w:ilvl="0">
      <w:start w:val="1"/>
      <w:numFmt w:val="decimal"/>
      <w:lvlText w:val="%1."/>
      <w:lvlJc w:val="left"/>
      <w:pPr>
        <w:tabs>
          <w:tab w:val="num" w:pos="900"/>
        </w:tabs>
        <w:ind w:left="540" w:hanging="360"/>
      </w:pPr>
    </w:lvl>
  </w:abstractNum>
  <w:abstractNum w:abstractNumId="11">
    <w:multiLevelType w:val="hybridMultilevel"/>
    <w:lvl w:ilvl="0">
      <w:start w:val="1"/>
      <w:numFmt w:val="decimal"/>
      <w:lvlText w:val="%1."/>
      <w:lvlJc w:val="left"/>
      <w:pPr>
        <w:tabs>
          <w:tab w:val="num" w:pos="900"/>
        </w:tabs>
        <w:ind w:left="540" w:hanging="360"/>
      </w:p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decimal"/>
      <w:lvlText w:val="%1."/>
      <w:lvlJc w:val="left"/>
      <w:pPr>
        <w:tabs>
          <w:tab w:val="num" w:pos="900"/>
        </w:tabs>
        <w:ind w:left="540" w:hanging="360"/>
      </w:p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decimal"/>
      <w:lvlText w:val="%1."/>
      <w:lvlJc w:val="left"/>
      <w:pPr>
        <w:tabs>
          <w:tab w:val="num" w:pos="900"/>
        </w:tabs>
        <w:ind w:left="540" w:hanging="360"/>
      </w:p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abstractNum>
  <w:abstractNum w:abstractNumId="31">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fi-FI"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fi-FI"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a61c1a4b07654e90540d1117dd0d0b5d103e34aa.png" TargetMode="Internal"/><Relationship Id="rId6" Type="http://schemas.openxmlformats.org/officeDocument/2006/relationships/hyperlink" Target="https://www.chimia.ch/chimia/article/view/2015_172" TargetMode="External"/><Relationship Id="rId7" Type="http://schemas.openxmlformats.org/officeDocument/2006/relationships/hyperlink" Target="https://www.semanticscholar.org/paper/7020b7b1f5af1ccb8f3e65676e912a5e9ac582ea" TargetMode="External"/><Relationship Id="rId8" Type="http://schemas.openxmlformats.org/officeDocument/2006/relationships/hyperlink" Target="https://www.sba.org.br/open_journal_systems/index.php/sbse/article/view/3109" TargetMode="External"/><Relationship Id="rId9" Type="http://schemas.openxmlformats.org/officeDocument/2006/relationships/hyperlink" Target="https://www.semanticscholar.org/paper/dba0d2a015c56d87568137891200daf3bd19b6fb" TargetMode="External"/><Relationship Id="rId10" Type="http://schemas.openxmlformats.org/officeDocument/2006/relationships/hyperlink" Target="https://www.semanticscholar.org/paper/e0cf6ef9e243364e091f8b8e2121f4c3638630e2" TargetMode="External"/><Relationship Id="rId11" Type="http://schemas.openxmlformats.org/officeDocument/2006/relationships/hyperlink" Target="http://pubs.rsna.org/doi/10.1148/radiol.2512092512" TargetMode="External"/><Relationship Id="rId12" Type="http://schemas.openxmlformats.org/officeDocument/2006/relationships/hyperlink" Target="http://link.springer.com/10.1007/s11548-010-0430-y" TargetMode="External"/><Relationship Id="rId13" Type="http://schemas.openxmlformats.org/officeDocument/2006/relationships/hyperlink" Target="https://onlinelibrary.wiley.com/doi/10.1111/epi.12210" TargetMode="External"/><Relationship Id="rId14" Type="http://schemas.openxmlformats.org/officeDocument/2006/relationships/hyperlink" Target="https://www.semanticscholar.org/paper/0c1ffb66254e7a5fe705883012d1793c63134a15" TargetMode="External"/><Relationship Id="rId15" Type="http://schemas.openxmlformats.org/officeDocument/2006/relationships/hyperlink" Target="https://library.imaging.org/ei/articles/28/12/art00013" TargetMode="External"/><Relationship Id="rId16" Type="http://schemas.openxmlformats.org/officeDocument/2006/relationships/hyperlink" Target="https://www.mdpi.com/2071-1050/10/7/2499/pdf?version=1531821953" TargetMode="External"/><Relationship Id="rId17" Type="http://schemas.openxmlformats.org/officeDocument/2006/relationships/hyperlink" Target="https://www.deloitte.com/il/en/services/consulting/services/data-and-ai.html" TargetMode="External"/><Relationship Id="rId18" Type="http://schemas.openxmlformats.org/officeDocument/2006/relationships/hyperlink" Target="https://www.deloitte.com/us/en/Industries/government-public/about/managed-ai-services.html" TargetMode="External"/><Relationship Id="rId19" Type="http://schemas.openxmlformats.org/officeDocument/2006/relationships/hyperlink" Target="https://www.deloitte.com/us/en/about/press-room/deloitte-unveils-zora-ai-agentic-ai-for-tomorrows-workforce.html" TargetMode="External"/><Relationship Id="rId20" Type="http://schemas.openxmlformats.org/officeDocument/2006/relationships/hyperlink" Target="https://innovationisrael.org.il/wp-content/uploads/2025/05/AI-National-Program-en-14.5.25.pdf" TargetMode="External"/><Relationship Id="rId21" Type="http://schemas.openxmlformats.org/officeDocument/2006/relationships/hyperlink" Target="https://www.executivebiz.com/articles/deloitte-silicon-to-service-ai-government-regulated-industries" TargetMode="External"/><Relationship Id="rId22" Type="http://schemas.openxmlformats.org/officeDocument/2006/relationships/hyperlink" Target="https://procurementmag.com/technology-and-ai/deloittes-zori-ai-improve-procurement-efficiency" TargetMode="External"/><Relationship Id="rId23" Type="http://schemas.openxmlformats.org/officeDocument/2006/relationships/hyperlink" Target="https://www.deloitte.com/il/he/what-we-do/Own-Tomorrow-With-Deloitte/articles/To-lead-in-the-era-of-artificial-intelligence.html" TargetMode="External"/><Relationship Id="rId24" Type="http://schemas.openxmlformats.org/officeDocument/2006/relationships/hyperlink" Target="https://www.prnewswire.com/news-releases/deloitte-unveils-silicon-to-service-for-government-and-regulated-industries-built-with-dell-technologies-and-nvidia-302463294.html" TargetMode="External"/><Relationship Id="rId25" Type="http://schemas.openxmlformats.org/officeDocument/2006/relationships/hyperlink" Target="https://www.youtube.com/watch?v=dewbIu_yisI" TargetMode="External"/><Relationship Id="rId26" Type="http://schemas.openxmlformats.org/officeDocument/2006/relationships/hyperlink" Target="https://www.deloitte.com/il/he/what-we-do/Own-Tomorrow-With-Deloitte/Strategy.html" TargetMode="External"/><Relationship Id="rId27" Type="http://schemas.openxmlformats.org/officeDocument/2006/relationships/hyperlink" Target="https://jelle.lgu.edu.pk/jelle/article/view/285" TargetMode="External"/><Relationship Id="rId28" Type="http://schemas.openxmlformats.org/officeDocument/2006/relationships/hyperlink" Target="https://www.matrix.co.il" TargetMode="External"/><Relationship Id="rId29" Type="http://schemas.openxmlformats.org/officeDocument/2006/relationships/hyperlink" Target="https://www.matrix-globalservices.com/wp-content/uploads/Matrix_Q2_2024_Financial-statement_English.pdf" TargetMode="External"/><Relationship Id="rId30" Type="http://schemas.openxmlformats.org/officeDocument/2006/relationships/hyperlink" Target="https://jewinthecity.com/2022/02/deloitte-proves-inclusivity-value-with-300-new-orthodox-hires/" TargetMode="External"/><Relationship Id="rId31" Type="http://schemas.openxmlformats.org/officeDocument/2006/relationships/hyperlink" Target="https://il.linkedin.com/in/yair-laron-036b7065" TargetMode="External"/><Relationship Id="rId32" Type="http://schemas.openxmlformats.org/officeDocument/2006/relationships/hyperlink" Target="https://www.whoprofits.org/companies/company/4009?matrix-it" TargetMode="External"/><Relationship Id="rId33" Type="http://schemas.openxmlformats.org/officeDocument/2006/relationships/hyperlink" Target="https://www.deloitte.com/il/en/services/consulting/services/workforce-transformation.html" TargetMode="External"/><Relationship Id="rId34" Type="http://schemas.openxmlformats.org/officeDocument/2006/relationships/hyperlink" Target="https://www.deloitte.com/il/en/about/people/profiles.yair-laron+ccaf768e.html" TargetMode="External"/><Relationship Id="rId35" Type="http://schemas.openxmlformats.org/officeDocument/2006/relationships/hyperlink" Target="https://www.globes.co.il/news/article.aspx?did=1001497197" TargetMode="External"/><Relationship Id="rId36" Type="http://schemas.openxmlformats.org/officeDocument/2006/relationships/hyperlink" Target="https://careers.deloitte.co.il" TargetMode="External"/><Relationship Id="rId37" Type="http://schemas.openxmlformats.org/officeDocument/2006/relationships/hyperlink" Target="https://www.mdpi.com/2673-7116/2/3/23/pdf?version=1662624556" TargetMode="External"/><Relationship Id="rId38" Type="http://schemas.openxmlformats.org/officeDocument/2006/relationships/hyperlink" Target="https://www.calcalistech.com/ctech/articles/0,7340,L-3876832,00.html" TargetMode="External"/><Relationship Id="rId39" Type="http://schemas.openxmlformats.org/officeDocument/2006/relationships/hyperlink" Target="https://www.matrix-globalservices.com" TargetMode="External"/><Relationship Id="rId40" Type="http://schemas.openxmlformats.org/officeDocument/2006/relationships/hyperlink" Target="https://www.deloitte.com/il/en/services/tax/perspectives/2024-incentives-alerts-circulars-israel.html" TargetMode="External"/><Relationship Id="rId41" Type="http://schemas.openxmlformats.org/officeDocument/2006/relationships/hyperlink" Target="http://arxiv.org/pdf/2410.11199.pdf" TargetMode="External"/><Relationship Id="rId42" Type="http://schemas.openxmlformats.org/officeDocument/2006/relationships/hyperlink" Target="https://ijsra.net/sites/default/files/IJSRA-2024-0287.pdf" TargetMode="External"/><Relationship Id="rId43" Type="http://schemas.openxmlformats.org/officeDocument/2006/relationships/hyperlink" Target="https://linkinghub.elsevier.com/retrieve/pii/S108480452300067X" TargetMode="External"/><Relationship Id="rId44" Type="http://schemas.openxmlformats.org/officeDocument/2006/relationships/hyperlink" Target="https://arxiv.org/pdf/2501.09562.pdf" TargetMode="External"/><Relationship Id="rId45" Type="http://schemas.openxmlformats.org/officeDocument/2006/relationships/hyperlink" Target="https://arxiv.org/pdf/2401.04070.pdf" TargetMode="External"/><Relationship Id="rId46" Type="http://schemas.openxmlformats.org/officeDocument/2006/relationships/hyperlink" Target="https://www.mdpi.com/1424-8220/25/6/1763" TargetMode="External"/><Relationship Id="rId47" Type="http://schemas.openxmlformats.org/officeDocument/2006/relationships/hyperlink" Target="https://www.mdpi.com/1424-8220/23/3/1279/pdf?version=1674391836" TargetMode="External"/><Relationship Id="rId48" Type="http://schemas.openxmlformats.org/officeDocument/2006/relationships/hyperlink" Target="https://www.ccsenet.org/journal/index.php/ijbm/article/download/73624/40941" TargetMode="External"/><Relationship Id="rId49" Type="http://schemas.openxmlformats.org/officeDocument/2006/relationships/hyperlink" Target="https://arxiv.org/pdf/2205.01081.pdf" TargetMode="External"/><Relationship Id="rId50" Type="http://schemas.openxmlformats.org/officeDocument/2006/relationships/hyperlink" Target="https://www.indianweb2.com/2024/02/deloitte-acquires-israel-based.html" TargetMode="External"/><Relationship Id="rId51" Type="http://schemas.openxmlformats.org/officeDocument/2006/relationships/hyperlink" Target="https://www.deloitte.com/il/en/services/consulting/perspectives/awesome-a-deloitte-business.html" TargetMode="External"/><Relationship Id="rId52" Type="http://schemas.openxmlformats.org/officeDocument/2006/relationships/hyperlink" Target="https://bloomer.co.il/deloitte-%D7%A8%D7%95%D7%9B%D7%A9%D7%AA-%D7%90%D7%AA-%D7%A4%D7%A2%D7%99%D7%9C%D7%95%D7%AA%D7%94-%D7%A9%D7%9C-opteamizer/" TargetMode="External"/><Relationship Id="rId53" Type="http://schemas.openxmlformats.org/officeDocument/2006/relationships/hyperlink" Target="https://www.linkedin.com/posts/awesome-deloitte_it-was-one-year-ago-thatdeloittecompleted-activity-6946354939522625536-2X4X" TargetMode="External"/><Relationship Id="rId54" Type="http://schemas.openxmlformats.org/officeDocument/2006/relationships/hyperlink" Target="https://ibimapublishing.com/articles/JFSR/2021/796491/796491.pdf" TargetMode="External"/><Relationship Id="rId55" Type="http://schemas.openxmlformats.org/officeDocument/2006/relationships/hyperlink" Target="https://www.mdpi.com/2227-7099/12/7/172/pdf?version=1720095987" TargetMode="External"/><Relationship Id="rId56" Type="http://schemas.openxmlformats.org/officeDocument/2006/relationships/hyperlink" Target="https://www.tandfonline.com/doi/full/10.1080/00343404.2021.1998418" TargetMode="External"/><Relationship Id="rId57" Type="http://schemas.openxmlformats.org/officeDocument/2006/relationships/hyperlink" Target="http://arxiv.org/pdf/2402.03910.pdf" TargetMode="External"/><Relationship Id="rId58" Type="http://schemas.openxmlformats.org/officeDocument/2006/relationships/hyperlink" Target="https://figshare.com/articles/online_resource/The_maturation_of_offshore_sourcing_of_information_technology_work/23889585/1/files/41887665.pdf" TargetMode="External"/><Relationship Id="rId59" Type="http://schemas.openxmlformats.org/officeDocument/2006/relationships/hyperlink" Target="https://www.deloitte.com/il/en/services/consulting/services/artificial-intelligence-and-data.html" TargetMode="External"/><Relationship Id="rId60" Type="http://schemas.openxmlformats.org/officeDocument/2006/relationships/hyperlink" Target="https://www.deloitte.com/il/en/services/consulting/perspectives/DeepTech-Explained-September.html" TargetMode="External"/><Relationship Id="rId61" Type="http://schemas.openxmlformats.org/officeDocument/2006/relationships/hyperlink" Target="https://www.deloitte.com/middle-east/en/about/press-room/deloitte-expands-global-ai-infrastructure-partnership-to-the-middle-east.html" TargetMode="External"/><Relationship Id="rId62" Type="http://schemas.openxmlformats.org/officeDocument/2006/relationships/hyperlink" Target="https://www.deloitte.com/il/he/services/consulting/services/itil-solutions.html" TargetMode="External"/><Relationship Id="rId63" Type="http://schemas.openxmlformats.org/officeDocument/2006/relationships/hyperlink" Target="https://www.prnewswire.com/news-releases/deloitte-acquires-innowake-to-help-clients-modernize-aging-it-systems-faster-300469354.html" TargetMode="External"/><Relationship Id="rId64" Type="http://schemas.openxmlformats.org/officeDocument/2006/relationships/hyperlink" Target="https://www.prnewswire.com/news-releases/deloitte-agrees-to-acquire-hashedin-technologies-a-leading-cloud-native-software-engineering-and-product-development-boutique-301185765.html" TargetMode="External"/><Relationship Id="rId65" Type="http://schemas.openxmlformats.org/officeDocument/2006/relationships/hyperlink" Target="https://solutionsmap.deloitte.co.il/en/private-solution/business-growth/transactions-financing-and-capital-raising/mergers-acquisitions-advisory-services/" TargetMode="External"/><Relationship Id="rId66" Type="http://schemas.openxmlformats.org/officeDocument/2006/relationships/hyperlink" Target="https://www.deloitte.com/us/en/about/press-room/deloitte-acquires-opteamizer-to-enhance-generative-ai-capabilities-for-nvidia-ai-solutions.html" TargetMode="External"/><Relationship Id="rId67" Type="http://schemas.openxmlformats.org/officeDocument/2006/relationships/hyperlink" Target="https://www.calcalist.co.il/local/articles/0,7340,L-3732778,00.html" TargetMode="External"/><Relationship Id="rId68" Type="http://schemas.openxmlformats.org/officeDocument/2006/relationships/hyperlink" Target="https://iati.co.il/wp-content/uploads/2023/12/IATIThe-impact-of-the-tech-sector-on-the-Israeli-economy-society-2023-full-version.pdf" TargetMode="External"/><Relationship Id="rId69" Type="http://schemas.openxmlformats.org/officeDocument/2006/relationships/hyperlink" Target="https://www.deloitte.com/il/he/services/consulting/about/welcome-opteamizer.html" TargetMode="External"/><Relationship Id="rId70" Type="http://schemas.openxmlformats.org/officeDocument/2006/relationships/hyperlink" Target="https://www.calcalistech.com/ctechnews/article/hysljcgixg" TargetMode="External"/><Relationship Id="rId71" Type="http://schemas.openxmlformats.org/officeDocument/2006/relationships/hyperlink" Target="https://solutionsmap.deloitte.co.il/en/organizations/performance-enhancement/systems-optimization/strategy-and-it-architecture/" TargetMode="External"/><Relationship Id="rId72" Type="http://schemas.openxmlformats.org/officeDocument/2006/relationships/hyperlink" Target="https://www.calcalistech.com/ctechnews/article/rkm1qbrrge" TargetMode="External"/><Relationship Id="rId73" Type="http://schemas.openxmlformats.org/officeDocument/2006/relationships/hyperlink" Target="https://en.globes.co.il/en/article-israeli-tech-keeps-the-retail-giants-in-the-game-1001307683" TargetMode="External"/><Relationship Id="rId74" Type="http://schemas.openxmlformats.org/officeDocument/2006/relationships/hyperlink" Target="https://www.deloitte.com/il/en/Industries/consumer/research/future-of-retail-tech-emerging-landscape-in-israel-2020.html" TargetMode="External"/><Relationship Id="rId75" Type="http://schemas.openxmlformats.org/officeDocument/2006/relationships/hyperlink" Target="https://www.asianinstituteofresearch.org/JEBarchives/Government-Support-for-Startups%3A-A-Comprehensive-Analysis-of-Funding-Initiatives-and-the-Role-of-the-Indian-Government-in-Nurturing-the-Startup-Ecosystem" TargetMode="External"/><Relationship Id="rId76" Type="http://schemas.openxmlformats.org/officeDocument/2006/relationships/hyperlink" Target="https://www.mdpi.com/2254-9625/13/9/130/pdf?version=1694586407" TargetMode="External"/><Relationship Id="rId77" Type="http://schemas.openxmlformats.org/officeDocument/2006/relationships/hyperlink" Target="https://www.mdpi.com/2071-1050/13/9/4632/pdf?version=1620636663" TargetMode="External"/><Relationship Id="rId78" Type="http://schemas.openxmlformats.org/officeDocument/2006/relationships/hyperlink" Target="https://www.mdpi.com/2071-1050/13/24/13687/pdf?version=1639376383" TargetMode="External"/><Relationship Id="rId79" Type="http://schemas.openxmlformats.org/officeDocument/2006/relationships/hyperlink" Target="https://www.mdpi.com/2075-1680/12/6/528/pdf?version=1687230920" TargetMode="External"/><Relationship Id="rId80" Type="http://schemas.openxmlformats.org/officeDocument/2006/relationships/hyperlink" Target="https://www.mdpi.com/2071-1050/15/16/12419/pdf?version=1692155456" TargetMode="External"/><Relationship Id="rId81" Type="http://schemas.openxmlformats.org/officeDocument/2006/relationships/hyperlink" Target="https://www.mdpi.com/2673-7116/2/4/31/pdf?version=1666102702" TargetMode="External"/><Relationship Id="rId82" Type="http://schemas.openxmlformats.org/officeDocument/2006/relationships/hyperlink" Target="https://www.emerald.com/insight/content/doi/10.1108/EJIM-01-2024-0081/full/pdf?title=strategies-for-digital-entrepreneurship-success-the-role-of-digital-implementation-and-dynamic-capabilities" TargetMode="External"/><Relationship Id="rId83" Type="http://schemas.openxmlformats.org/officeDocument/2006/relationships/hyperlink" Target="https://onlinelibrary.wiley.com/doi/pdfdirect/10.1111/radm.12587" TargetMode="External"/><Relationship Id="rId84" Type="http://schemas.openxmlformats.org/officeDocument/2006/relationships/hyperlink" Target="https://launchpad.deloitte.co.il" TargetMode="External"/><Relationship Id="rId85" Type="http://schemas.openxmlformats.org/officeDocument/2006/relationships/hyperlink" Target="https://www.destinationisrael.com/works/deloitte-catalyst" TargetMode="External"/><Relationship Id="rId86" Type="http://schemas.openxmlformats.org/officeDocument/2006/relationships/hyperlink" Target="https://www.timesofisrael.com/amid-war-deloitte-kicks-off-7th-cohort-for-israel-startup-accelerator-program/" TargetMode="External"/><Relationship Id="rId87" Type="http://schemas.openxmlformats.org/officeDocument/2006/relationships/hyperlink" Target="https://www.prnewswire.com/news-releases/deloitte-launches-cortexai-platform-to-help-organizations-accelerate-applied-ai-in-the-age-of-with-301150922.html" TargetMode="External"/><Relationship Id="rId88" Type="http://schemas.openxmlformats.org/officeDocument/2006/relationships/hyperlink" Target="https://solutionsmap.deloitte.co.il/en/catalyst/" TargetMode="External"/><Relationship Id="rId89" Type="http://schemas.openxmlformats.org/officeDocument/2006/relationships/hyperlink" Target="https://www.calcalistech.com/ctechnews/article/hk7js0nwjg" TargetMode="External"/><Relationship Id="rId90" Type="http://schemas.openxmlformats.org/officeDocument/2006/relationships/hyperlink" Target="https://www.prnewswire.com/news-releases/deloitte-launches-cortexai-for-government-platform-to-help-the-public-sector-build-operate-and-scale-ai-solutions-301217050.html" TargetMode="External"/><Relationship Id="rId91" Type="http://schemas.openxmlformats.org/officeDocument/2006/relationships/hyperlink" Target="https://www.calcalistech.com/ctechnews/article/rysbkhwbee" TargetMode="External"/><Relationship Id="rId92" Type="http://schemas.openxmlformats.org/officeDocument/2006/relationships/hyperlink" Target="https://www.deloitte.com/il/he/what-we-do/Own-Tomorrow-With-Deloitte/data-and-ai.html" TargetMode="External"/><Relationship Id="rId93" Type="http://schemas.openxmlformats.org/officeDocument/2006/relationships/hyperlink" Target="https://www.deloitte.com/il/en/services/consulting-financial/services/deloitte-catalyst.html" TargetMode="External"/><Relationship Id="rId94" Type="http://schemas.openxmlformats.org/officeDocument/2006/relationships/hyperlink" Target="https://nocamels.com/2024/05/10-more-israeli-startups-join-global-consulting-firms-accelerator/" TargetMode="External"/><Relationship Id="rId95" Type="http://schemas.openxmlformats.org/officeDocument/2006/relationships/hyperlink" Target="https://anthrosource.onlinelibrary.wiley.com/doi/10.1111/epic.12198" TargetMode="External"/><Relationship Id="rId96" Type="http://schemas.openxmlformats.org/officeDocument/2006/relationships/hyperlink" Target="https://arxiv.org/pdf/2312.10893.pdf" TargetMode="External"/><Relationship Id="rId97" Type="http://schemas.openxmlformats.org/officeDocument/2006/relationships/hyperlink" Target="http://arxiv.org/pdf/2411.14437.pdf" TargetMode="External"/><Relationship Id="rId98" Type="http://schemas.openxmlformats.org/officeDocument/2006/relationships/hyperlink" Target="https://arxiv.org/pdf/2410.18357.pdf" TargetMode="External"/><Relationship Id="rId99" Type="http://schemas.openxmlformats.org/officeDocument/2006/relationships/hyperlink" Target="https://arxiv.org/pdf/2407.12004.pdf" TargetMode="External"/><Relationship Id="rId100" Type="http://schemas.openxmlformats.org/officeDocument/2006/relationships/hyperlink" Target="http://arxiv.org/pdf/2407.17495.pdf" TargetMode="External"/><Relationship Id="rId101" Type="http://schemas.openxmlformats.org/officeDocument/2006/relationships/hyperlink" Target="https://arxiv.org/pdf/2402.11364.pdf" TargetMode="External"/><Relationship Id="rId102" Type="http://schemas.openxmlformats.org/officeDocument/2006/relationships/hyperlink" Target="https://arxiv.org/pdf/2403.08802.pdf" TargetMode="External"/><Relationship Id="rId103" Type="http://schemas.openxmlformats.org/officeDocument/2006/relationships/hyperlink" Target="https://www.deloitte.com/il/en/about/people/profiles.rani-argov+50d58676.html" TargetMode="External"/><Relationship Id="rId104" Type="http://schemas.openxmlformats.org/officeDocument/2006/relationships/hyperlink" Target="https://www.calcalistech.com/ctech/articles/0,7340,L-3914732,00.html" TargetMode="External"/><Relationship Id="rId105" Type="http://schemas.openxmlformats.org/officeDocument/2006/relationships/hyperlink" Target="https://www.peerspot.com/products/comparisons/accenture-ai-refinery_vs_deloitte-ai-data-analysis-services" TargetMode="External"/><Relationship Id="rId106" Type="http://schemas.openxmlformats.org/officeDocument/2006/relationships/hyperlink" Target="https://mr.gov.il/ilgstorefront/en/news/details/111222" TargetMode="External"/><Relationship Id="rId107" Type="http://schemas.openxmlformats.org/officeDocument/2006/relationships/hyperlink" Target="https://www.facebook.com/deloitteisrael/videos/future-of-retail-tech-promo/1083600938782860/?locale=he_IL" TargetMode="External"/><Relationship Id="rId108" Type="http://schemas.openxmlformats.org/officeDocument/2006/relationships/hyperlink" Target="https://telecomtalk.info/oracle-deloitte-accenture-ntt-data-agentic-ai/992009/" TargetMode="External"/><Relationship Id="rId109" Type="http://schemas.openxmlformats.org/officeDocument/2006/relationships/hyperlink" Target="https://www.linkedin.com/posts/omri-nezer_nimbus-layer5-govtech-activity-7227005194373386241-WbCE" TargetMode="External"/><Relationship Id="rId110" Type="http://schemas.openxmlformats.org/officeDocument/2006/relationships/hyperlink" Target="https://solutionsmap.deloitte.co.il/en/organizations/growth/digital-transformation/digital-transformation/" TargetMode="External"/><Relationship Id="rId111" Type="http://schemas.openxmlformats.org/officeDocument/2006/relationships/hyperlink" Target="https://www.youtube.com/watch?v=S6ya3-P6BPg" TargetMode="External"/><Relationship Id="rId112" Type="http://schemas.openxmlformats.org/officeDocument/2006/relationships/hyperlink" Target="https://www.globes.co.il/news/article.aspx?did=1001368335" TargetMode="External"/><Relationship Id="rId113" Type="http://schemas.openxmlformats.org/officeDocument/2006/relationships/hyperlink" Target="https://www.linkedin.com/posts/ilan-birnfeld_am-yisrael-chai-several-days-after-the-activity-7117955345775235073-luEp" TargetMode="External"/><Relationship Id="rId114" Type="http://schemas.openxmlformats.org/officeDocument/2006/relationships/hyperlink" Target="https://www.accenture.com/us-en/services/data-ai/ai-refinery" TargetMode="External"/><Relationship Id="rId115" Type="http://schemas.openxmlformats.org/officeDocument/2006/relationships/hyperlink" Target="https://arxiv.org/pdf/1910.00577.pdf" TargetMode="External"/><Relationship Id="rId116" Type="http://schemas.openxmlformats.org/officeDocument/2006/relationships/hyperlink" Target="https://eladsoft.com" TargetMode="External"/><Relationship Id="rId117" Type="http://schemas.openxmlformats.org/officeDocument/2006/relationships/hyperlink" Target="https://eladsoft.com/en/elad-people/" TargetMode="External"/><Relationship Id="rId118" Type="http://schemas.openxmlformats.org/officeDocument/2006/relationships/hyperlink" Target="https://www.deloitte.com/il/en/services/consulting/services/systems-delivery-modernization.html" TargetMode="External"/><Relationship Id="rId119" Type="http://schemas.openxmlformats.org/officeDocument/2006/relationships/hyperlink" Target="https://solutionsmap.deloitte.co.il/en/organizations/growth/strategy-and-growth/innovation/" TargetMode="External"/><Relationship Id="rId120" Type="http://schemas.openxmlformats.org/officeDocument/2006/relationships/hyperlink" Target="https://devjobs.co.il/company-details/elad-software-systems" TargetMode="External"/><Relationship Id="rId121" Type="http://schemas.openxmlformats.org/officeDocument/2006/relationships/hyperlink" Target="https://www.deloitte.com/il/en/services/consulting/services/end-to-end-digital-transformation.html" TargetMode="External"/><Relationship Id="rId122" Type="http://schemas.openxmlformats.org/officeDocument/2006/relationships/hyperlink" Target="https://www.linkedin.com/company/elad-systems" TargetMode="External"/><Relationship Id="rId123" Type="http://schemas.openxmlformats.org/officeDocument/2006/relationships/hyperlink" Target="https://solutionsmap.deloitte.co.il/en/itt-solution/technology-consulting-implementation/" TargetMode="External"/><Relationship Id="rId124" Type="http://schemas.openxmlformats.org/officeDocument/2006/relationships/hyperlink" Target="https://www.deloitte.com/il/en.html" TargetMode="External"/><Relationship Id="rId125" Type="http://schemas.openxmlformats.org/officeDocument/2006/relationships/hyperlink" Target="http://evo-it.co.il/?page_id=121" TargetMode="External"/><Relationship Id="rId126" Type="http://schemas.openxmlformats.org/officeDocument/2006/relationships/hyperlink" Target="https://www.deloitte.com/il/he/services/consulting/services/enterprise-technology-performance.html" TargetMode="External"/><Relationship Id="rId127" Type="http://schemas.openxmlformats.org/officeDocument/2006/relationships/hyperlink" Target="https://eladsoft.com/en/elad-digital/" TargetMode="External"/><Relationship Id="rId128" Type="http://schemas.openxmlformats.org/officeDocument/2006/relationships/hyperlink" Target="https://ekonomiaisrodowisko.pl/journal/article/view/963" TargetMode="External"/><Relationship Id="rId129" Type="http://schemas.openxmlformats.org/officeDocument/2006/relationships/hyperlink" Target="http://eui.zu.edu.ua/article/view/346743" TargetMode="External"/><Relationship Id="rId130" Type="http://schemas.openxmlformats.org/officeDocument/2006/relationships/hyperlink" Target="https://www.semanticscholar.org/paper/b900f03d332edf5b26e4b5acae6dded7498b1fba" TargetMode="External"/><Relationship Id="rId131" Type="http://schemas.openxmlformats.org/officeDocument/2006/relationships/hyperlink" Target="http://arxiv.org/pdf/2412.06936.pdf" TargetMode="External"/><Relationship Id="rId132" Type="http://schemas.openxmlformats.org/officeDocument/2006/relationships/hyperlink" Target="https://arxiv.org/pdf/2402.17177v1.pdf" TargetMode="External"/><Relationship Id="rId133" Type="http://schemas.openxmlformats.org/officeDocument/2006/relationships/hyperlink" Target="https://arxiv.org/pdf/2304.11771.pdf" TargetMode="External"/><Relationship Id="rId134" Type="http://schemas.openxmlformats.org/officeDocument/2006/relationships/hyperlink" Target="https://www.mdpi.com/2673-2688/1/2/11/pdf" TargetMode="External"/><Relationship Id="rId135" Type="http://schemas.openxmlformats.org/officeDocument/2006/relationships/hyperlink" Target="http://arxiv.org/pdf/2409.05919.pdf" TargetMode="External"/><Relationship Id="rId136" Type="http://schemas.openxmlformats.org/officeDocument/2006/relationships/hyperlink" Target="https://aclanthology.org/2023.emnlp-demo.3.pdf" TargetMode="External"/><Relationship Id="rId137" Type="http://schemas.openxmlformats.org/officeDocument/2006/relationships/hyperlink" Target="https://www.mdpi.com/1911-8074/17/1/38/pdf?version=1705559205" TargetMode="External"/><Relationship Id="rId138" Type="http://schemas.openxmlformats.org/officeDocument/2006/relationships/hyperlink" Target="https://www.deloitte.com/us/en/services/consulting/services/zora-generative-ai-agent.html" TargetMode="External"/><Relationship Id="rId139" Type="http://schemas.openxmlformats.org/officeDocument/2006/relationships/hyperlink" Target="https://www.prnewswire.com/news-releases/deloitte-to-integrate-zora-ai-with-sap-joule-agents-to-unlock-deep-reasoning-capabilities-302459808.html"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2026-01-18T18:12:23.536Z</dcterms:created>
  <dcterms:modified xsi:type="dcterms:W3CDTF">2026-01-18T18:12:23.536Z</dcterms:modified>
</cp:coreProperties>
</file>