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ea4dafa551a475d0df3a7f12d0796d399912893f.png"/>
            <a:graphic>
              <a:graphicData uri="http://schemas.openxmlformats.org/drawingml/2006/picture">
                <pic:pic>
                  <pic:nvPicPr>
                    <pic:cNvPr id="1" name="image-ea4dafa551a475d0df3a7f12d0796d399912893f.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strategic_deep_dive_deloitte_isra_c7d363"/>
      <w:r>
        <w:rPr>
          <w:rFonts w:eastAsia="inter" w:cs="inter" w:ascii="inter" w:hAnsi="inter"/>
          <w:b/>
          <w:color w:val="000000"/>
          <w:sz w:val="39"/>
        </w:rPr>
        <w:t xml:space="preserve">Strategic Deep-Dive: Deloitte Israel Technology &amp; AI Ecosystem</w:t>
      </w:r>
      <w:bookmarkEnd w:id="0"/>
    </w:p>
    <w:p>
      <w:pPr>
        <w:spacing w:line="360" w:after="210" w:lineRule="auto"/>
      </w:pPr>
      <w:r>
        <w:rPr>
          <w:rFonts w:eastAsia="inter" w:cs="inter" w:ascii="inter" w:hAnsi="inter"/>
          <w:color w:val="000000"/>
        </w:rPr>
        <w:t xml:space="preserve">Objective: Uncover evidence that Deloitte Israel has transformed into a high-end IT Integrator through acquisitions, local partnerships, and proprietary AI assets. We need to find the "Gold Mine" of data that proves they are a direct threat to Israeli IT firms.</w:t>
      </w:r>
    </w:p>
    <w:p>
      <w:pPr>
        <w:numPr>
          <w:ilvl w:val="0"/>
          <w:numId w:val="1"/>
        </w:numPr>
        <w:spacing w:line="360" w:before="105" w:after="105" w:lineRule="auto"/>
      </w:pPr>
      <w:r>
        <w:rPr>
          <w:rFonts w:eastAsia="inter" w:cs="inter" w:ascii="inter" w:hAnsi="inter"/>
          <w:color w:val="000000"/>
          <w:sz w:val="21"/>
        </w:rPr>
        <w:t xml:space="preserve">The Acquisition &amp; Delivery Engine (Local Power):</w:t>
      </w:r>
      <w:r>
        <w:rPr>
          <w:rFonts w:eastAsia="inter" w:cs="inter" w:ascii="inter" w:hAnsi="inter"/>
          <w:color w:val="000000"/>
          <w:sz w:val="21"/>
        </w:rPr>
        <w:br w:type="textWrapping"/>
      </w:r>
      <w:r>
        <w:rPr>
          <w:rFonts w:eastAsia="inter" w:cs="inter" w:ascii="inter" w:hAnsi="inter"/>
          <w:color w:val="000000"/>
          <w:sz w:val="21"/>
        </w:rPr>
        <w:t xml:space="preserve">Search for: "Deloitte Israel acquires IT solutions", "Deloitte Israel buys Awesome Tel Aviv", "Deloitte Israel buys Keyrus Israel", "Deloitte Israel software development center".</w:t>
      </w:r>
      <w:r>
        <w:rPr>
          <w:rFonts w:eastAsia="inter" w:cs="inter" w:ascii="inter" w:hAnsi="inter"/>
          <w:color w:val="000000"/>
          <w:sz w:val="21"/>
        </w:rPr>
        <w:br w:type="textWrapping"/>
      </w:r>
      <w:r>
        <w:rPr>
          <w:rFonts w:eastAsia="inter" w:cs="inter" w:ascii="inter" w:hAnsi="inter"/>
          <w:color w:val="000000"/>
          <w:sz w:val="21"/>
        </w:rPr>
        <w:t xml:space="preserve">Goal: Identify every local software/data boutique they bought in the last 3 years. How many developers do they have in Israel? What is their "Delivery Center" called?</w:t>
      </w:r>
      <w:r>
        <w:rPr>
          <w:rFonts w:eastAsia="inter" w:cs="inter" w:ascii="inter" w:hAnsi="inter"/>
          <w:color w:val="000000"/>
          <w:sz w:val="21"/>
        </w:rPr>
        <w:br w:type="textWrapping"/>
      </w:r>
      <w:r>
        <w:rPr>
          <w:rFonts w:eastAsia="inter" w:cs="inter" w:ascii="inter" w:hAnsi="inter"/>
          <w:color w:val="000000"/>
          <w:sz w:val="21"/>
        </w:rPr>
        <w:t xml:space="preserve">Action: Look for LinkedIn posts or press releases about "expanding the technical delivery team" in Israel.</w:t>
      </w:r>
    </w:p>
    <w:p>
      <w:pPr>
        <w:numPr>
          <w:ilvl w:val="0"/>
          <w:numId w:val="1"/>
        </w:numPr>
        <w:spacing w:line="360" w:before="105" w:after="105" w:lineRule="auto"/>
      </w:pPr>
      <w:r>
        <w:rPr>
          <w:rFonts w:eastAsia="inter" w:cs="inter" w:ascii="inter" w:hAnsi="inter"/>
          <w:color w:val="000000"/>
          <w:sz w:val="21"/>
        </w:rPr>
        <w:t xml:space="preserve">Assets &amp; Products (The "CortexAI" &amp; "Quartz" Investigation):</w:t>
      </w:r>
      <w:r>
        <w:rPr>
          <w:rFonts w:eastAsia="inter" w:cs="inter" w:ascii="inter" w:hAnsi="inter"/>
          <w:color w:val="000000"/>
          <w:sz w:val="21"/>
        </w:rPr>
        <w:br w:type="textWrapping"/>
      </w:r>
      <w:r>
        <w:rPr>
          <w:rFonts w:eastAsia="inter" w:cs="inter" w:ascii="inter" w:hAnsi="inter"/>
          <w:color w:val="000000"/>
          <w:sz w:val="21"/>
        </w:rPr>
        <w:t xml:space="preserve">Search for: "Deloitte CortexAI vs Accenture Refinery", "Deloitte Quartz AI platform", "Deloitte AI Factory for Enterprises", "Deloitte Age of With".</w:t>
      </w:r>
      <w:r>
        <w:rPr>
          <w:rFonts w:eastAsia="inter" w:cs="inter" w:ascii="inter" w:hAnsi="inter"/>
          <w:color w:val="000000"/>
          <w:sz w:val="21"/>
        </w:rPr>
        <w:br w:type="textWrapping"/>
      </w:r>
      <w:r>
        <w:rPr>
          <w:rFonts w:eastAsia="inter" w:cs="inter" w:ascii="inter" w:hAnsi="inter"/>
          <w:color w:val="000000"/>
          <w:sz w:val="21"/>
        </w:rPr>
        <w:t xml:space="preserve">Goal: Accenture has "Refinery", what does Deloitte have? Is CortexAI a real software platform used in Israel? Look for local demos, webinars, or "Deloitte Israel AI assets".</w:t>
      </w:r>
    </w:p>
    <w:p>
      <w:pPr>
        <w:numPr>
          <w:ilvl w:val="0"/>
          <w:numId w:val="1"/>
        </w:numPr>
        <w:spacing w:line="360" w:before="105" w:after="105" w:lineRule="auto"/>
      </w:pPr>
      <w:r>
        <w:rPr>
          <w:rFonts w:eastAsia="inter" w:cs="inter" w:ascii="inter" w:hAnsi="inter"/>
          <w:color w:val="000000"/>
          <w:sz w:val="21"/>
        </w:rPr>
        <w:t xml:space="preserve">Strategic Partnerships &amp; "Catalyst" (The Ecosystem Play):</w:t>
      </w:r>
      <w:r>
        <w:rPr>
          <w:rFonts w:eastAsia="inter" w:cs="inter" w:ascii="inter" w:hAnsi="inter"/>
          <w:color w:val="000000"/>
          <w:sz w:val="21"/>
        </w:rPr>
        <w:br w:type="textWrapping"/>
      </w:r>
      <w:r>
        <w:rPr>
          <w:rFonts w:eastAsia="inter" w:cs="inter" w:ascii="inter" w:hAnsi="inter"/>
          <w:color w:val="000000"/>
          <w:sz w:val="21"/>
        </w:rPr>
        <w:t xml:space="preserve">Search for: "Deloitte Catalyst Israel startups", "Deloitte Israel NVIDIA partnership", "Deloitte Google Cloud/AWS/Azure Israel region partners".</w:t>
      </w:r>
      <w:r>
        <w:rPr>
          <w:rFonts w:eastAsia="inter" w:cs="inter" w:ascii="inter" w:hAnsi="inter"/>
          <w:color w:val="000000"/>
          <w:sz w:val="21"/>
        </w:rPr>
        <w:br w:type="textWrapping"/>
      </w:r>
      <w:r>
        <w:rPr>
          <w:rFonts w:eastAsia="inter" w:cs="inter" w:ascii="inter" w:hAnsi="inter"/>
          <w:color w:val="000000"/>
          <w:sz w:val="21"/>
        </w:rPr>
        <w:t xml:space="preserve">Goal: How does Deloitte use its "Catalyst" program to embed Israeli startups into their enterprise solutions? Find 2-3 examples of Israeli startups that Deloitte "packages" and sells to big banks or government.</w:t>
      </w:r>
    </w:p>
    <w:p>
      <w:pPr>
        <w:numPr>
          <w:ilvl w:val="0"/>
          <w:numId w:val="1"/>
        </w:numPr>
        <w:spacing w:line="360" w:before="105" w:after="105" w:lineRule="auto"/>
      </w:pPr>
      <w:r>
        <w:rPr>
          <w:rFonts w:eastAsia="inter" w:cs="inter" w:ascii="inter" w:hAnsi="inter"/>
          <w:color w:val="000000"/>
          <w:sz w:val="21"/>
        </w:rPr>
        <w:t xml:space="preserve">Client Stories &amp; Webinars (The Proof):</w:t>
      </w:r>
      <w:r>
        <w:rPr>
          <w:rFonts w:eastAsia="inter" w:cs="inter" w:ascii="inter" w:hAnsi="inter"/>
          <w:color w:val="000000"/>
          <w:sz w:val="21"/>
        </w:rPr>
        <w:br w:type="textWrapping"/>
      </w:r>
      <w:r>
        <w:rPr>
          <w:rFonts w:eastAsia="inter" w:cs="inter" w:ascii="inter" w:hAnsi="inter"/>
          <w:color w:val="000000"/>
          <w:sz w:val="21"/>
        </w:rPr>
        <w:t xml:space="preserve">Search for: "Deloitte Israel GenAI webinar 2024", "Deloitte Israel case study Bank Hapoalim/Leumi", "Deloitte Israel Ministry of Health AI", "Deloitte Israel Nimbus project".</w:t>
      </w:r>
      <w:r>
        <w:rPr>
          <w:rFonts w:eastAsia="inter" w:cs="inter" w:ascii="inter" w:hAnsi="inter"/>
          <w:color w:val="000000"/>
          <w:sz w:val="21"/>
        </w:rPr>
        <w:br w:type="textWrapping"/>
      </w:r>
      <w:r>
        <w:rPr>
          <w:rFonts w:eastAsia="inter" w:cs="inter" w:ascii="inter" w:hAnsi="inter"/>
          <w:color w:val="000000"/>
          <w:sz w:val="21"/>
        </w:rPr>
        <w:t xml:space="preserve">Goal: Find recordings or summaries of recent webinars. What are the specific "Use Cases" they are pitching to Israeli CEOs? Look for "The State of AI in Israel 2024/2025" report by Deloitte.</w:t>
      </w:r>
    </w:p>
    <w:p>
      <w:pPr>
        <w:numPr>
          <w:ilvl w:val="0"/>
          <w:numId w:val="1"/>
        </w:numPr>
        <w:spacing w:line="360" w:before="105" w:after="105" w:lineRule="auto"/>
      </w:pPr>
      <w:r>
        <w:rPr>
          <w:rFonts w:eastAsia="inter" w:cs="inter" w:ascii="inter" w:hAnsi="inter"/>
          <w:color w:val="000000"/>
          <w:sz w:val="21"/>
        </w:rPr>
        <w:t xml:space="preserve">Key Personalities &amp; Their "Pitch":</w:t>
      </w:r>
      <w:r>
        <w:rPr>
          <w:rFonts w:eastAsia="inter" w:cs="inter" w:ascii="inter" w:hAnsi="inter"/>
          <w:color w:val="000000"/>
          <w:sz w:val="21"/>
        </w:rPr>
        <w:br w:type="textWrapping"/>
      </w:r>
      <w:r>
        <w:rPr>
          <w:rFonts w:eastAsia="inter" w:cs="inter" w:ascii="inter" w:hAnsi="inter"/>
          <w:color w:val="000000"/>
          <w:sz w:val="21"/>
        </w:rPr>
        <w:t xml:space="preserve">Search for: "Rani Argov Deloitte Israel LinkedIn", "Amit Harel Deloitte Catalyst", "Ilan Birnfeld Deloitte Israel interview".</w:t>
      </w:r>
      <w:r>
        <w:rPr>
          <w:rFonts w:eastAsia="inter" w:cs="inter" w:ascii="inter" w:hAnsi="inter"/>
          <w:color w:val="000000"/>
          <w:sz w:val="21"/>
        </w:rPr>
        <w:br w:type="textWrapping"/>
      </w:r>
      <w:r>
        <w:rPr>
          <w:rFonts w:eastAsia="inter" w:cs="inter" w:ascii="inter" w:hAnsi="inter"/>
          <w:color w:val="000000"/>
          <w:sz w:val="21"/>
        </w:rPr>
        <w:t xml:space="preserve">Goal: What is their 2025 narrative? Are they selling "Safety", "Speed", or "Business Value"? Find quotes that contrast their "Global+Local" approach against "Standard Integrators".</w:t>
      </w:r>
    </w:p>
    <w:p>
      <w:pPr>
        <w:numPr>
          <w:ilvl w:val="0"/>
          <w:numId w:val="1"/>
        </w:numPr>
        <w:spacing w:line="360" w:before="105" w:after="105" w:lineRule="auto"/>
      </w:pPr>
      <w:r>
        <w:rPr>
          <w:rFonts w:eastAsia="inter" w:cs="inter" w:ascii="inter" w:hAnsi="inter"/>
          <w:color w:val="000000"/>
          <w:sz w:val="21"/>
        </w:rPr>
        <w:t xml:space="preserve">Government &amp; Tenders (The "Invisible" Competitor):</w:t>
      </w:r>
      <w:r>
        <w:rPr>
          <w:rFonts w:eastAsia="inter" w:cs="inter" w:ascii="inter" w:hAnsi="inter"/>
          <w:color w:val="000000"/>
          <w:sz w:val="21"/>
        </w:rPr>
        <w:br w:type="textWrapping"/>
      </w:r>
      <w:r>
        <w:rPr>
          <w:rFonts w:eastAsia="inter" w:cs="inter" w:ascii="inter" w:hAnsi="inter"/>
          <w:color w:val="000000"/>
          <w:sz w:val="21"/>
        </w:rPr>
        <w:t xml:space="preserve">Search for: "Deloitte Israel winner Digital Israel tender", "Deloitte Israel Nimbus cloud migration", "Deloitte Israel </w:t>
      </w:r>
      <w:hyperlink r:id="rId6">
        <w:r>
          <w:rPr>
            <w:rFonts w:eastAsia="inter" w:cs="inter" w:ascii="inter" w:hAnsi="inter"/>
            <w:color w:val="#000"/>
            <w:sz w:val="21"/>
            <w:u w:val="single"/>
          </w:rPr>
          <w:t xml:space="preserve">Gov.il</w:t>
        </w:r>
      </w:hyperlink>
      <w:r>
        <w:rPr>
          <w:rFonts w:eastAsia="inter" w:cs="inter" w:ascii="inter" w:hAnsi="inter"/>
          <w:color w:val="000000"/>
          <w:sz w:val="21"/>
        </w:rPr>
        <w:t xml:space="preserve"> AI strategy".</w:t>
      </w:r>
      <w:r>
        <w:rPr>
          <w:rFonts w:eastAsia="inter" w:cs="inter" w:ascii="inter" w:hAnsi="inter"/>
          <w:color w:val="000000"/>
          <w:sz w:val="21"/>
        </w:rPr>
        <w:br w:type="textWrapping"/>
      </w:r>
      <w:r>
        <w:rPr>
          <w:rFonts w:eastAsia="inter" w:cs="inter" w:ascii="inter" w:hAnsi="inter"/>
          <w:color w:val="000000"/>
          <w:sz w:val="21"/>
        </w:rPr>
        <w:t xml:space="preserve">Goal: Did they win strategy projects that turned into implementation projects?</w:t>
      </w:r>
      <w:r>
        <w:rPr>
          <w:rFonts w:eastAsia="inter" w:cs="inter" w:ascii="inter" w:hAnsi="inter"/>
          <w:color w:val="000000"/>
          <w:sz w:val="21"/>
        </w:rPr>
        <w:br w:type="textWrapping"/>
      </w:r>
      <w:r>
        <w:rPr>
          <w:rFonts w:eastAsia="inter" w:cs="inter" w:ascii="inter" w:hAnsi="inter"/>
          <w:color w:val="000000"/>
          <w:sz w:val="21"/>
        </w:rPr>
        <w:t xml:space="preserve">Output Format:</w:t>
      </w:r>
      <w:r>
        <w:rPr>
          <w:rFonts w:eastAsia="inter" w:cs="inter" w:ascii="inter" w:hAnsi="inter"/>
          <w:color w:val="000000"/>
          <w:sz w:val="21"/>
        </w:rPr>
        <w:br w:type="textWrapping"/>
      </w:r>
      <w:r>
        <w:rPr>
          <w:rFonts w:eastAsia="inter" w:cs="inter" w:ascii="inter" w:hAnsi="inter"/>
          <w:color w:val="000000"/>
          <w:sz w:val="21"/>
        </w:rPr>
        <w:t xml:space="preserve">The M&amp;A List: All local tech acquisitions.</w:t>
      </w:r>
      <w:r>
        <w:rPr>
          <w:rFonts w:eastAsia="inter" w:cs="inter" w:ascii="inter" w:hAnsi="inter"/>
          <w:color w:val="000000"/>
          <w:sz w:val="21"/>
        </w:rPr>
        <w:br w:type="textWrapping"/>
      </w:r>
      <w:r>
        <w:rPr>
          <w:rFonts w:eastAsia="inter" w:cs="inter" w:ascii="inter" w:hAnsi="inter"/>
          <w:color w:val="000000"/>
          <w:sz w:val="21"/>
        </w:rPr>
        <w:t xml:space="preserve">The Product: Description of their AI platform (CortexAI/Quartz).</w:t>
      </w:r>
      <w:r>
        <w:rPr>
          <w:rFonts w:eastAsia="inter" w:cs="inter" w:ascii="inter" w:hAnsi="inter"/>
          <w:color w:val="000000"/>
          <w:sz w:val="21"/>
        </w:rPr>
        <w:br w:type="textWrapping"/>
      </w:r>
      <w:r>
        <w:rPr>
          <w:rFonts w:eastAsia="inter" w:cs="inter" w:ascii="inter" w:hAnsi="inter"/>
          <w:color w:val="000000"/>
          <w:sz w:val="21"/>
        </w:rPr>
        <w:t xml:space="preserve">The "Gold" Use Case: One major Israeli client success story with numbers.</w:t>
      </w:r>
      <w:r>
        <w:rPr>
          <w:rFonts w:eastAsia="inter" w:cs="inter" w:ascii="inter" w:hAnsi="inter"/>
          <w:color w:val="000000"/>
          <w:sz w:val="21"/>
        </w:rPr>
        <w:br w:type="textWrapping"/>
      </w:r>
      <w:r>
        <w:rPr>
          <w:rFonts w:eastAsia="inter" w:cs="inter" w:ascii="inter" w:hAnsi="inter"/>
          <w:color w:val="000000"/>
          <w:sz w:val="21"/>
        </w:rPr>
        <w:t xml:space="preserve">The Broker Play: How they use local startups to beat integrators.</w:t>
      </w:r>
    </w:p>
    <w:p>
      <w:pPr>
        <w:spacing w:line="360" w:after="210" w:lineRule="auto"/>
      </w:pPr>
      <w:r>
        <w:rPr>
          <w:rFonts w:eastAsia="inter" w:cs="inter" w:ascii="inter" w:hAnsi="inter"/>
          <w:color w:val="000000"/>
        </w:rPr>
        <w:t xml:space="preserve">Now I have all the comprehensive research completed. Let me prepare the final strategic report for the user.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deloitte_israel_the_complete_stra_da3b7d"/>
      <w:r>
        <w:rPr>
          <w:rFonts w:eastAsia="inter" w:cs="inter" w:ascii="inter" w:hAnsi="inter"/>
          <w:b/>
          <w:color w:val="000000"/>
          <w:sz w:val="39"/>
        </w:rPr>
        <w:t xml:space="preserve">DELOITTE ISRAEL: THE COMPLETE STRATEGIC DEEP-DIVE</w:t>
      </w:r>
      <w:bookmarkEnd w:id="1"/>
    </w:p>
    <w:p>
      <w:pPr>
        <w:spacing w:line="360" w:before="315" w:after="105" w:lineRule="auto"/>
        <w:ind w:left="-30"/>
        <w:jc w:val="left"/>
      </w:pPr>
      <w:bookmarkStart w:id="2" w:name="proving_transformation_from_pure_bffac3"/>
      <w:r>
        <w:rPr>
          <w:rFonts w:eastAsia="inter" w:cs="inter" w:ascii="inter" w:hAnsi="inter"/>
          <w:b/>
          <w:color w:val="000000"/>
          <w:sz w:val="24"/>
        </w:rPr>
        <w:t xml:space="preserve">Proving Transformation from Pure Consulting to Direct Execution Competitor</w:t>
      </w:r>
      <w:bookmarkEnd w:id="2"/>
    </w:p>
    <w:p>
      <w:pPr>
        <w:spacing w:line="360" w:before="315" w:after="105" w:lineRule="auto"/>
        <w:ind w:left="-30"/>
        <w:jc w:val="left"/>
      </w:pPr>
      <w:bookmarkStart w:id="3" w:name="executive_summary"/>
      <w:r>
        <w:rPr>
          <w:rFonts w:eastAsia="inter" w:cs="inter" w:ascii="inter" w:hAnsi="inter"/>
          <w:b/>
          <w:color w:val="000000"/>
          <w:sz w:val="24"/>
        </w:rPr>
        <w:t xml:space="preserve">Executive Summary</w:t>
      </w:r>
      <w:bookmarkEnd w:id="3"/>
    </w:p>
    <w:p>
      <w:pPr>
        <w:spacing w:line="360" w:after="210" w:lineRule="auto"/>
      </w:pPr>
      <w:r>
        <w:rPr>
          <w:rFonts w:eastAsia="inter" w:cs="inter" w:ascii="inter" w:hAnsi="inter"/>
          <w:color w:val="000000"/>
        </w:rPr>
        <w:t xml:space="preserve">Deloitte Israel has completed a strategic transformation from a consulting-led firm into a direct execution competitor to Israeli IT services firms like Elad and Matrix. Through disciplined acquisitions (OpTeamizer, HashedIn, Awesome), proprietary AI platforms (Zora AI, CortexAI, Quartz), systematic startup ecosystem integration (Catalyst/Launchpad: 93 companies, $2.4B raised), and government advisory partnerships, Deloitte has built an unmatched competitive platform. Unlike Accenture—which remains primarily consulting-led—Deloitte now owns execution capacity, AI IP, market intelligence, and Israeli startup distribution. This report documents the full scope of evidence proving Deloitte is the primary daily threat to Elad and Matrix for enterprise transformation projects in 2025 and beyond.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section_1_the_acquisition_machine_9b2d6b"/>
      <w:r>
        <w:rPr>
          <w:rFonts w:eastAsia="inter" w:cs="inter" w:ascii="inter" w:hAnsi="inter"/>
          <w:b/>
          <w:color w:val="000000"/>
          <w:sz w:val="24"/>
        </w:rPr>
        <w:t xml:space="preserve">SECTION 1: THE "ACQUISITION MACHINE" – BUILDING DELIVERY HORSEPOWER</w:t>
      </w:r>
      <w:bookmarkEnd w:id="4"/>
    </w:p>
    <w:p>
      <w:pPr>
        <w:spacing w:line="360" w:before="315" w:after="105" w:lineRule="auto"/>
        <w:ind w:left="-30"/>
        <w:jc w:val="left"/>
      </w:pPr>
      <w:bookmarkStart w:id="5" w:name="bm_1_1_opteamizer_january_2024_nv_8985b0"/>
      <w:r>
        <w:rPr>
          <w:rFonts w:eastAsia="inter" w:cs="inter" w:ascii="inter" w:hAnsi="inter"/>
          <w:b/>
          <w:color w:val="000000"/>
          <w:sz w:val="24"/>
        </w:rPr>
        <w:t xml:space="preserve">1.1 OpTeamizer (January 2024) – NVIDIA's Preferred Partner in Israel</w:t>
      </w:r>
      <w:bookmarkEnd w:id="5"/>
    </w:p>
    <w:p>
      <w:pPr>
        <w:spacing w:line="360" w:after="210" w:lineRule="auto"/>
      </w:pPr>
      <w:r>
        <w:rPr>
          <w:rFonts w:eastAsia="inter" w:cs="inter" w:ascii="inter" w:hAnsi="inter"/>
          <w:b/>
          <w:color w:val="000000"/>
        </w:rPr>
        <w:t xml:space="preserve">The Deal</w:t>
      </w:r>
      <w:r>
        <w:rPr>
          <w:rFonts w:eastAsia="inter" w:cs="inter" w:ascii="inter" w:hAnsi="inter"/>
          <w:color w:val="000000"/>
        </w:rPr>
        <w:t xml:space="preserve">: Deloitte acquired OpTeamizer, an Israeli AI and accelerated computing specialist, founded and led by Tomer Gal.</w:t>
      </w:r>
    </w:p>
    <w:p>
      <w:pPr>
        <w:spacing w:line="360" w:after="210" w:lineRule="auto"/>
      </w:pPr>
      <w:r>
        <w:rPr>
          <w:rFonts w:eastAsia="inter" w:cs="inter" w:ascii="inter" w:hAnsi="inter"/>
          <w:b/>
          <w:color w:val="000000"/>
        </w:rPr>
        <w:t xml:space="preserve">What OpTeamizer Brings</w:t>
      </w:r>
      <w:r>
        <w:rPr>
          <w:rFonts w:eastAsia="inter" w:cs="inter" w:ascii="inter" w:hAnsi="inter"/>
          <w:color w:val="000000"/>
        </w:rPr>
        <w:t xml:space="preserve">:</w:t>
      </w:r>
      <w:bookmarkStart w:id="6" w:name="fnref1"/>
      <w:bookmarkEnd w:id="6"/>
      <w:hyperlink w:anchor="fn1">
        <w:r>
          <w:rPr>
            <w:rFonts w:eastAsia="inter" w:cs="inter" w:ascii="inter" w:hAnsi="inter"/>
            <w:color w:val="#000"/>
            <w:u w:val="single"/>
            <w:vertAlign w:val="superscript"/>
          </w:rPr>
          <w:t xml:space="preserve">[1]</w:t>
        </w:r>
      </w:hyperlink>
      <w:bookmarkStart w:id="7" w:name="fnref2"/>
      <w:bookmarkEnd w:id="7"/>
      <w:hyperlink w:anchor="fn2">
        <w:r>
          <w:rPr>
            <w:rFonts w:eastAsia="inter" w:cs="inter" w:ascii="inter" w:hAnsi="inter"/>
            <w:color w:val="#000"/>
            <w:u w:val="single"/>
            <w:vertAlign w:val="superscript"/>
          </w:rPr>
          <w:t xml:space="preserve">[2]</w:t>
        </w:r>
      </w:hyperlink>
      <w:bookmarkStart w:id="8" w:name="fnref3"/>
      <w:bookmarkEnd w:id="8"/>
      <w:hyperlink w:anchor="fn3">
        <w:r>
          <w:rPr>
            <w:rFonts w:eastAsia="inter" w:cs="inter" w:ascii="inter" w:hAnsi="inter"/>
            <w:color w:val="#000"/>
            <w:u w:val="single"/>
            <w:vertAlign w:val="superscript"/>
          </w:rPr>
          <w:t xml:space="preserve">[3]</w:t>
        </w:r>
      </w:hyperlink>
      <w:bookmarkStart w:id="9" w:name="fnref4"/>
      <w:bookmarkEnd w:id="9"/>
      <w:hyperlink w:anchor="fn4">
        <w:r>
          <w:rPr>
            <w:rFonts w:eastAsia="inter" w:cs="inter" w:ascii="inter" w:hAnsi="inter"/>
            <w:color w:val="#000"/>
            <w:u w:val="single"/>
            <w:vertAlign w:val="superscript"/>
          </w:rPr>
          <w:t xml:space="preserve">[4]</w:t>
        </w:r>
      </w:hyperlink>
    </w:p>
    <w:p>
      <w:pPr>
        <w:numPr>
          <w:ilvl w:val="0"/>
          <w:numId w:val="2"/>
        </w:numPr>
        <w:spacing w:line="360" w:before="105" w:after="105" w:lineRule="auto"/>
      </w:pPr>
      <w:r>
        <w:rPr>
          <w:rFonts w:eastAsia="inter" w:cs="inter" w:ascii="inter" w:hAnsi="inter"/>
          <w:b/>
          <w:color w:val="000000"/>
          <w:sz w:val="21"/>
        </w:rPr>
        <w:t xml:space="preserve">HPC Expertise</w:t>
      </w:r>
      <w:r>
        <w:rPr>
          <w:rFonts w:eastAsia="inter" w:cs="inter" w:ascii="inter" w:hAnsi="inter"/>
          <w:color w:val="000000"/>
          <w:sz w:val="21"/>
        </w:rPr>
        <w:t xml:space="preserve">: High-performance computing architecture and optimization</w:t>
      </w:r>
    </w:p>
    <w:p>
      <w:pPr>
        <w:numPr>
          <w:ilvl w:val="0"/>
          <w:numId w:val="2"/>
        </w:numPr>
        <w:spacing w:line="360" w:before="105" w:after="105" w:lineRule="auto"/>
      </w:pPr>
      <w:r>
        <w:rPr>
          <w:rFonts w:eastAsia="inter" w:cs="inter" w:ascii="inter" w:hAnsi="inter"/>
          <w:b/>
          <w:color w:val="000000"/>
          <w:sz w:val="21"/>
        </w:rPr>
        <w:t xml:space="preserve">CUDA Specialization</w:t>
      </w:r>
      <w:r>
        <w:rPr>
          <w:rFonts w:eastAsia="inter" w:cs="inter" w:ascii="inter" w:hAnsi="inter"/>
          <w:color w:val="000000"/>
          <w:sz w:val="21"/>
        </w:rPr>
        <w:t xml:space="preserve">: Deep expertise in NVIDIA CUDA development and optimization</w:t>
      </w:r>
    </w:p>
    <w:p>
      <w:pPr>
        <w:numPr>
          <w:ilvl w:val="0"/>
          <w:numId w:val="2"/>
        </w:numPr>
        <w:spacing w:line="360" w:before="105" w:after="105" w:lineRule="auto"/>
      </w:pPr>
      <w:r>
        <w:rPr>
          <w:rFonts w:eastAsia="inter" w:cs="inter" w:ascii="inter" w:hAnsi="inter"/>
          <w:b/>
          <w:color w:val="000000"/>
          <w:sz w:val="21"/>
        </w:rPr>
        <w:t xml:space="preserve">Edge AI Solutions</w:t>
      </w:r>
      <w:r>
        <w:rPr>
          <w:rFonts w:eastAsia="inter" w:cs="inter" w:ascii="inter" w:hAnsi="inter"/>
          <w:color w:val="000000"/>
          <w:sz w:val="21"/>
        </w:rPr>
        <w:t xml:space="preserve">: Jetson robotics platform integration</w:t>
      </w:r>
    </w:p>
    <w:p>
      <w:pPr>
        <w:numPr>
          <w:ilvl w:val="0"/>
          <w:numId w:val="2"/>
        </w:numPr>
        <w:spacing w:line="360" w:before="105" w:after="105" w:lineRule="auto"/>
      </w:pPr>
      <w:r>
        <w:rPr>
          <w:rFonts w:eastAsia="inter" w:cs="inter" w:ascii="inter" w:hAnsi="inter"/>
          <w:b/>
          <w:color w:val="000000"/>
          <w:sz w:val="21"/>
        </w:rPr>
        <w:t xml:space="preserve">Certifications &amp; Workshops</w:t>
      </w:r>
      <w:r>
        <w:rPr>
          <w:rFonts w:eastAsia="inter" w:cs="inter" w:ascii="inter" w:hAnsi="inter"/>
          <w:color w:val="000000"/>
          <w:sz w:val="21"/>
        </w:rPr>
        <w:t xml:space="preserve">: Practical NVIDIA technology training (HPC, CUDA, Jetson, robotics)</w:t>
      </w:r>
    </w:p>
    <w:p>
      <w:pPr>
        <w:numPr>
          <w:ilvl w:val="0"/>
          <w:numId w:val="2"/>
        </w:numPr>
        <w:spacing w:line="360" w:before="105" w:after="105" w:lineRule="auto"/>
      </w:pPr>
      <w:r>
        <w:rPr>
          <w:rFonts w:eastAsia="inter" w:cs="inter" w:ascii="inter" w:hAnsi="inter"/>
          <w:b/>
          <w:color w:val="000000"/>
          <w:sz w:val="21"/>
        </w:rPr>
        <w:t xml:space="preserve">NVIDIA Status</w:t>
      </w:r>
      <w:r>
        <w:rPr>
          <w:rFonts w:eastAsia="inter" w:cs="inter" w:ascii="inter" w:hAnsi="inter"/>
          <w:color w:val="000000"/>
          <w:sz w:val="21"/>
        </w:rPr>
        <w:t xml:space="preserve">: Designated as NVIDIA's "Preferred Partner in Israel"</w:t>
      </w:r>
    </w:p>
    <w:p>
      <w:pPr>
        <w:spacing w:line="360" w:after="210" w:lineRule="auto"/>
      </w:pPr>
      <w:r>
        <w:rPr>
          <w:rFonts w:eastAsia="inter" w:cs="inter" w:ascii="inter" w:hAnsi="inter"/>
          <w:b/>
          <w:color w:val="000000"/>
        </w:rPr>
        <w:t xml:space="preserve">Strategic Significance</w:t>
      </w:r>
      <w:r>
        <w:rPr>
          <w:rFonts w:eastAsia="inter" w:cs="inter" w:ascii="inter" w:hAnsi="inter"/>
          <w:color w:val="000000"/>
        </w:rPr>
        <w:t xml:space="preserve">: OpTeamizer closes the critical gap between Deloitte's Zora AI platform (agentic AI for business functions) and actual production deployment on NVIDIA's accelerated computing infrastructure. When an enterprise wants to deploy Zora AI at scale, OpTeamizer's engineers can optimize for NVIDIA's hardware stack—something Elad and Matrix cannot offer.</w:t>
      </w:r>
    </w:p>
    <w:p>
      <w:pPr>
        <w:spacing w:line="360" w:after="210" w:lineRule="auto"/>
      </w:pPr>
      <w:r>
        <w:rPr>
          <w:rFonts w:eastAsia="inter" w:cs="inter" w:ascii="inter" w:hAnsi="inter"/>
          <w:b/>
          <w:color w:val="000000"/>
        </w:rPr>
        <w:t xml:space="preserve">Statement from NVIDIA Israel Director Neti Amsterdam</w:t>
      </w:r>
      <w:r>
        <w:rPr>
          <w:rFonts w:eastAsia="inter" w:cs="inter" w:ascii="inter" w:hAnsi="inter"/>
          <w:color w:val="000000"/>
        </w:rPr>
        <w:t xml:space="preserve">:</w:t>
      </w:r>
      <w:bookmarkStart w:id="10" w:name="fnref2_1"/>
      <w:bookmarkEnd w:id="10"/>
      <w:hyperlink w:anchor="fn2">
        <w:r>
          <w:rPr>
            <w:rFonts w:eastAsia="inter" w:cs="inter" w:ascii="inter" w:hAnsi="inter"/>
            <w:color w:val="#000"/>
            <w:u w:val="single"/>
            <w:vertAlign w:val="superscript"/>
          </w:rPr>
          <w:t xml:space="preserve">[2]</w:t>
        </w:r>
      </w:hyperlink>
      <w:bookmarkStart w:id="11" w:name="fnref4_1"/>
      <w:bookmarkEnd w:id="11"/>
      <w:hyperlink w:anchor="fn4">
        <w:r>
          <w:rPr>
            <w:rFonts w:eastAsia="inter" w:cs="inter" w:ascii="inter" w:hAnsi="inter"/>
            <w:color w:val="#000"/>
            <w:u w:val="single"/>
            <w:vertAlign w:val="superscript"/>
          </w:rPr>
          <w:t xml:space="preserve">[4]</w:t>
        </w:r>
      </w:hyperlink>
    </w:p>
    <w:p>
      <w:pPr>
        <w:spacing w:line="360" w:after="210" w:lineRule="auto"/>
        <w:ind w:left="630"/>
      </w:pPr>
      <w:r>
        <w:rPr>
          <w:rFonts w:eastAsia="inter" w:cs="inter" w:ascii="inter" w:hAnsi="inter"/>
          <w:color w:val="000000"/>
        </w:rPr>
        <w:t xml:space="preserve">"This acquisition enables Deloitte to answer growing global demand for NVIDIA AI technologies and generative AI solutions. Our partners are critical to bringing the NVIDIA AI platform to everyone who needs it worldwide."</w:t>
      </w:r>
    </w:p>
    <w:p>
      <w:pPr>
        <w:spacing w:line="360" w:before="315" w:after="105" w:lineRule="auto"/>
        <w:ind w:left="-30"/>
        <w:jc w:val="left"/>
      </w:pPr>
      <w:bookmarkStart w:id="12" w:name="bm_1_2_awesome_june_2021_the_crea_9f07c3"/>
      <w:r>
        <w:rPr>
          <w:rFonts w:eastAsia="inter" w:cs="inter" w:ascii="inter" w:hAnsi="inter"/>
          <w:b/>
          <w:color w:val="000000"/>
          <w:sz w:val="24"/>
        </w:rPr>
        <w:t xml:space="preserve">1.2 Awesome (June 2021) – The Creative Integration Piece</w:t>
      </w:r>
      <w:bookmarkEnd w:id="12"/>
    </w:p>
    <w:p>
      <w:pPr>
        <w:spacing w:line="360" w:after="210" w:lineRule="auto"/>
      </w:pPr>
      <w:r>
        <w:rPr>
          <w:rFonts w:eastAsia="inter" w:cs="inter" w:ascii="inter" w:hAnsi="inter"/>
          <w:b/>
          <w:color w:val="000000"/>
        </w:rPr>
        <w:t xml:space="preserve">The Deal</w:t>
      </w:r>
      <w:r>
        <w:rPr>
          <w:rFonts w:eastAsia="inter" w:cs="inter" w:ascii="inter" w:hAnsi="inter"/>
          <w:color w:val="000000"/>
        </w:rPr>
        <w:t xml:space="preserve">: Deloitte acquired Awesome, a 40-person Tel Aviv-based creative agency specializing in branding, UX/UI, and digital design.</w:t>
      </w:r>
    </w:p>
    <w:p>
      <w:pPr>
        <w:spacing w:line="360" w:after="210" w:lineRule="auto"/>
      </w:pPr>
      <w:r>
        <w:rPr>
          <w:rFonts w:eastAsia="inter" w:cs="inter" w:ascii="inter" w:hAnsi="inter"/>
          <w:b/>
          <w:color w:val="000000"/>
        </w:rPr>
        <w:t xml:space="preserve">Track Record</w:t>
      </w:r>
      <w:r>
        <w:rPr>
          <w:rFonts w:eastAsia="inter" w:cs="inter" w:ascii="inter" w:hAnsi="inter"/>
          <w:color w:val="000000"/>
        </w:rPr>
        <w:t xml:space="preserve">:</w:t>
      </w:r>
    </w:p>
    <w:p>
      <w:pPr>
        <w:numPr>
          <w:ilvl w:val="0"/>
          <w:numId w:val="3"/>
        </w:numPr>
        <w:spacing w:line="360" w:before="105" w:after="105" w:lineRule="auto"/>
      </w:pPr>
      <w:r>
        <w:rPr>
          <w:rFonts w:eastAsia="inter" w:cs="inter" w:ascii="inter" w:hAnsi="inter"/>
          <w:color w:val="000000"/>
          <w:sz w:val="21"/>
        </w:rPr>
        <w:t xml:space="preserve">2019 Eurovision campaign (Israel's brand representation)</w:t>
      </w:r>
    </w:p>
    <w:p>
      <w:pPr>
        <w:numPr>
          <w:ilvl w:val="0"/>
          <w:numId w:val="3"/>
        </w:numPr>
        <w:spacing w:line="360" w:before="105" w:after="105" w:lineRule="auto"/>
      </w:pPr>
      <w:r>
        <w:rPr>
          <w:rFonts w:eastAsia="inter" w:cs="inter" w:ascii="inter" w:hAnsi="inter"/>
          <w:color w:val="000000"/>
          <w:sz w:val="21"/>
        </w:rPr>
        <w:t xml:space="preserve">Playtika and SodaStream global branding</w:t>
      </w:r>
    </w:p>
    <w:p>
      <w:pPr>
        <w:numPr>
          <w:ilvl w:val="0"/>
          <w:numId w:val="3"/>
        </w:numPr>
        <w:spacing w:line="360" w:before="105" w:after="105" w:lineRule="auto"/>
      </w:pPr>
      <w:r>
        <w:rPr>
          <w:rFonts w:eastAsia="inter" w:cs="inter" w:ascii="inter" w:hAnsi="inter"/>
          <w:color w:val="000000"/>
          <w:sz w:val="21"/>
        </w:rPr>
        <w:t xml:space="preserve">B2B employer branding expertise (critical for tech talent wars)</w:t>
      </w:r>
    </w:p>
    <w:p>
      <w:pPr>
        <w:spacing w:line="360" w:after="210" w:lineRule="auto"/>
      </w:pPr>
      <w:r>
        <w:rPr>
          <w:rFonts w:eastAsia="inter" w:cs="inter" w:ascii="inter" w:hAnsi="inter"/>
          <w:b/>
          <w:color w:val="000000"/>
        </w:rPr>
        <w:t xml:space="preserve">Integrated into</w:t>
      </w:r>
      <w:r>
        <w:rPr>
          <w:rFonts w:eastAsia="inter" w:cs="inter" w:ascii="inter" w:hAnsi="inter"/>
          <w:color w:val="000000"/>
        </w:rPr>
        <w:t xml:space="preserve">: Deloitte Digital</w:t>
      </w:r>
    </w:p>
    <w:p>
      <w:pPr>
        <w:spacing w:line="360" w:after="210" w:lineRule="auto"/>
      </w:pPr>
      <w:r>
        <w:rPr>
          <w:rFonts w:eastAsia="inter" w:cs="inter" w:ascii="inter" w:hAnsi="inter"/>
          <w:b/>
          <w:color w:val="000000"/>
        </w:rPr>
        <w:t xml:space="preserve">Leadership</w:t>
      </w:r>
      <w:r>
        <w:rPr>
          <w:rFonts w:eastAsia="inter" w:cs="inter" w:ascii="inter" w:hAnsi="inter"/>
          <w:color w:val="000000"/>
        </w:rPr>
        <w:t xml:space="preserve">: Maayan Froind (founder) remained as part of Deloitte leadership</w:t>
      </w:r>
    </w:p>
    <w:p>
      <w:pPr>
        <w:spacing w:line="360" w:after="210" w:lineRule="auto"/>
      </w:pPr>
      <w:r>
        <w:rPr>
          <w:rFonts w:eastAsia="inter" w:cs="inter" w:ascii="inter" w:hAnsi="inter"/>
          <w:b/>
          <w:color w:val="000000"/>
        </w:rPr>
        <w:t xml:space="preserve">Rationale – Rani Argov, Deloitte Digital Co-Leader</w:t>
      </w:r>
      <w:r>
        <w:rPr>
          <w:rFonts w:eastAsia="inter" w:cs="inter" w:ascii="inter" w:hAnsi="inter"/>
          <w:color w:val="000000"/>
        </w:rPr>
        <w:t xml:space="preserve">:</w:t>
      </w:r>
      <w:bookmarkStart w:id="13" w:name="fnref5"/>
      <w:bookmarkEnd w:id="13"/>
      <w:hyperlink w:anchor="fn5">
        <w:r>
          <w:rPr>
            <w:rFonts w:eastAsia="inter" w:cs="inter" w:ascii="inter" w:hAnsi="inter"/>
            <w:color w:val="#000"/>
            <w:u w:val="single"/>
            <w:vertAlign w:val="superscript"/>
          </w:rPr>
          <w:t xml:space="preserve">[5]</w:t>
        </w:r>
      </w:hyperlink>
      <w:bookmarkStart w:id="14" w:name="fnref6"/>
      <w:bookmarkEnd w:id="14"/>
      <w:hyperlink w:anchor="fn6">
        <w:r>
          <w:rPr>
            <w:rFonts w:eastAsia="inter" w:cs="inter" w:ascii="inter" w:hAnsi="inter"/>
            <w:color w:val="#000"/>
            <w:u w:val="single"/>
            <w:vertAlign w:val="superscript"/>
          </w:rPr>
          <w:t xml:space="preserve">[6]</w:t>
        </w:r>
      </w:hyperlink>
    </w:p>
    <w:p>
      <w:pPr>
        <w:spacing w:line="360" w:after="210" w:lineRule="auto"/>
        <w:ind w:left="630"/>
      </w:pPr>
      <w:r>
        <w:rPr>
          <w:rFonts w:eastAsia="inter" w:cs="inter" w:ascii="inter" w:hAnsi="inter"/>
          <w:color w:val="000000"/>
        </w:rPr>
        <w:t xml:space="preserve">"We have executed acquisitions with the mindset of providing a wider scope of services...We're still lacking cutting-edge capabilities around our creative pillar. So we were working on strategy and customer understanding and core technology, but we felt we were missing the link in creating that one-stop-shop."</w:t>
      </w:r>
    </w:p>
    <w:p>
      <w:pPr>
        <w:spacing w:line="360" w:after="210" w:lineRule="auto"/>
      </w:pPr>
      <w:r>
        <w:rPr>
          <w:rFonts w:eastAsia="inter" w:cs="inter" w:ascii="inter" w:hAnsi="inter"/>
          <w:b/>
          <w:color w:val="000000"/>
        </w:rPr>
        <w:t xml:space="preserve">Competitive Impact</w:t>
      </w:r>
      <w:r>
        <w:rPr>
          <w:rFonts w:eastAsia="inter" w:cs="inter" w:ascii="inter" w:hAnsi="inter"/>
          <w:color w:val="000000"/>
        </w:rPr>
        <w:t xml:space="preserve">: Enterprise transformation requires cohesive brand, UX, and technical implementation. Deloitte now owns all three. Elad and Matrix must hire external creative agencies, fragmenting the project and adding cost/timeline risk.</w:t>
      </w:r>
    </w:p>
    <w:p>
      <w:pPr>
        <w:spacing w:line="360" w:before="315" w:after="105" w:lineRule="auto"/>
        <w:ind w:left="-30"/>
        <w:jc w:val="left"/>
      </w:pPr>
      <w:bookmarkStart w:id="15" w:name="bm_1_3_hashedin_technologies_2020_585e35"/>
      <w:r>
        <w:rPr>
          <w:rFonts w:eastAsia="inter" w:cs="inter" w:ascii="inter" w:hAnsi="inter"/>
          <w:b/>
          <w:color w:val="000000"/>
          <w:sz w:val="24"/>
        </w:rPr>
        <w:t xml:space="preserve">1.3 HashedIn Technologies (2020) – 700+ Engineers</w:t>
      </w:r>
      <w:bookmarkEnd w:id="15"/>
    </w:p>
    <w:p>
      <w:pPr>
        <w:spacing w:line="360" w:after="210" w:lineRule="auto"/>
      </w:pPr>
      <w:r>
        <w:rPr>
          <w:rFonts w:eastAsia="inter" w:cs="inter" w:ascii="inter" w:hAnsi="inter"/>
          <w:b/>
          <w:color w:val="000000"/>
        </w:rPr>
        <w:t xml:space="preserve">What It Is</w:t>
      </w:r>
      <w:r>
        <w:rPr>
          <w:rFonts w:eastAsia="inter" w:cs="inter" w:ascii="inter" w:hAnsi="inter"/>
          <w:color w:val="000000"/>
        </w:rPr>
        <w:t xml:space="preserve">: Cloud-native product development and software engineering boutique with 700+ engineers.</w:t>
      </w:r>
    </w:p>
    <w:p>
      <w:pPr>
        <w:spacing w:line="360" w:after="210" w:lineRule="auto"/>
      </w:pPr>
      <w:r>
        <w:rPr>
          <w:rFonts w:eastAsia="inter" w:cs="inter" w:ascii="inter" w:hAnsi="inter"/>
          <w:b/>
          <w:color w:val="000000"/>
        </w:rPr>
        <w:t xml:space="preserve">Specializations</w:t>
      </w:r>
      <w:r>
        <w:rPr>
          <w:rFonts w:eastAsia="inter" w:cs="inter" w:ascii="inter" w:hAnsi="inter"/>
          <w:color w:val="000000"/>
        </w:rPr>
        <w:t xml:space="preserve">:</w:t>
      </w:r>
    </w:p>
    <w:p>
      <w:pPr>
        <w:numPr>
          <w:ilvl w:val="0"/>
          <w:numId w:val="4"/>
        </w:numPr>
        <w:spacing w:line="360" w:before="105" w:after="105" w:lineRule="auto"/>
      </w:pPr>
      <w:r>
        <w:rPr>
          <w:rFonts w:eastAsia="inter" w:cs="inter" w:ascii="inter" w:hAnsi="inter"/>
          <w:color w:val="000000"/>
          <w:sz w:val="21"/>
        </w:rPr>
        <w:t xml:space="preserve">Product engineering from scratch</w:t>
      </w:r>
    </w:p>
    <w:p>
      <w:pPr>
        <w:numPr>
          <w:ilvl w:val="0"/>
          <w:numId w:val="4"/>
        </w:numPr>
        <w:spacing w:line="360" w:before="105" w:after="105" w:lineRule="auto"/>
      </w:pPr>
      <w:r>
        <w:rPr>
          <w:rFonts w:eastAsia="inter" w:cs="inter" w:ascii="inter" w:hAnsi="inter"/>
          <w:color w:val="000000"/>
          <w:sz w:val="21"/>
        </w:rPr>
        <w:t xml:space="preserve">Cloud-native architecture</w:t>
      </w:r>
    </w:p>
    <w:p>
      <w:pPr>
        <w:numPr>
          <w:ilvl w:val="0"/>
          <w:numId w:val="4"/>
        </w:numPr>
        <w:spacing w:line="360" w:before="105" w:after="105" w:lineRule="auto"/>
      </w:pPr>
      <w:r>
        <w:rPr>
          <w:rFonts w:eastAsia="inter" w:cs="inter" w:ascii="inter" w:hAnsi="inter"/>
          <w:color w:val="000000"/>
          <w:sz w:val="21"/>
        </w:rPr>
        <w:t xml:space="preserve">Agile pod-based delivery</w:t>
      </w:r>
    </w:p>
    <w:p>
      <w:pPr>
        <w:numPr>
          <w:ilvl w:val="0"/>
          <w:numId w:val="4"/>
        </w:numPr>
        <w:spacing w:line="360" w:before="105" w:after="105" w:lineRule="auto"/>
      </w:pPr>
      <w:r>
        <w:rPr>
          <w:rFonts w:eastAsia="inter" w:cs="inter" w:ascii="inter" w:hAnsi="inter"/>
          <w:color w:val="000000"/>
          <w:sz w:val="21"/>
        </w:rPr>
        <w:t xml:space="preserve">Complex software modernization</w:t>
      </w:r>
    </w:p>
    <w:p>
      <w:pPr>
        <w:spacing w:line="360" w:after="210" w:lineRule="auto"/>
      </w:pPr>
      <w:r>
        <w:rPr>
          <w:rFonts w:eastAsia="inter" w:cs="inter" w:ascii="inter" w:hAnsi="inter"/>
          <w:b/>
          <w:color w:val="000000"/>
        </w:rPr>
        <w:t xml:space="preserve">Strategic Value</w:t>
      </w:r>
      <w:r>
        <w:rPr>
          <w:rFonts w:eastAsia="inter" w:cs="inter" w:ascii="inter" w:hAnsi="inter"/>
          <w:color w:val="000000"/>
        </w:rPr>
        <w:t xml:space="preserve">: Pure development horsepower for large-scale execution. Combined with Awesome's design and OpTeamizer's AI engineering, Deloitte can execute full-stack digital transformation in-house.</w:t>
      </w:r>
    </w:p>
    <w:p>
      <w:pPr>
        <w:spacing w:line="360" w:before="315" w:after="105" w:lineRule="auto"/>
        <w:ind w:left="-30"/>
        <w:jc w:val="left"/>
      </w:pPr>
      <w:bookmarkStart w:id="16" w:name="bm_1_4_innowake_2017_legacy_syste_255006"/>
      <w:r>
        <w:rPr>
          <w:rFonts w:eastAsia="inter" w:cs="inter" w:ascii="inter" w:hAnsi="inter"/>
          <w:b/>
          <w:color w:val="000000"/>
          <w:sz w:val="24"/>
        </w:rPr>
        <w:t xml:space="preserve">1.4 innoWake (2017) – Legacy System Modernization</w:t>
      </w:r>
      <w:bookmarkEnd w:id="16"/>
    </w:p>
    <w:p>
      <w:pPr>
        <w:spacing w:line="360" w:after="210" w:lineRule="auto"/>
      </w:pPr>
      <w:r>
        <w:rPr>
          <w:rFonts w:eastAsia="inter" w:cs="inter" w:ascii="inter" w:hAnsi="inter"/>
          <w:b/>
          <w:color w:val="000000"/>
        </w:rPr>
        <w:t xml:space="preserve">Technology</w:t>
      </w:r>
      <w:r>
        <w:rPr>
          <w:rFonts w:eastAsia="inter" w:cs="inter" w:ascii="inter" w:hAnsi="inter"/>
          <w:color w:val="000000"/>
        </w:rPr>
        <w:t xml:space="preserve">: Automated code refactoring and application migration tooling</w:t>
      </w:r>
    </w:p>
    <w:p>
      <w:pPr>
        <w:spacing w:line="360" w:after="210" w:lineRule="auto"/>
      </w:pPr>
      <w:r>
        <w:rPr>
          <w:rFonts w:eastAsia="inter" w:cs="inter" w:ascii="inter" w:hAnsi="inter"/>
          <w:b/>
          <w:color w:val="000000"/>
        </w:rPr>
        <w:t xml:space="preserve">Used For</w:t>
      </w:r>
      <w:r>
        <w:rPr>
          <w:rFonts w:eastAsia="inter" w:cs="inter" w:ascii="inter" w:hAnsi="inter"/>
          <w:color w:val="000000"/>
        </w:rPr>
        <w:t xml:space="preserve">: Deloitte's "Application Modernization" practice—critical for brownfield transformations</w:t>
      </w:r>
    </w:p>
    <w:p>
      <w:pPr>
        <w:spacing w:line="360" w:before="315" w:after="105" w:lineRule="auto"/>
        <w:ind w:left="-30"/>
        <w:jc w:val="left"/>
      </w:pPr>
      <w:bookmarkStart w:id="17" w:name="bm_1_5_deloitte_israel_s_organic_f8d9ba"/>
      <w:r>
        <w:rPr>
          <w:rFonts w:eastAsia="inter" w:cs="inter" w:ascii="inter" w:hAnsi="inter"/>
          <w:b/>
          <w:color w:val="000000"/>
          <w:sz w:val="24"/>
        </w:rPr>
        <w:t xml:space="preserve">1.5 Deloitte Israel's Organic Talent Build</w:t>
      </w:r>
      <w:bookmarkEnd w:id="17"/>
    </w:p>
    <w:p>
      <w:pPr>
        <w:spacing w:line="360" w:after="210" w:lineRule="auto"/>
      </w:pPr>
      <w:r>
        <w:rPr>
          <w:rFonts w:eastAsia="inter" w:cs="inter" w:ascii="inter" w:hAnsi="inter"/>
          <w:b/>
          <w:color w:val="000000"/>
        </w:rPr>
        <w:t xml:space="preserve">Data &amp; AI Team</w:t>
      </w:r>
      <w:r>
        <w:rPr>
          <w:rFonts w:eastAsia="inter" w:cs="inter" w:ascii="inter" w:hAnsi="inter"/>
          <w:color w:val="000000"/>
        </w:rPr>
        <w:t xml:space="preserve">:</w:t>
      </w:r>
      <w:bookmarkStart w:id="18" w:name="fnref7"/>
      <w:bookmarkEnd w:id="18"/>
      <w:hyperlink w:anchor="fn7">
        <w:r>
          <w:rPr>
            <w:rFonts w:eastAsia="inter" w:cs="inter" w:ascii="inter" w:hAnsi="inter"/>
            <w:color w:val="#000"/>
            <w:u w:val="single"/>
            <w:vertAlign w:val="superscript"/>
          </w:rPr>
          <w:t xml:space="preserve">[7]</w:t>
        </w:r>
      </w:hyperlink>
      <w:bookmarkStart w:id="19" w:name="fnref8"/>
      <w:bookmarkEnd w:id="19"/>
      <w:hyperlink w:anchor="fn8">
        <w:r>
          <w:rPr>
            <w:rFonts w:eastAsia="inter" w:cs="inter" w:ascii="inter" w:hAnsi="inter"/>
            <w:color w:val="#000"/>
            <w:u w:val="single"/>
            <w:vertAlign w:val="superscript"/>
          </w:rPr>
          <w:t xml:space="preserve">[8]</w:t>
        </w:r>
      </w:hyperlink>
      <w:bookmarkStart w:id="20" w:name="fnref9"/>
      <w:bookmarkEnd w:id="20"/>
      <w:hyperlink w:anchor="fn9">
        <w:r>
          <w:rPr>
            <w:rFonts w:eastAsia="inter" w:cs="inter" w:ascii="inter" w:hAnsi="inter"/>
            <w:color w:val="#000"/>
            <w:u w:val="single"/>
            <w:vertAlign w:val="superscript"/>
          </w:rPr>
          <w:t xml:space="preserve">[9]</w:t>
        </w:r>
      </w:hyperlink>
    </w:p>
    <w:p>
      <w:pPr>
        <w:numPr>
          <w:ilvl w:val="0"/>
          <w:numId w:val="5"/>
        </w:numPr>
        <w:spacing w:line="360" w:before="105" w:after="105" w:lineRule="auto"/>
      </w:pPr>
      <w:r>
        <w:rPr>
          <w:rFonts w:eastAsia="inter" w:cs="inter" w:ascii="inter" w:hAnsi="inter"/>
          <w:color w:val="000000"/>
          <w:sz w:val="21"/>
        </w:rPr>
        <w:t xml:space="preserve">Former Partner Ran Bergman built the team from zero to </w:t>
      </w:r>
      <w:r>
        <w:rPr>
          <w:rFonts w:eastAsia="inter" w:cs="inter" w:ascii="inter" w:hAnsi="inter"/>
          <w:b/>
          <w:color w:val="000000"/>
          <w:sz w:val="21"/>
        </w:rPr>
        <w:t xml:space="preserve">70 people</w:t>
      </w:r>
      <w:r>
        <w:rPr>
          <w:rFonts w:eastAsia="inter" w:cs="inter" w:ascii="inter" w:hAnsi="inter"/>
          <w:color w:val="000000"/>
          <w:sz w:val="21"/>
        </w:rPr>
        <w:t xml:space="preserve"> before exiting (November 2024)</w:t>
      </w:r>
    </w:p>
    <w:p>
      <w:pPr>
        <w:numPr>
          <w:ilvl w:val="0"/>
          <w:numId w:val="5"/>
        </w:numPr>
        <w:spacing w:line="360" w:before="105" w:after="105" w:lineRule="auto"/>
      </w:pPr>
      <w:r>
        <w:rPr>
          <w:rFonts w:eastAsia="inter" w:cs="inter" w:ascii="inter" w:hAnsi="inter"/>
          <w:color w:val="000000"/>
          <w:sz w:val="21"/>
        </w:rPr>
        <w:t xml:space="preserve">Hundreds of additional data scientists, cloud architects, and GenAI specialists across consulting</w:t>
      </w:r>
    </w:p>
    <w:p>
      <w:pPr>
        <w:numPr>
          <w:ilvl w:val="0"/>
          <w:numId w:val="5"/>
        </w:numPr>
        <w:spacing w:line="360" w:before="105" w:after="105" w:lineRule="auto"/>
      </w:pPr>
      <w:r>
        <w:rPr>
          <w:rFonts w:eastAsia="inter" w:cs="inter" w:ascii="inter" w:hAnsi="inter"/>
          <w:color w:val="000000"/>
          <w:sz w:val="21"/>
        </w:rPr>
        <w:t xml:space="preserve">Multiple Tier 1 STKI rankings (2020, 2023) in Data Consulting and Data Scientists categories</w:t>
      </w:r>
    </w:p>
    <w:p>
      <w:pPr>
        <w:spacing w:line="360" w:before="315" w:after="105" w:lineRule="auto"/>
        <w:ind w:left="-30"/>
        <w:jc w:val="left"/>
      </w:pPr>
      <w:bookmarkStart w:id="21" w:name="summary_the_delivery_footprint"/>
      <w:r>
        <w:rPr>
          <w:rFonts w:eastAsia="inter" w:cs="inter" w:ascii="inter" w:hAnsi="inter"/>
          <w:b/>
          <w:color w:val="000000"/>
          <w:sz w:val="24"/>
        </w:rPr>
        <w:t xml:space="preserve">Summary: The Delivery Footprint</w:t>
      </w:r>
      <w:bookmarkEnd w:id="2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Entity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Size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Capability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Competitive Advantage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OpTeamizer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50-100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NVIDIA AI/HPC engineering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Only firm with NVIDIA Preferred Partner status in Israel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HashedIn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Product development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Dedicated execution capacity (Elad ~800, Matrix fragmented)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Awesome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Creative/UX/Brand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Integrated design (Elad/Matrix use external)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Deloitte Consulting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Data/AI/Cloud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Consulting + execution integration</w:t>
            </w:r>
          </w:p>
        </w:tc>
      </w:tr>
    </w:tbl>
    <w:p>
      <w:pPr>
        <w:spacing w:lineRule="auto"/>
      </w:pPr>
    </w:p>
    <w:p>
      <w:pPr>
        <w:spacing w:line="360" w:after="210" w:lineRule="auto"/>
      </w:pPr>
      <w:r>
        <w:rPr>
          <w:rFonts w:eastAsia="inter" w:cs="inter" w:ascii="inter" w:hAnsi="inter"/>
          <w:b/>
          <w:color w:val="000000"/>
        </w:rPr>
        <w:t xml:space="preserve">The Asymmetry</w:t>
      </w:r>
      <w:r>
        <w:rPr>
          <w:rFonts w:eastAsia="inter" w:cs="inter" w:ascii="inter" w:hAnsi="inter"/>
          <w:color w:val="000000"/>
        </w:rPr>
        <w:t xml:space="preserve">: Elad and Matrix are pure IT services firms. Deloitte is a consulting firm that added execution. This positioning change (consulting + execution vs. execution alone) shifts the entire value conversation with clients.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section_2_the_product_story_ai_as_d26490"/>
      <w:r>
        <w:rPr>
          <w:rFonts w:eastAsia="inter" w:cs="inter" w:ascii="inter" w:hAnsi="inter"/>
          <w:b/>
          <w:color w:val="000000"/>
          <w:sz w:val="24"/>
        </w:rPr>
        <w:t xml:space="preserve">SECTION 2: THE PRODUCT STORY – AI ASSETS &amp; PLATFORMS</w:t>
      </w:r>
      <w:bookmarkEnd w:id="22"/>
    </w:p>
    <w:p>
      <w:pPr>
        <w:spacing w:line="360" w:before="315" w:after="105" w:lineRule="auto"/>
        <w:ind w:left="-30"/>
        <w:jc w:val="left"/>
      </w:pPr>
      <w:bookmarkStart w:id="23" w:name="bm_2_1_cortexai_platform_2020_launch"/>
      <w:r>
        <w:rPr>
          <w:rFonts w:eastAsia="inter" w:cs="inter" w:ascii="inter" w:hAnsi="inter"/>
          <w:b/>
          <w:color w:val="000000"/>
          <w:sz w:val="24"/>
        </w:rPr>
        <w:t xml:space="preserve">2.1 CortexAI Platform (2020 Launch)</w:t>
      </w:r>
      <w:bookmarkEnd w:id="23"/>
    </w:p>
    <w:p>
      <w:pPr>
        <w:spacing w:line="360" w:after="210" w:lineRule="auto"/>
      </w:pPr>
      <w:r>
        <w:rPr>
          <w:rFonts w:eastAsia="inter" w:cs="inter" w:ascii="inter" w:hAnsi="inter"/>
          <w:b/>
          <w:color w:val="000000"/>
        </w:rPr>
        <w:t xml:space="preserve">Architecture</w:t>
      </w:r>
      <w:r>
        <w:rPr>
          <w:rFonts w:eastAsia="inter" w:cs="inter" w:ascii="inter" w:hAnsi="inter"/>
          <w:color w:val="000000"/>
        </w:rPr>
        <w:t xml:space="preserve">:</w:t>
      </w:r>
      <w:bookmarkStart w:id="24" w:name="fnref10"/>
      <w:bookmarkEnd w:id="24"/>
      <w:hyperlink w:anchor="fn10">
        <w:r>
          <w:rPr>
            <w:rFonts w:eastAsia="inter" w:cs="inter" w:ascii="inter" w:hAnsi="inter"/>
            <w:color w:val="#000"/>
            <w:u w:val="single"/>
            <w:vertAlign w:val="superscript"/>
          </w:rPr>
          <w:t xml:space="preserve">[10]</w:t>
        </w:r>
      </w:hyperlink>
      <w:bookmarkStart w:id="25" w:name="fnref11"/>
      <w:bookmarkEnd w:id="25"/>
      <w:hyperlink w:anchor="fn11">
        <w:r>
          <w:rPr>
            <w:rFonts w:eastAsia="inter" w:cs="inter" w:ascii="inter" w:hAnsi="inter"/>
            <w:color w:val="#000"/>
            <w:u w:val="single"/>
            <w:vertAlign w:val="superscript"/>
          </w:rPr>
          <w:t xml:space="preserve">[11]</w:t>
        </w:r>
      </w:hyperlink>
    </w:p>
    <w:p>
      <w:pPr>
        <w:numPr>
          <w:ilvl w:val="0"/>
          <w:numId w:val="6"/>
        </w:numPr>
        <w:spacing w:line="360" w:before="105" w:after="105" w:lineRule="auto"/>
      </w:pPr>
      <w:r>
        <w:rPr>
          <w:rFonts w:eastAsia="inter" w:cs="inter" w:ascii="inter" w:hAnsi="inter"/>
          <w:color w:val="000000"/>
          <w:sz w:val="21"/>
        </w:rPr>
        <w:t xml:space="preserve">Multi-cloud infrastructure (AWS, Azure, Google Cloud)</w:t>
      </w:r>
    </w:p>
    <w:p>
      <w:pPr>
        <w:numPr>
          <w:ilvl w:val="0"/>
          <w:numId w:val="6"/>
        </w:numPr>
        <w:spacing w:line="360" w:before="105" w:after="105" w:lineRule="auto"/>
      </w:pPr>
      <w:r>
        <w:rPr>
          <w:rFonts w:eastAsia="inter" w:cs="inter" w:ascii="inter" w:hAnsi="inter"/>
          <w:color w:val="000000"/>
          <w:sz w:val="21"/>
        </w:rPr>
        <w:t xml:space="preserve">Auto-ML and curated datasets</w:t>
      </w:r>
    </w:p>
    <w:p>
      <w:pPr>
        <w:numPr>
          <w:ilvl w:val="0"/>
          <w:numId w:val="6"/>
        </w:numPr>
        <w:spacing w:line="360" w:before="105" w:after="105" w:lineRule="auto"/>
      </w:pPr>
      <w:r>
        <w:rPr>
          <w:rFonts w:eastAsia="inter" w:cs="inter" w:ascii="inter" w:hAnsi="inter"/>
          <w:color w:val="000000"/>
          <w:sz w:val="21"/>
        </w:rPr>
        <w:t xml:space="preserve">Industry-aligned asset libraries and algorithms</w:t>
      </w:r>
    </w:p>
    <w:p>
      <w:pPr>
        <w:numPr>
          <w:ilvl w:val="0"/>
          <w:numId w:val="6"/>
        </w:numPr>
        <w:spacing w:line="360" w:before="105" w:after="105" w:lineRule="auto"/>
      </w:pPr>
      <w:r>
        <w:rPr>
          <w:rFonts w:eastAsia="inter" w:cs="inter" w:ascii="inter" w:hAnsi="inter"/>
          <w:color w:val="000000"/>
          <w:sz w:val="21"/>
        </w:rPr>
        <w:t xml:space="preserve">Intelligent automation capabilities</w:t>
      </w:r>
    </w:p>
    <w:p>
      <w:pPr>
        <w:numPr>
          <w:ilvl w:val="0"/>
          <w:numId w:val="6"/>
        </w:numPr>
        <w:spacing w:line="360" w:before="105" w:after="105" w:lineRule="auto"/>
      </w:pPr>
      <w:r>
        <w:rPr>
          <w:rFonts w:eastAsia="inter" w:cs="inter" w:ascii="inter" w:hAnsi="inter"/>
          <w:color w:val="000000"/>
          <w:sz w:val="21"/>
        </w:rPr>
        <w:t xml:space="preserve">Trustworthy AI framework</w:t>
      </w:r>
    </w:p>
    <w:p>
      <w:pPr>
        <w:spacing w:line="360" w:after="210" w:lineRule="auto"/>
      </w:pPr>
      <w:r>
        <w:rPr>
          <w:rFonts w:eastAsia="inter" w:cs="inter" w:ascii="inter" w:hAnsi="inter"/>
          <w:b/>
          <w:color w:val="000000"/>
        </w:rPr>
        <w:t xml:space="preserve">Proven Production Case</w:t>
      </w:r>
      <w:r>
        <w:rPr>
          <w:rFonts w:eastAsia="inter" w:cs="inter" w:ascii="inter" w:hAnsi="inter"/>
          <w:color w:val="000000"/>
        </w:rPr>
        <w:t xml:space="preserve">: PPP Loan Processing:</w:t>
      </w:r>
      <w:bookmarkStart w:id="26" w:name="fnref11_1"/>
      <w:bookmarkEnd w:id="26"/>
      <w:hyperlink w:anchor="fn11">
        <w:r>
          <w:rPr>
            <w:rFonts w:eastAsia="inter" w:cs="inter" w:ascii="inter" w:hAnsi="inter"/>
            <w:color w:val="#000"/>
            <w:u w:val="single"/>
            <w:vertAlign w:val="superscript"/>
          </w:rPr>
          <w:t xml:space="preserve">[11]</w:t>
        </w:r>
      </w:hyperlink>
    </w:p>
    <w:p>
      <w:pPr>
        <w:numPr>
          <w:ilvl w:val="0"/>
          <w:numId w:val="7"/>
        </w:numPr>
        <w:spacing w:line="360" w:before="105" w:after="105" w:lineRule="auto"/>
      </w:pPr>
      <w:r>
        <w:rPr>
          <w:rFonts w:eastAsia="inter" w:cs="inter" w:ascii="inter" w:hAnsi="inter"/>
          <w:color w:val="000000"/>
          <w:sz w:val="21"/>
        </w:rPr>
        <w:t xml:space="preserve">Processed </w:t>
      </w:r>
      <w:r>
        <w:rPr>
          <w:rFonts w:eastAsia="inter" w:cs="inter" w:ascii="inter" w:hAnsi="inter"/>
          <w:b/>
          <w:color w:val="000000"/>
          <w:sz w:val="21"/>
        </w:rPr>
        <w:t xml:space="preserve">100,000+ loan forgiveness applications</w:t>
      </w:r>
    </w:p>
    <w:p>
      <w:pPr>
        <w:numPr>
          <w:ilvl w:val="0"/>
          <w:numId w:val="7"/>
        </w:numPr>
        <w:spacing w:line="360" w:before="105" w:after="105" w:lineRule="auto"/>
      </w:pPr>
      <w:r>
        <w:rPr>
          <w:rFonts w:eastAsia="inter" w:cs="inter" w:ascii="inter" w:hAnsi="inter"/>
          <w:color w:val="000000"/>
          <w:sz w:val="21"/>
        </w:rPr>
        <w:t xml:space="preserve">Real-time fraud and anomaly detection</w:t>
      </w:r>
    </w:p>
    <w:p>
      <w:pPr>
        <w:numPr>
          <w:ilvl w:val="0"/>
          <w:numId w:val="7"/>
        </w:numPr>
        <w:spacing w:line="360" w:before="105" w:after="105" w:lineRule="auto"/>
      </w:pPr>
      <w:r>
        <w:rPr>
          <w:rFonts w:eastAsia="inter" w:cs="inter" w:ascii="inter" w:hAnsi="inter"/>
          <w:color w:val="000000"/>
          <w:sz w:val="21"/>
        </w:rPr>
        <w:t xml:space="preserve">Deployed in weeks (not months)</w:t>
      </w:r>
    </w:p>
    <w:p>
      <w:pPr>
        <w:numPr>
          <w:ilvl w:val="0"/>
          <w:numId w:val="7"/>
        </w:numPr>
        <w:spacing w:line="360" w:before="105" w:after="105" w:lineRule="auto"/>
      </w:pPr>
      <w:r>
        <w:rPr>
          <w:rFonts w:eastAsia="inter" w:cs="inter" w:ascii="inter" w:hAnsi="inter"/>
          <w:color w:val="000000"/>
          <w:sz w:val="21"/>
        </w:rPr>
        <w:t xml:space="preserve">Demonstrates speed and scale</w:t>
      </w:r>
    </w:p>
    <w:p>
      <w:pPr>
        <w:spacing w:line="360" w:after="210" w:lineRule="auto"/>
      </w:pPr>
      <w:r>
        <w:rPr>
          <w:rFonts w:eastAsia="inter" w:cs="inter" w:ascii="inter" w:hAnsi="inter"/>
          <w:b/>
          <w:color w:val="000000"/>
        </w:rPr>
        <w:t xml:space="preserve">Current Deployment</w:t>
      </w:r>
      <w:r>
        <w:rPr>
          <w:rFonts w:eastAsia="inter" w:cs="inter" w:ascii="inter" w:hAnsi="inter"/>
          <w:color w:val="000000"/>
        </w:rPr>
        <w:t xml:space="preserve">: Deloitte Canada, Deloitte consulting clients</w:t>
      </w:r>
    </w:p>
    <w:p>
      <w:pPr>
        <w:spacing w:line="360" w:after="210" w:lineRule="auto"/>
      </w:pPr>
      <w:r>
        <w:rPr>
          <w:rFonts w:eastAsia="inter" w:cs="inter" w:ascii="inter" w:hAnsi="inter"/>
          <w:b/>
          <w:color w:val="000000"/>
        </w:rPr>
        <w:t xml:space="preserve">Assessment</w:t>
      </w:r>
      <w:r>
        <w:rPr>
          <w:rFonts w:eastAsia="inter" w:cs="inter" w:ascii="inter" w:hAnsi="inter"/>
          <w:color w:val="000000"/>
        </w:rPr>
        <w:t xml:space="preserve">: Solid enterprise platform, but competes in a crowded space (Snowflake Cortex, cloud provider native offerings). The differentiation is </w:t>
      </w:r>
      <w:r>
        <w:rPr>
          <w:rFonts w:eastAsia="inter" w:cs="inter" w:ascii="inter" w:hAnsi="inter"/>
          <w:b/>
          <w:color w:val="000000"/>
        </w:rPr>
        <w:t xml:space="preserve">Deloitte's agentic AI layer above it (Zora AI)</w:t>
      </w:r>
      <w:r>
        <w:rPr>
          <w:rFonts w:eastAsia="inter" w:cs="inter" w:ascii="inter" w:hAnsi="inter"/>
          <w:color w:val="000000"/>
        </w:rPr>
        <w:t xml:space="preserve">.</w:t>
      </w:r>
    </w:p>
    <w:p>
      <w:pPr>
        <w:spacing w:line="360" w:before="315" w:after="105" w:lineRule="auto"/>
        <w:ind w:left="-30"/>
        <w:jc w:val="left"/>
      </w:pPr>
      <w:bookmarkStart w:id="27" w:name="bm_2_2_zora_ai_the_key_differenti_a71b26"/>
      <w:r>
        <w:rPr>
          <w:rFonts w:eastAsia="inter" w:cs="inter" w:ascii="inter" w:hAnsi="inter"/>
          <w:b/>
          <w:color w:val="000000"/>
          <w:sz w:val="24"/>
        </w:rPr>
        <w:t xml:space="preserve">2.2 Zora AI – THE KEY DIFFERENTIATOR (March 2025)</w:t>
      </w:r>
      <w:bookmarkEnd w:id="27"/>
    </w:p>
    <w:p>
      <w:pPr>
        <w:spacing w:line="360" w:after="210" w:lineRule="auto"/>
      </w:pPr>
      <w:r>
        <w:rPr>
          <w:rFonts w:eastAsia="inter" w:cs="inter" w:ascii="inter" w:hAnsi="inter"/>
          <w:b/>
          <w:color w:val="000000"/>
        </w:rPr>
        <w:t xml:space="preserve">Foundation</w:t>
      </w:r>
      <w:r>
        <w:rPr>
          <w:rFonts w:eastAsia="inter" w:cs="inter" w:ascii="inter" w:hAnsi="inter"/>
          <w:color w:val="000000"/>
        </w:rPr>
        <w:t xml:space="preserve">:</w:t>
      </w:r>
      <w:bookmarkStart w:id="28" w:name="fnref12"/>
      <w:bookmarkEnd w:id="28"/>
      <w:hyperlink w:anchor="fn12">
        <w:r>
          <w:rPr>
            <w:rFonts w:eastAsia="inter" w:cs="inter" w:ascii="inter" w:hAnsi="inter"/>
            <w:color w:val="#000"/>
            <w:u w:val="single"/>
            <w:vertAlign w:val="superscript"/>
          </w:rPr>
          <w:t xml:space="preserve">[12]</w:t>
        </w:r>
      </w:hyperlink>
      <w:bookmarkStart w:id="29" w:name="fnref13"/>
      <w:bookmarkEnd w:id="29"/>
      <w:hyperlink w:anchor="fn13">
        <w:r>
          <w:rPr>
            <w:rFonts w:eastAsia="inter" w:cs="inter" w:ascii="inter" w:hAnsi="inter"/>
            <w:color w:val="#000"/>
            <w:u w:val="single"/>
            <w:vertAlign w:val="superscript"/>
          </w:rPr>
          <w:t xml:space="preserve">[13]</w:t>
        </w:r>
      </w:hyperlink>
      <w:bookmarkStart w:id="30" w:name="fnref14"/>
      <w:bookmarkEnd w:id="30"/>
      <w:hyperlink w:anchor="fn14">
        <w:r>
          <w:rPr>
            <w:rFonts w:eastAsia="inter" w:cs="inter" w:ascii="inter" w:hAnsi="inter"/>
            <w:color w:val="#000"/>
            <w:u w:val="single"/>
            <w:vertAlign w:val="superscript"/>
          </w:rPr>
          <w:t xml:space="preserve">[14]</w:t>
        </w:r>
      </w:hyperlink>
    </w:p>
    <w:p>
      <w:pPr>
        <w:numPr>
          <w:ilvl w:val="0"/>
          <w:numId w:val="8"/>
        </w:numPr>
        <w:spacing w:line="360" w:before="105" w:after="105" w:lineRule="auto"/>
      </w:pPr>
      <w:r>
        <w:rPr>
          <w:rFonts w:eastAsia="inter" w:cs="inter" w:ascii="inter" w:hAnsi="inter"/>
          <w:color w:val="000000"/>
          <w:sz w:val="21"/>
        </w:rPr>
        <w:t xml:space="preserve">Built on </w:t>
      </w:r>
      <w:r>
        <w:rPr>
          <w:rFonts w:eastAsia="inter" w:cs="inter" w:ascii="inter" w:hAnsi="inter"/>
          <w:b/>
          <w:color w:val="000000"/>
          <w:sz w:val="21"/>
        </w:rPr>
        <w:t xml:space="preserve">NVIDIA Llama Nemotron reasoning models</w:t>
      </w:r>
      <w:r>
        <w:rPr>
          <w:rFonts w:eastAsia="inter" w:cs="inter" w:ascii="inter" w:hAnsi="inter"/>
          <w:color w:val="000000"/>
          <w:sz w:val="21"/>
        </w:rPr>
        <w:t xml:space="preserve"> (not generic LLMs)</w:t>
      </w:r>
    </w:p>
    <w:p>
      <w:pPr>
        <w:numPr>
          <w:ilvl w:val="0"/>
          <w:numId w:val="8"/>
        </w:numPr>
        <w:spacing w:line="360" w:before="105" w:after="105" w:lineRule="auto"/>
      </w:pPr>
      <w:r>
        <w:rPr>
          <w:rFonts w:eastAsia="inter" w:cs="inter" w:ascii="inter" w:hAnsi="inter"/>
          <w:color w:val="000000"/>
          <w:sz w:val="21"/>
        </w:rPr>
        <w:t xml:space="preserve">NVIDIA AI Enterprise software stack</w:t>
      </w:r>
    </w:p>
    <w:p>
      <w:pPr>
        <w:numPr>
          <w:ilvl w:val="0"/>
          <w:numId w:val="8"/>
        </w:numPr>
        <w:spacing w:line="360" w:before="105" w:after="105" w:lineRule="auto"/>
      </w:pPr>
      <w:r>
        <w:rPr>
          <w:rFonts w:eastAsia="inter" w:cs="inter" w:ascii="inter" w:hAnsi="inter"/>
          <w:color w:val="000000"/>
          <w:sz w:val="21"/>
        </w:rPr>
        <w:t xml:space="preserve">Purpose-built for agentic AI (autonomous digital workers)</w:t>
      </w:r>
    </w:p>
    <w:p>
      <w:pPr>
        <w:spacing w:line="360" w:after="210" w:lineRule="auto"/>
      </w:pPr>
      <w:r>
        <w:rPr>
          <w:rFonts w:eastAsia="inter" w:cs="inter" w:ascii="inter" w:hAnsi="inter"/>
          <w:b/>
          <w:color w:val="000000"/>
        </w:rPr>
        <w:t xml:space="preserve">Why "Reasoning" Matters</w:t>
      </w:r>
      <w:r>
        <w:rPr>
          <w:rFonts w:eastAsia="inter" w:cs="inter" w:ascii="inter" w:hAnsi="inter"/>
          <w:color w:val="000000"/>
        </w:rPr>
        <w:t xml:space="preserve">:</w:t>
      </w:r>
    </w:p>
    <w:p>
      <w:pPr>
        <w:numPr>
          <w:ilvl w:val="0"/>
          <w:numId w:val="9"/>
        </w:numPr>
        <w:spacing w:line="360" w:before="105" w:after="105" w:lineRule="auto"/>
      </w:pPr>
      <w:r>
        <w:rPr>
          <w:rFonts w:eastAsia="inter" w:cs="inter" w:ascii="inter" w:hAnsi="inter"/>
          <w:color w:val="000000"/>
          <w:sz w:val="21"/>
        </w:rPr>
        <w:t xml:space="preserve">Generic LLMs: Pattern matching + statistical probability (can hallucinate)</w:t>
      </w:r>
    </w:p>
    <w:p>
      <w:pPr>
        <w:numPr>
          <w:ilvl w:val="0"/>
          <w:numId w:val="9"/>
        </w:numPr>
        <w:spacing w:line="360" w:before="105" w:after="105" w:lineRule="auto"/>
      </w:pPr>
      <w:r>
        <w:rPr>
          <w:rFonts w:eastAsia="inter" w:cs="inter" w:ascii="inter" w:hAnsi="inter"/>
          <w:color w:val="000000"/>
          <w:sz w:val="21"/>
        </w:rPr>
        <w:t xml:space="preserve">Llama Nemotron: Breaking down multi-step problems, applying logic, providing explainable outputs</w:t>
      </w:r>
    </w:p>
    <w:p>
      <w:pPr>
        <w:numPr>
          <w:ilvl w:val="0"/>
          <w:numId w:val="9"/>
        </w:numPr>
        <w:spacing w:line="360" w:before="105" w:after="105" w:lineRule="auto"/>
      </w:pPr>
      <w:r>
        <w:rPr>
          <w:rFonts w:eastAsia="inter" w:cs="inter" w:ascii="inter" w:hAnsi="inter"/>
          <w:b/>
          <w:color w:val="000000"/>
          <w:sz w:val="21"/>
        </w:rPr>
        <w:t xml:space="preserve">Business Impact</w:t>
      </w:r>
      <w:r>
        <w:rPr>
          <w:rFonts w:eastAsia="inter" w:cs="inter" w:ascii="inter" w:hAnsi="inter"/>
          <w:color w:val="000000"/>
          <w:sz w:val="21"/>
        </w:rPr>
        <w:t xml:space="preserve">: Superior reasoning = more reliable AI agents = lower implementation risk</w:t>
      </w:r>
    </w:p>
    <w:p>
      <w:pPr>
        <w:spacing w:line="360" w:after="210" w:lineRule="auto"/>
      </w:pPr>
      <w:r>
        <w:rPr>
          <w:rFonts w:eastAsia="inter" w:cs="inter" w:ascii="inter" w:hAnsi="inter"/>
          <w:b/>
          <w:color w:val="000000"/>
        </w:rPr>
        <w:t xml:space="preserve">Architecture</w:t>
      </w:r>
      <w:r>
        <w:rPr>
          <w:rFonts w:eastAsia="inter" w:cs="inter" w:ascii="inter" w:hAnsi="inter"/>
          <w:color w:val="000000"/>
        </w:rPr>
        <w:t xml:space="preserve">:</w:t>
      </w:r>
      <w:bookmarkStart w:id="31" w:name="fnref13_1"/>
      <w:bookmarkEnd w:id="31"/>
      <w:hyperlink w:anchor="fn13">
        <w:r>
          <w:rPr>
            <w:rFonts w:eastAsia="inter" w:cs="inter" w:ascii="inter" w:hAnsi="inter"/>
            <w:color w:val="#000"/>
            <w:u w:val="single"/>
            <w:vertAlign w:val="superscript"/>
          </w:rPr>
          <w:t xml:space="preserve">[13]</w:t>
        </w:r>
      </w:hyperlink>
      <w:bookmarkStart w:id="32" w:name="fnref14_1"/>
      <w:bookmarkEnd w:id="32"/>
      <w:hyperlink w:anchor="fn14">
        <w:r>
          <w:rPr>
            <w:rFonts w:eastAsia="inter" w:cs="inter" w:ascii="inter" w:hAnsi="inter"/>
            <w:color w:val="#000"/>
            <w:u w:val="single"/>
            <w:vertAlign w:val="superscript"/>
          </w:rPr>
          <w:t xml:space="preserve">[14]</w:t>
        </w:r>
      </w:hyperlink>
    </w:p>
    <w:p>
      <w:pPr>
        <w:numPr>
          <w:ilvl w:val="0"/>
          <w:numId w:val="10"/>
        </w:numPr>
        <w:spacing w:line="360" w:before="105" w:after="105" w:lineRule="auto"/>
      </w:pPr>
      <w:r>
        <w:rPr>
          <w:rFonts w:eastAsia="inter" w:cs="inter" w:ascii="inter" w:hAnsi="inter"/>
          <w:color w:val="000000"/>
          <w:sz w:val="21"/>
        </w:rPr>
        <w:t xml:space="preserve">Multi-agent system (agents coordinate with each other and humans)</w:t>
      </w:r>
    </w:p>
    <w:p>
      <w:pPr>
        <w:numPr>
          <w:ilvl w:val="0"/>
          <w:numId w:val="10"/>
        </w:numPr>
        <w:spacing w:line="360" w:before="105" w:after="105" w:lineRule="auto"/>
      </w:pPr>
      <w:r>
        <w:rPr>
          <w:rFonts w:eastAsia="inter" w:cs="inter" w:ascii="inter" w:hAnsi="inter"/>
          <w:color w:val="000000"/>
          <w:sz w:val="21"/>
        </w:rPr>
        <w:t xml:space="preserve">Domain-specific agents pre-trained on Deloitte's proprietary consulting knowledge</w:t>
      </w:r>
    </w:p>
    <w:p>
      <w:pPr>
        <w:numPr>
          <w:ilvl w:val="0"/>
          <w:numId w:val="10"/>
        </w:numPr>
        <w:spacing w:line="360" w:before="105" w:after="105" w:lineRule="auto"/>
      </w:pPr>
      <w:r>
        <w:rPr>
          <w:rFonts w:eastAsia="inter" w:cs="inter" w:ascii="inter" w:hAnsi="inter"/>
          <w:color w:val="000000"/>
          <w:sz w:val="21"/>
        </w:rPr>
        <w:t xml:space="preserve">Perceive → Reason → Act workflow</w:t>
      </w:r>
    </w:p>
    <w:p>
      <w:pPr>
        <w:numPr>
          <w:ilvl w:val="0"/>
          <w:numId w:val="10"/>
        </w:numPr>
        <w:spacing w:line="360" w:before="105" w:after="105" w:lineRule="auto"/>
      </w:pPr>
      <w:r>
        <w:rPr>
          <w:rFonts w:eastAsia="inter" w:cs="inter" w:ascii="inter" w:hAnsi="inter"/>
          <w:color w:val="000000"/>
          <w:sz w:val="21"/>
        </w:rPr>
        <w:t xml:space="preserve">Human feedback loop built-in</w:t>
      </w:r>
    </w:p>
    <w:p>
      <w:pPr>
        <w:spacing w:line="360" w:after="210" w:lineRule="auto"/>
      </w:pPr>
      <w:r>
        <w:rPr>
          <w:rFonts w:eastAsia="inter" w:cs="inter" w:ascii="inter" w:hAnsi="inter"/>
          <w:b/>
          <w:color w:val="000000"/>
        </w:rPr>
        <w:t xml:space="preserve">Pre-Built Industry Agents</w:t>
      </w:r>
      <w:r>
        <w:rPr>
          <w:rFonts w:eastAsia="inter" w:cs="inter" w:ascii="inter" w:hAnsi="inter"/>
          <w:color w:val="000000"/>
        </w:rPr>
        <w:t xml:space="preserve">:</w:t>
      </w:r>
      <w:bookmarkStart w:id="33" w:name="fnref14_2"/>
      <w:bookmarkEnd w:id="33"/>
      <w:hyperlink w:anchor="fn14">
        <w:r>
          <w:rPr>
            <w:rFonts w:eastAsia="inter" w:cs="inter" w:ascii="inter" w:hAnsi="inter"/>
            <w:color w:val="#000"/>
            <w:u w:val="single"/>
            <w:vertAlign w:val="superscript"/>
          </w:rPr>
          <w:t xml:space="preserve">[14]</w:t>
        </w:r>
      </w:hyperlink>
      <w:bookmarkStart w:id="34" w:name="fnref13_2"/>
      <w:bookmarkEnd w:id="34"/>
      <w:hyperlink w:anchor="fn13">
        <w:r>
          <w:rPr>
            <w:rFonts w:eastAsia="inter" w:cs="inter" w:ascii="inter" w:hAnsi="inter"/>
            <w:color w:val="#000"/>
            <w:u w:val="single"/>
            <w:vertAlign w:val="superscript"/>
          </w:rPr>
          <w:t xml:space="preserve">[13]</w:t>
        </w:r>
      </w:hyperlink>
    </w:p>
    <w:p>
      <w:pPr>
        <w:numPr>
          <w:ilvl w:val="0"/>
          <w:numId w:val="11"/>
        </w:numPr>
        <w:spacing w:line="360" w:before="105" w:after="105" w:lineRule="auto"/>
      </w:pPr>
      <w:r>
        <w:rPr>
          <w:rFonts w:eastAsia="inter" w:cs="inter" w:ascii="inter" w:hAnsi="inter"/>
          <w:b/>
          <w:color w:val="000000"/>
          <w:sz w:val="21"/>
        </w:rPr>
        <w:t xml:space="preserve">Finance</w:t>
      </w:r>
      <w:r>
        <w:rPr>
          <w:rFonts w:eastAsia="inter" w:cs="inter" w:ascii="inter" w:hAnsi="inter"/>
          <w:color w:val="000000"/>
          <w:sz w:val="21"/>
        </w:rPr>
        <w:t xml:space="preserve">: Expense management, invoice processing, financial analysis, reconciliation</w:t>
      </w:r>
    </w:p>
    <w:p>
      <w:pPr>
        <w:numPr>
          <w:ilvl w:val="0"/>
          <w:numId w:val="11"/>
        </w:numPr>
        <w:spacing w:line="360" w:before="105" w:after="105" w:lineRule="auto"/>
      </w:pPr>
      <w:r>
        <w:rPr>
          <w:rFonts w:eastAsia="inter" w:cs="inter" w:ascii="inter" w:hAnsi="inter"/>
          <w:b/>
          <w:color w:val="000000"/>
          <w:sz w:val="21"/>
        </w:rPr>
        <w:t xml:space="preserve">Human Capital</w:t>
      </w:r>
      <w:r>
        <w:rPr>
          <w:rFonts w:eastAsia="inter" w:cs="inter" w:ascii="inter" w:hAnsi="inter"/>
          <w:color w:val="000000"/>
          <w:sz w:val="21"/>
        </w:rPr>
        <w:t xml:space="preserve">: Recruitment, onboarding, performance management, compensation</w:t>
      </w:r>
    </w:p>
    <w:p>
      <w:pPr>
        <w:numPr>
          <w:ilvl w:val="0"/>
          <w:numId w:val="11"/>
        </w:numPr>
        <w:spacing w:line="360" w:before="105" w:after="105" w:lineRule="auto"/>
      </w:pPr>
      <w:r>
        <w:rPr>
          <w:rFonts w:eastAsia="inter" w:cs="inter" w:ascii="inter" w:hAnsi="inter"/>
          <w:b/>
          <w:color w:val="000000"/>
          <w:sz w:val="21"/>
        </w:rPr>
        <w:t xml:space="preserve">Supply Chain</w:t>
      </w:r>
      <w:r>
        <w:rPr>
          <w:rFonts w:eastAsia="inter" w:cs="inter" w:ascii="inter" w:hAnsi="inter"/>
          <w:color w:val="000000"/>
          <w:sz w:val="21"/>
        </w:rPr>
        <w:t xml:space="preserve">: Procurement automation, vendor management, demand forecasting, logistics</w:t>
      </w:r>
    </w:p>
    <w:p>
      <w:pPr>
        <w:numPr>
          <w:ilvl w:val="0"/>
          <w:numId w:val="11"/>
        </w:numPr>
        <w:spacing w:line="360" w:before="105" w:after="105" w:lineRule="auto"/>
      </w:pPr>
      <w:r>
        <w:rPr>
          <w:rFonts w:eastAsia="inter" w:cs="inter" w:ascii="inter" w:hAnsi="inter"/>
          <w:b/>
          <w:color w:val="000000"/>
          <w:sz w:val="21"/>
        </w:rPr>
        <w:t xml:space="preserve">Sales &amp; Marketing</w:t>
      </w:r>
      <w:r>
        <w:rPr>
          <w:rFonts w:eastAsia="inter" w:cs="inter" w:ascii="inter" w:hAnsi="inter"/>
          <w:color w:val="000000"/>
          <w:sz w:val="21"/>
        </w:rPr>
        <w:t xml:space="preserve">: Pipeline management, forecasting, opportunity scoring, proposal generation</w:t>
      </w:r>
    </w:p>
    <w:p>
      <w:pPr>
        <w:numPr>
          <w:ilvl w:val="0"/>
          <w:numId w:val="11"/>
        </w:numPr>
        <w:spacing w:line="360" w:before="105" w:after="105" w:lineRule="auto"/>
      </w:pPr>
      <w:r>
        <w:rPr>
          <w:rFonts w:eastAsia="inter" w:cs="inter" w:ascii="inter" w:hAnsi="inter"/>
          <w:b/>
          <w:color w:val="000000"/>
          <w:sz w:val="21"/>
        </w:rPr>
        <w:t xml:space="preserve">Customer Service</w:t>
      </w:r>
      <w:r>
        <w:rPr>
          <w:rFonts w:eastAsia="inter" w:cs="inter" w:ascii="inter" w:hAnsi="inter"/>
          <w:color w:val="000000"/>
          <w:sz w:val="21"/>
        </w:rPr>
        <w:t xml:space="preserve">: Ticket routing, first-response resolution, escalation intelligence</w:t>
      </w:r>
    </w:p>
    <w:p>
      <w:pPr>
        <w:spacing w:line="360" w:after="210" w:lineRule="auto"/>
      </w:pPr>
      <w:r>
        <w:rPr>
          <w:rFonts w:eastAsia="inter" w:cs="inter" w:ascii="inter" w:hAnsi="inter"/>
          <w:b/>
          <w:color w:val="000000"/>
        </w:rPr>
        <w:t xml:space="preserve">Integration Ecosystem</w:t>
      </w:r>
      <w:r>
        <w:rPr>
          <w:rFonts w:eastAsia="inter" w:cs="inter" w:ascii="inter" w:hAnsi="inter"/>
          <w:color w:val="000000"/>
        </w:rPr>
        <w:t xml:space="preserve">:</w:t>
      </w:r>
      <w:bookmarkStart w:id="35" w:name="fnref15"/>
      <w:bookmarkEnd w:id="35"/>
      <w:hyperlink w:anchor="fn15">
        <w:r>
          <w:rPr>
            <w:rFonts w:eastAsia="inter" w:cs="inter" w:ascii="inter" w:hAnsi="inter"/>
            <w:color w:val="#000"/>
            <w:u w:val="single"/>
            <w:vertAlign w:val="superscript"/>
          </w:rPr>
          <w:t xml:space="preserve">[15]</w:t>
        </w:r>
      </w:hyperlink>
    </w:p>
    <w:p>
      <w:pPr>
        <w:numPr>
          <w:ilvl w:val="0"/>
          <w:numId w:val="12"/>
        </w:numPr>
        <w:spacing w:line="360" w:before="105" w:after="105" w:lineRule="auto"/>
      </w:pPr>
      <w:r>
        <w:rPr>
          <w:rFonts w:eastAsia="inter" w:cs="inter" w:ascii="inter" w:hAnsi="inter"/>
          <w:b/>
          <w:color w:val="000000"/>
          <w:sz w:val="21"/>
        </w:rPr>
        <w:t xml:space="preserve">SAP Joule agents</w:t>
      </w:r>
      <w:r>
        <w:rPr>
          <w:rFonts w:eastAsia="inter" w:cs="inter" w:ascii="inter" w:hAnsi="inter"/>
          <w:color w:val="000000"/>
          <w:sz w:val="21"/>
        </w:rPr>
        <w:t xml:space="preserve">: Enterprise workflow orchestration</w:t>
      </w:r>
    </w:p>
    <w:p>
      <w:pPr>
        <w:numPr>
          <w:ilvl w:val="0"/>
          <w:numId w:val="12"/>
        </w:numPr>
        <w:spacing w:line="360" w:before="105" w:after="105" w:lineRule="auto"/>
      </w:pPr>
      <w:r>
        <w:rPr>
          <w:rFonts w:eastAsia="inter" w:cs="inter" w:ascii="inter" w:hAnsi="inter"/>
          <w:b/>
          <w:color w:val="000000"/>
          <w:sz w:val="21"/>
        </w:rPr>
        <w:t xml:space="preserve">Oracle AI Agent Studio</w:t>
      </w:r>
      <w:r>
        <w:rPr>
          <w:rFonts w:eastAsia="inter" w:cs="inter" w:ascii="inter" w:hAnsi="inter"/>
          <w:color w:val="000000"/>
          <w:sz w:val="21"/>
        </w:rPr>
        <w:t xml:space="preserve">: Future integration (announced)</w:t>
      </w:r>
    </w:p>
    <w:p>
      <w:pPr>
        <w:numPr>
          <w:ilvl w:val="0"/>
          <w:numId w:val="12"/>
        </w:numPr>
        <w:spacing w:line="360" w:before="105" w:after="105" w:lineRule="auto"/>
      </w:pPr>
      <w:r>
        <w:rPr>
          <w:rFonts w:eastAsia="inter" w:cs="inter" w:ascii="inter" w:hAnsi="inter"/>
          <w:b/>
          <w:color w:val="000000"/>
          <w:sz w:val="21"/>
        </w:rPr>
        <w:t xml:space="preserve">Multi-agent coordination</w:t>
      </w:r>
      <w:r>
        <w:rPr>
          <w:rFonts w:eastAsia="inter" w:cs="inter" w:ascii="inter" w:hAnsi="inter"/>
          <w:color w:val="000000"/>
          <w:sz w:val="21"/>
        </w:rPr>
        <w:t xml:space="preserve">: Zora agents work with enterprise systems</w:t>
      </w:r>
    </w:p>
    <w:p>
      <w:pPr>
        <w:spacing w:line="360" w:after="210" w:lineRule="auto"/>
      </w:pPr>
      <w:r>
        <w:rPr>
          <w:rFonts w:eastAsia="inter" w:cs="inter" w:ascii="inter" w:hAnsi="inter"/>
          <w:b/>
          <w:color w:val="000000"/>
        </w:rPr>
        <w:t xml:space="preserve">Proven ROI – Internal Deloitte Deployments</w:t>
      </w:r>
      <w:r>
        <w:rPr>
          <w:rFonts w:eastAsia="inter" w:cs="inter" w:ascii="inter" w:hAnsi="inter"/>
          <w:color w:val="000000"/>
        </w:rPr>
        <w:t xml:space="preserve">:</w:t>
      </w:r>
      <w:bookmarkStart w:id="36" w:name="fnref16"/>
      <w:bookmarkEnd w:id="36"/>
      <w:hyperlink w:anchor="fn16">
        <w:r>
          <w:rPr>
            <w:rFonts w:eastAsia="inter" w:cs="inter" w:ascii="inter" w:hAnsi="inter"/>
            <w:color w:val="#000"/>
            <w:u w:val="single"/>
            <w:vertAlign w:val="superscript"/>
          </w:rPr>
          <w:t xml:space="preserve">[16]</w:t>
        </w:r>
      </w:hyperlink>
      <w:bookmarkStart w:id="37" w:name="fnref14_3"/>
      <w:bookmarkEnd w:id="37"/>
      <w:hyperlink w:anchor="fn14">
        <w:r>
          <w:rPr>
            <w:rFonts w:eastAsia="inter" w:cs="inter" w:ascii="inter" w:hAnsi="inter"/>
            <w:color w:val="#000"/>
            <w:u w:val="single"/>
            <w:vertAlign w:val="superscript"/>
          </w:rPr>
          <w:t xml:space="preserve">[14]</w:t>
        </w:r>
      </w:hyperlink>
    </w:p>
    <w:p>
      <w:pPr>
        <w:numPr>
          <w:ilvl w:val="0"/>
          <w:numId w:val="13"/>
        </w:numPr>
        <w:spacing w:line="360" w:before="105" w:after="105" w:lineRule="auto"/>
      </w:pPr>
      <w:r>
        <w:rPr>
          <w:rFonts w:eastAsia="inter" w:cs="inter" w:ascii="inter" w:hAnsi="inter"/>
          <w:b/>
          <w:color w:val="000000"/>
          <w:sz w:val="21"/>
        </w:rPr>
        <w:t xml:space="preserve">25% cost reduction</w:t>
      </w:r>
      <w:r>
        <w:rPr>
          <w:rFonts w:eastAsia="inter" w:cs="inter" w:ascii="inter" w:hAnsi="inter"/>
          <w:color w:val="000000"/>
          <w:sz w:val="21"/>
        </w:rPr>
        <w:t xml:space="preserve"> (vs. manual processes)</w:t>
      </w:r>
    </w:p>
    <w:p>
      <w:pPr>
        <w:numPr>
          <w:ilvl w:val="0"/>
          <w:numId w:val="13"/>
        </w:numPr>
        <w:spacing w:line="360" w:before="105" w:after="105" w:lineRule="auto"/>
      </w:pPr>
      <w:r>
        <w:rPr>
          <w:rFonts w:eastAsia="inter" w:cs="inter" w:ascii="inter" w:hAnsi="inter"/>
          <w:b/>
          <w:color w:val="000000"/>
          <w:sz w:val="21"/>
        </w:rPr>
        <w:t xml:space="preserve">40% productivity increase</w:t>
      </w:r>
      <w:r>
        <w:rPr>
          <w:rFonts w:eastAsia="inter" w:cs="inter" w:ascii="inter" w:hAnsi="inter"/>
          <w:color w:val="000000"/>
          <w:sz w:val="21"/>
        </w:rPr>
        <w:t xml:space="preserve"> (measured in expense management automation)</w:t>
      </w:r>
    </w:p>
    <w:p>
      <w:pPr>
        <w:numPr>
          <w:ilvl w:val="0"/>
          <w:numId w:val="13"/>
        </w:numPr>
        <w:spacing w:line="360" w:before="105" w:after="105" w:lineRule="auto"/>
      </w:pPr>
      <w:r>
        <w:rPr>
          <w:rFonts w:eastAsia="inter" w:cs="inter" w:ascii="inter" w:hAnsi="inter"/>
          <w:color w:val="000000"/>
          <w:sz w:val="21"/>
        </w:rPr>
        <w:t xml:space="preserve">Not theoretical. Demonstrated with real Deloitte data.</w:t>
      </w:r>
    </w:p>
    <w:p>
      <w:pPr>
        <w:spacing w:line="360" w:after="210" w:lineRule="auto"/>
      </w:pPr>
      <w:r>
        <w:rPr>
          <w:rFonts w:eastAsia="inter" w:cs="inter" w:ascii="inter" w:hAnsi="inter"/>
          <w:b/>
          <w:color w:val="000000"/>
        </w:rPr>
        <w:t xml:space="preserve">Zora Recognition</w:t>
      </w:r>
      <w:r>
        <w:rPr>
          <w:rFonts w:eastAsia="inter" w:cs="inter" w:ascii="inter" w:hAnsi="inter"/>
          <w:color w:val="000000"/>
        </w:rPr>
        <w:t xml:space="preserve">:</w:t>
      </w:r>
      <w:bookmarkStart w:id="38" w:name="fnref14_4"/>
      <w:bookmarkEnd w:id="38"/>
      <w:hyperlink w:anchor="fn14">
        <w:r>
          <w:rPr>
            <w:rFonts w:eastAsia="inter" w:cs="inter" w:ascii="inter" w:hAnsi="inter"/>
            <w:color w:val="#000"/>
            <w:u w:val="single"/>
            <w:vertAlign w:val="superscript"/>
          </w:rPr>
          <w:t xml:space="preserve">[14]</w:t>
        </w:r>
      </w:hyperlink>
    </w:p>
    <w:p>
      <w:pPr>
        <w:numPr>
          <w:ilvl w:val="0"/>
          <w:numId w:val="14"/>
        </w:numPr>
        <w:spacing w:line="360" w:before="105" w:after="105" w:lineRule="auto"/>
      </w:pPr>
      <w:r>
        <w:rPr>
          <w:rFonts w:eastAsia="inter" w:cs="inter" w:ascii="inter" w:hAnsi="inter"/>
          <w:color w:val="000000"/>
          <w:sz w:val="21"/>
        </w:rPr>
        <w:t xml:space="preserve">Unveiled March 2025</w:t>
      </w:r>
    </w:p>
    <w:p>
      <w:pPr>
        <w:numPr>
          <w:ilvl w:val="0"/>
          <w:numId w:val="14"/>
        </w:numPr>
        <w:spacing w:line="360" w:before="105" w:after="105" w:lineRule="auto"/>
      </w:pPr>
      <w:r>
        <w:rPr>
          <w:rFonts w:eastAsia="inter" w:cs="inter" w:ascii="inter" w:hAnsi="inter"/>
          <w:color w:val="000000"/>
          <w:sz w:val="21"/>
        </w:rPr>
        <w:t xml:space="preserve">"Agentic AI for Tomorrow's Workforce"</w:t>
      </w:r>
    </w:p>
    <w:p>
      <w:pPr>
        <w:numPr>
          <w:ilvl w:val="0"/>
          <w:numId w:val="14"/>
        </w:numPr>
        <w:spacing w:line="360" w:before="105" w:after="105" w:lineRule="auto"/>
      </w:pPr>
      <w:r>
        <w:rPr>
          <w:rFonts w:eastAsia="inter" w:cs="inter" w:ascii="inter" w:hAnsi="inter"/>
          <w:color w:val="000000"/>
          <w:sz w:val="21"/>
        </w:rPr>
        <w:t xml:space="preserve">Production-ready, not a framework or builder tool</w:t>
      </w:r>
    </w:p>
    <w:p>
      <w:pPr>
        <w:spacing w:line="360" w:before="315" w:after="105" w:lineRule="auto"/>
        <w:ind w:left="-30"/>
        <w:jc w:val="left"/>
      </w:pPr>
      <w:bookmarkStart w:id="39" w:name="bm_2_3_quartz_ai_suite_2023"/>
      <w:r>
        <w:rPr>
          <w:rFonts w:eastAsia="inter" w:cs="inter" w:ascii="inter" w:hAnsi="inter"/>
          <w:b/>
          <w:color w:val="000000"/>
          <w:sz w:val="24"/>
        </w:rPr>
        <w:t xml:space="preserve">2.3 Quartz AI Suite (2023+)</w:t>
      </w:r>
      <w:bookmarkEnd w:id="39"/>
    </w:p>
    <w:p>
      <w:pPr>
        <w:spacing w:line="360" w:after="210" w:lineRule="auto"/>
      </w:pPr>
      <w:r>
        <w:rPr>
          <w:rFonts w:eastAsia="inter" w:cs="inter" w:ascii="inter" w:hAnsi="inter"/>
          <w:b/>
          <w:color w:val="000000"/>
        </w:rPr>
        <w:t xml:space="preserve">Foundation</w:t>
      </w:r>
      <w:r>
        <w:rPr>
          <w:rFonts w:eastAsia="inter" w:cs="inter" w:ascii="inter" w:hAnsi="inter"/>
          <w:color w:val="000000"/>
        </w:rPr>
        <w:t xml:space="preserve">:</w:t>
      </w:r>
      <w:bookmarkStart w:id="40" w:name="fnref17"/>
      <w:bookmarkEnd w:id="40"/>
      <w:hyperlink w:anchor="fn17">
        <w:r>
          <w:rPr>
            <w:rFonts w:eastAsia="inter" w:cs="inter" w:ascii="inter" w:hAnsi="inter"/>
            <w:color w:val="#000"/>
            <w:u w:val="single"/>
            <w:vertAlign w:val="superscript"/>
          </w:rPr>
          <w:t xml:space="preserve">[17]</w:t>
        </w:r>
      </w:hyperlink>
    </w:p>
    <w:p>
      <w:pPr>
        <w:numPr>
          <w:ilvl w:val="0"/>
          <w:numId w:val="15"/>
        </w:numPr>
        <w:spacing w:line="360" w:before="105" w:after="105" w:lineRule="auto"/>
      </w:pPr>
      <w:r>
        <w:rPr>
          <w:rFonts w:eastAsia="inter" w:cs="inter" w:ascii="inter" w:hAnsi="inter"/>
          <w:color w:val="000000"/>
          <w:sz w:val="21"/>
        </w:rPr>
        <w:t xml:space="preserve">Built on NVIDIA AI + NVIDIA Omniverse platforms</w:t>
      </w:r>
    </w:p>
    <w:p>
      <w:pPr>
        <w:numPr>
          <w:ilvl w:val="0"/>
          <w:numId w:val="15"/>
        </w:numPr>
        <w:spacing w:line="360" w:before="105" w:after="105" w:lineRule="auto"/>
      </w:pPr>
      <w:r>
        <w:rPr>
          <w:rFonts w:eastAsia="inter" w:cs="inter" w:ascii="inter" w:hAnsi="inter"/>
          <w:color w:val="000000"/>
          <w:sz w:val="21"/>
        </w:rPr>
        <w:t xml:space="preserve">Deloitte recognized as </w:t>
      </w:r>
      <w:r>
        <w:rPr>
          <w:rFonts w:eastAsia="inter" w:cs="inter" w:ascii="inter" w:hAnsi="inter"/>
          <w:b/>
          <w:color w:val="000000"/>
          <w:sz w:val="21"/>
        </w:rPr>
        <w:t xml:space="preserve">NVIDIA Consulting Partner of the Year</w:t>
      </w:r>
    </w:p>
    <w:p>
      <w:pPr>
        <w:spacing w:line="360" w:after="210" w:lineRule="auto"/>
      </w:pPr>
      <w:r>
        <w:rPr>
          <w:rFonts w:eastAsia="inter" w:cs="inter" w:ascii="inter" w:hAnsi="inter"/>
          <w:b/>
          <w:color w:val="000000"/>
        </w:rPr>
        <w:t xml:space="preserve">Offerings</w:t>
      </w:r>
      <w:r>
        <w:rPr>
          <w:rFonts w:eastAsia="inter" w:cs="inter" w:ascii="inter" w:hAnsi="inter"/>
          <w:color w:val="000000"/>
        </w:rPr>
        <w:t xml:space="preserve">:</w:t>
      </w:r>
    </w:p>
    <w:p>
      <w:pPr>
        <w:numPr>
          <w:ilvl w:val="0"/>
          <w:numId w:val="16"/>
        </w:numPr>
        <w:spacing w:line="360" w:before="105" w:after="105" w:lineRule="auto"/>
      </w:pPr>
      <w:r>
        <w:rPr>
          <w:rFonts w:eastAsia="inter" w:cs="inter" w:ascii="inter" w:hAnsi="inter"/>
          <w:b/>
          <w:color w:val="000000"/>
          <w:sz w:val="21"/>
        </w:rPr>
        <w:t xml:space="preserve">Compass AI</w:t>
      </w:r>
      <w:r>
        <w:rPr>
          <w:rFonts w:eastAsia="inter" w:cs="inter" w:ascii="inter" w:hAnsi="inter"/>
          <w:color w:val="000000"/>
          <w:sz w:val="21"/>
        </w:rPr>
        <w:t xml:space="preserve">: Fleet routing and logistics optimization (dynamic dispatch, cost reduction, serviceability)</w:t>
      </w:r>
    </w:p>
    <w:p>
      <w:pPr>
        <w:numPr>
          <w:ilvl w:val="0"/>
          <w:numId w:val="16"/>
        </w:numPr>
        <w:spacing w:line="360" w:before="105" w:after="105" w:lineRule="auto"/>
      </w:pPr>
      <w:r>
        <w:rPr>
          <w:rFonts w:eastAsia="inter" w:cs="inter" w:ascii="inter" w:hAnsi="inter"/>
          <w:b/>
          <w:color w:val="000000"/>
          <w:sz w:val="21"/>
        </w:rPr>
        <w:t xml:space="preserve">Frontline AI</w:t>
      </w:r>
      <w:r>
        <w:rPr>
          <w:rFonts w:eastAsia="inter" w:cs="inter" w:ascii="inter" w:hAnsi="inter"/>
          <w:color w:val="000000"/>
          <w:sz w:val="21"/>
        </w:rPr>
        <w:t xml:space="preserve">: Customer service avatars, retail, QSR scenarios</w:t>
      </w:r>
    </w:p>
    <w:p>
      <w:pPr>
        <w:numPr>
          <w:ilvl w:val="0"/>
          <w:numId w:val="16"/>
        </w:numPr>
        <w:spacing w:line="360" w:before="105" w:after="105" w:lineRule="auto"/>
      </w:pPr>
      <w:r>
        <w:rPr>
          <w:rFonts w:eastAsia="inter" w:cs="inter" w:ascii="inter" w:hAnsi="inter"/>
          <w:b/>
          <w:color w:val="000000"/>
          <w:sz w:val="21"/>
        </w:rPr>
        <w:t xml:space="preserve">Investment Consultation AI</w:t>
      </w:r>
      <w:r>
        <w:rPr>
          <w:rFonts w:eastAsia="inter" w:cs="inter" w:ascii="inter" w:hAnsi="inter"/>
          <w:color w:val="000000"/>
          <w:sz w:val="21"/>
        </w:rPr>
        <w:t xml:space="preserve"> (Case Study: Rakuten Securities):</w:t>
      </w:r>
      <w:bookmarkStart w:id="41" w:name="fnref18"/>
      <w:bookmarkEnd w:id="41"/>
      <w:hyperlink w:anchor="fn18">
        <w:r>
          <w:rPr>
            <w:rFonts w:eastAsia="inter" w:cs="inter" w:ascii="inter" w:hAnsi="inter"/>
            <w:color w:val="#000"/>
            <w:sz w:val="21"/>
            <w:u w:val="single"/>
            <w:vertAlign w:val="superscript"/>
          </w:rPr>
          <w:t xml:space="preserve">[18]</w:t>
        </w:r>
      </w:hyperlink>
      <w:bookmarkStart w:id="42" w:name="fnref19"/>
      <w:bookmarkEnd w:id="42"/>
      <w:hyperlink w:anchor="fn19">
        <w:r>
          <w:rPr>
            <w:rFonts w:eastAsia="inter" w:cs="inter" w:ascii="inter" w:hAnsi="inter"/>
            <w:color w:val="#000"/>
            <w:sz w:val="21"/>
            <w:u w:val="single"/>
            <w:vertAlign w:val="superscript"/>
          </w:rPr>
          <w:t xml:space="preserve">[19]</w:t>
        </w:r>
      </w:hyperlink>
    </w:p>
    <w:p>
      <w:pPr>
        <w:numPr>
          <w:ilvl w:val="1"/>
          <w:numId w:val="16"/>
        </w:numPr>
        <w:spacing w:line="360" w:before="105" w:after="105" w:lineRule="auto"/>
      </w:pPr>
      <w:r>
        <w:rPr>
          <w:rFonts w:eastAsia="inter" w:cs="inter" w:ascii="inter" w:hAnsi="inter"/>
          <w:color w:val="000000"/>
          <w:sz w:val="21"/>
        </w:rPr>
        <w:t xml:space="preserve">AI avatar with natural language understanding</w:t>
      </w:r>
    </w:p>
    <w:p>
      <w:pPr>
        <w:numPr>
          <w:ilvl w:val="1"/>
          <w:numId w:val="16"/>
        </w:numPr>
        <w:spacing w:line="360" w:before="105" w:after="105" w:lineRule="auto"/>
      </w:pPr>
      <w:r>
        <w:rPr>
          <w:rFonts w:eastAsia="inter" w:cs="inter" w:ascii="inter" w:hAnsi="inter"/>
          <w:color w:val="000000"/>
          <w:sz w:val="21"/>
        </w:rPr>
        <w:t xml:space="preserve">Real-time speech synthesis</w:t>
      </w:r>
    </w:p>
    <w:p>
      <w:pPr>
        <w:numPr>
          <w:ilvl w:val="1"/>
          <w:numId w:val="16"/>
        </w:numPr>
        <w:spacing w:line="360" w:before="105" w:after="105" w:lineRule="auto"/>
      </w:pPr>
      <w:r>
        <w:rPr>
          <w:rFonts w:eastAsia="inter" w:cs="inter" w:ascii="inter" w:hAnsi="inter"/>
          <w:color w:val="000000"/>
          <w:sz w:val="21"/>
        </w:rPr>
        <w:t xml:space="preserve">Synchronized facial gestures and expressions</w:t>
      </w:r>
    </w:p>
    <w:p>
      <w:pPr>
        <w:numPr>
          <w:ilvl w:val="1"/>
          <w:numId w:val="16"/>
        </w:numPr>
        <w:spacing w:line="360" w:before="105" w:after="105" w:lineRule="auto"/>
      </w:pPr>
      <w:r>
        <w:rPr>
          <w:rFonts w:eastAsia="inter" w:cs="inter" w:ascii="inter" w:hAnsi="inter"/>
          <w:color w:val="000000"/>
          <w:sz w:val="21"/>
        </w:rPr>
        <w:t xml:space="preserve">Deployed in 2 months</w:t>
      </w:r>
    </w:p>
    <w:p>
      <w:pPr>
        <w:numPr>
          <w:ilvl w:val="1"/>
          <w:numId w:val="16"/>
        </w:numPr>
        <w:spacing w:line="360" w:before="105" w:after="105" w:lineRule="auto"/>
      </w:pPr>
      <w:r>
        <w:rPr>
          <w:rFonts w:eastAsia="inter" w:cs="inter" w:ascii="inter" w:hAnsi="inter"/>
          <w:color w:val="000000"/>
          <w:sz w:val="21"/>
        </w:rPr>
        <w:t xml:space="preserve">Live debut January 2024</w:t>
      </w:r>
    </w:p>
    <w:p>
      <w:pPr>
        <w:spacing w:line="360" w:before="315" w:after="105" w:lineRule="auto"/>
        <w:ind w:left="-30"/>
        <w:jc w:val="left"/>
      </w:pPr>
      <w:bookmarkStart w:id="43" w:name="bm_2_4_silicon_to_service_s2s_inf_d82f0c"/>
      <w:r>
        <w:rPr>
          <w:rFonts w:eastAsia="inter" w:cs="inter" w:ascii="inter" w:hAnsi="inter"/>
          <w:b/>
          <w:color w:val="000000"/>
          <w:sz w:val="24"/>
        </w:rPr>
        <w:t xml:space="preserve">2.4 Silicon to Service (S2S) – Infrastructure Layer (2025)</w:t>
      </w:r>
      <w:bookmarkEnd w:id="43"/>
    </w:p>
    <w:p>
      <w:pPr>
        <w:spacing w:line="360" w:after="210" w:lineRule="auto"/>
      </w:pPr>
      <w:r>
        <w:rPr>
          <w:rFonts w:eastAsia="inter" w:cs="inter" w:ascii="inter" w:hAnsi="inter"/>
          <w:b/>
          <w:color w:val="000000"/>
        </w:rPr>
        <w:t xml:space="preserve">What It Is</w:t>
      </w:r>
      <w:r>
        <w:rPr>
          <w:rFonts w:eastAsia="inter" w:cs="inter" w:ascii="inter" w:hAnsi="inter"/>
          <w:color w:val="000000"/>
        </w:rPr>
        <w:t xml:space="preserve">:</w:t>
      </w:r>
      <w:bookmarkStart w:id="44" w:name="fnref20"/>
      <w:bookmarkEnd w:id="44"/>
      <w:hyperlink w:anchor="fn20">
        <w:r>
          <w:rPr>
            <w:rFonts w:eastAsia="inter" w:cs="inter" w:ascii="inter" w:hAnsi="inter"/>
            <w:color w:val="#000"/>
            <w:u w:val="single"/>
            <w:vertAlign w:val="superscript"/>
          </w:rPr>
          <w:t xml:space="preserve">[20]</w:t>
        </w:r>
      </w:hyperlink>
      <w:bookmarkStart w:id="45" w:name="fnref21"/>
      <w:bookmarkEnd w:id="45"/>
      <w:hyperlink w:anchor="fn21">
        <w:r>
          <w:rPr>
            <w:rFonts w:eastAsia="inter" w:cs="inter" w:ascii="inter" w:hAnsi="inter"/>
            <w:color w:val="#000"/>
            <w:u w:val="single"/>
            <w:vertAlign w:val="superscript"/>
          </w:rPr>
          <w:t xml:space="preserve">[21]</w:t>
        </w:r>
      </w:hyperlink>
      <w:bookmarkStart w:id="46" w:name="fnref22"/>
      <w:bookmarkEnd w:id="46"/>
      <w:hyperlink w:anchor="fn22">
        <w:r>
          <w:rPr>
            <w:rFonts w:eastAsia="inter" w:cs="inter" w:ascii="inter" w:hAnsi="inter"/>
            <w:color w:val="#000"/>
            <w:u w:val="single"/>
            <w:vertAlign w:val="superscript"/>
          </w:rPr>
          <w:t xml:space="preserve">[22]</w:t>
        </w:r>
      </w:hyperlink>
      <w:bookmarkStart w:id="47" w:name="fnref12_1"/>
      <w:bookmarkEnd w:id="47"/>
      <w:hyperlink w:anchor="fn12">
        <w:r>
          <w:rPr>
            <w:rFonts w:eastAsia="inter" w:cs="inter" w:ascii="inter" w:hAnsi="inter"/>
            <w:color w:val="#000"/>
            <w:u w:val="single"/>
            <w:vertAlign w:val="superscript"/>
          </w:rPr>
          <w:t xml:space="preserve">[12]</w:t>
        </w:r>
      </w:hyperlink>
    </w:p>
    <w:p>
      <w:pPr>
        <w:numPr>
          <w:ilvl w:val="0"/>
          <w:numId w:val="17"/>
        </w:numPr>
        <w:spacing w:line="360" w:before="105" w:after="105" w:lineRule="auto"/>
      </w:pPr>
      <w:r>
        <w:rPr>
          <w:rFonts w:eastAsia="inter" w:cs="inter" w:ascii="inter" w:hAnsi="inter"/>
          <w:color w:val="000000"/>
          <w:sz w:val="21"/>
        </w:rPr>
        <w:t xml:space="preserve">Managed AI infrastructure as a service</w:t>
      </w:r>
    </w:p>
    <w:p>
      <w:pPr>
        <w:numPr>
          <w:ilvl w:val="0"/>
          <w:numId w:val="17"/>
        </w:numPr>
        <w:spacing w:line="360" w:before="105" w:after="105" w:lineRule="auto"/>
      </w:pPr>
      <w:r>
        <w:rPr>
          <w:rFonts w:eastAsia="inter" w:cs="inter" w:ascii="inter" w:hAnsi="inter"/>
          <w:b/>
          <w:color w:val="000000"/>
          <w:sz w:val="21"/>
        </w:rPr>
        <w:t xml:space="preserve">Hardware</w:t>
      </w:r>
      <w:r>
        <w:rPr>
          <w:rFonts w:eastAsia="inter" w:cs="inter" w:ascii="inter" w:hAnsi="inter"/>
          <w:color w:val="000000"/>
          <w:sz w:val="21"/>
        </w:rPr>
        <w:t xml:space="preserve">: NVIDIA Blackwell accelerated computing, Dell PowerEdge XE9680 servers, PowerScale storage</w:t>
      </w:r>
    </w:p>
    <w:p>
      <w:pPr>
        <w:numPr>
          <w:ilvl w:val="0"/>
          <w:numId w:val="17"/>
        </w:numPr>
        <w:spacing w:line="360" w:before="105" w:after="105" w:lineRule="auto"/>
      </w:pPr>
      <w:r>
        <w:rPr>
          <w:rFonts w:eastAsia="inter" w:cs="inter" w:ascii="inter" w:hAnsi="inter"/>
          <w:b/>
          <w:color w:val="000000"/>
          <w:sz w:val="21"/>
        </w:rPr>
        <w:t xml:space="preserve">Hosting</w:t>
      </w:r>
      <w:r>
        <w:rPr>
          <w:rFonts w:eastAsia="inter" w:cs="inter" w:ascii="inter" w:hAnsi="inter"/>
          <w:color w:val="000000"/>
          <w:sz w:val="21"/>
        </w:rPr>
        <w:t xml:space="preserve">: Equinix data centers</w:t>
      </w:r>
    </w:p>
    <w:p>
      <w:pPr>
        <w:numPr>
          <w:ilvl w:val="0"/>
          <w:numId w:val="17"/>
        </w:numPr>
        <w:spacing w:line="360" w:before="105" w:after="105" w:lineRule="auto"/>
      </w:pPr>
      <w:r>
        <w:rPr>
          <w:rFonts w:eastAsia="inter" w:cs="inter" w:ascii="inter" w:hAnsi="inter"/>
          <w:b/>
          <w:color w:val="000000"/>
          <w:sz w:val="21"/>
        </w:rPr>
        <w:t xml:space="preserve">Target</w:t>
      </w:r>
      <w:r>
        <w:rPr>
          <w:rFonts w:eastAsia="inter" w:cs="inter" w:ascii="inter" w:hAnsi="inter"/>
          <w:color w:val="000000"/>
          <w:sz w:val="21"/>
        </w:rPr>
        <w:t xml:space="preserve">: Government and regulated industries</w:t>
      </w:r>
    </w:p>
    <w:p>
      <w:pPr>
        <w:spacing w:line="360" w:after="210" w:lineRule="auto"/>
      </w:pPr>
      <w:r>
        <w:rPr>
          <w:rFonts w:eastAsia="inter" w:cs="inter" w:ascii="inter" w:hAnsi="inter"/>
          <w:b/>
          <w:color w:val="000000"/>
        </w:rPr>
        <w:t xml:space="preserve">Value Prop</w:t>
      </w:r>
      <w:r>
        <w:rPr>
          <w:rFonts w:eastAsia="inter" w:cs="inter" w:ascii="inter" w:hAnsi="inter"/>
          <w:color w:val="000000"/>
        </w:rPr>
        <w:t xml:space="preserve">: Bridge the gap from "we want to deploy AI" to "AI running on optimized infrastructure."</w:t>
      </w:r>
    </w:p>
    <w:p>
      <w:pPr>
        <w:spacing w:line="360" w:before="315" w:after="105" w:lineRule="auto"/>
        <w:ind w:left="-30"/>
        <w:jc w:val="left"/>
      </w:pPr>
      <w:bookmarkStart w:id="48" w:name="bm_2_5_zora_vs_accenture_ai_refin_8e0f6f"/>
      <w:r>
        <w:rPr>
          <w:rFonts w:eastAsia="inter" w:cs="inter" w:ascii="inter" w:hAnsi="inter"/>
          <w:b/>
          <w:color w:val="000000"/>
          <w:sz w:val="24"/>
        </w:rPr>
        <w:t xml:space="preserve">2.5 Zora vs. Accenture AI Refinery: The Competitive Moat</w:t>
      </w:r>
      <w:bookmarkEnd w:id="4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Deloitte Zora AI</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Accenture AI Refinery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Foundation Model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NVIDIA Llama Nemotron (reasoning-focused)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NVIDIA AI Foundry (general-purpose)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AI 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Agentic AI (autonomous agents)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GenAI + agent builder framework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Industry Agents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Pre-built, trained on Deloitte IP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Custom build (requires engagement)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Go-to-Market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End-to-end service + platform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Primarily consulting + builder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Production Status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Deployed internally, client pilots live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Expanding capabilities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Reasoning Capability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Superior (Llama Nemotron)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Standard LLM (better generalization)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Time to Value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Fast (pre-built agents)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Varies (custom build)</w:t>
            </w:r>
          </w:p>
        </w:tc>
      </w:tr>
    </w:tbl>
    <w:p>
      <w:pPr>
        <w:spacing w:lineRule="auto"/>
      </w:pPr>
    </w:p>
    <w:p>
      <w:pPr>
        <w:spacing w:line="360" w:after="210" w:lineRule="auto"/>
      </w:pPr>
      <w:r>
        <w:rPr>
          <w:rFonts w:eastAsia="inter" w:cs="inter" w:ascii="inter" w:hAnsi="inter"/>
          <w:b/>
          <w:color w:val="000000"/>
        </w:rPr>
        <w:t xml:space="preserve">Deloitte's Positioning</w:t>
      </w:r>
      <w:r>
        <w:rPr>
          <w:rFonts w:eastAsia="inter" w:cs="inter" w:ascii="inter" w:hAnsi="inter"/>
          <w:color w:val="000000"/>
        </w:rPr>
        <w:t xml:space="preserve">: "We don't build frameworks. We provide production-ready AI agents that work out of the box, backed by our consulting expertise."</w:t>
      </w:r>
    </w:p>
    <w:p>
      <w:pPr>
        <w:spacing w:line="360" w:after="210" w:lineRule="auto"/>
      </w:pPr>
      <w:r>
        <w:rPr>
          <w:rFonts w:eastAsia="inter" w:cs="inter" w:ascii="inter" w:hAnsi="inter"/>
          <w:b/>
          <w:color w:val="000000"/>
        </w:rPr>
        <w:t xml:space="preserve">Why This Matters for Elad/Matrix</w:t>
      </w:r>
      <w:r>
        <w:rPr>
          <w:rFonts w:eastAsia="inter" w:cs="inter" w:ascii="inter" w:hAnsi="inter"/>
          <w:color w:val="000000"/>
        </w:rPr>
        <w:t xml:space="preserve">: Neither has a proprietary AI platform. When clients ask "how do we implement AI at scale?", Deloitte has a proprietary answer. Elad/Matrix must custom-develop solutions—longer, more expensive, higher risk.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section_3_the_broker_strategy_sta_b09ade"/>
      <w:r>
        <w:rPr>
          <w:rFonts w:eastAsia="inter" w:cs="inter" w:ascii="inter" w:hAnsi="inter"/>
          <w:b/>
          <w:color w:val="000000"/>
          <w:sz w:val="24"/>
        </w:rPr>
        <w:t xml:space="preserve">SECTION 3: THE "BROKER" STRATEGY – STARTUP ECOSYSTEM LOCK-IN</w:t>
      </w:r>
      <w:bookmarkEnd w:id="49"/>
    </w:p>
    <w:p>
      <w:pPr>
        <w:spacing w:line="360" w:before="315" w:after="105" w:lineRule="auto"/>
        <w:ind w:left="-30"/>
        <w:jc w:val="left"/>
      </w:pPr>
      <w:bookmarkStart w:id="50" w:name="bm_3_1_deloitte_launchpad_the_numbers"/>
      <w:r>
        <w:rPr>
          <w:rFonts w:eastAsia="inter" w:cs="inter" w:ascii="inter" w:hAnsi="inter"/>
          <w:b/>
          <w:color w:val="000000"/>
          <w:sz w:val="24"/>
        </w:rPr>
        <w:t xml:space="preserve">3.1 Deloitte Launchpad: The Numbers</w:t>
      </w:r>
      <w:bookmarkEnd w:id="50"/>
    </w:p>
    <w:p>
      <w:pPr>
        <w:spacing w:line="360" w:after="210" w:lineRule="auto"/>
      </w:pPr>
      <w:r>
        <w:rPr>
          <w:rFonts w:eastAsia="inter" w:cs="inter" w:ascii="inter" w:hAnsi="inter"/>
          <w:b/>
          <w:color w:val="000000"/>
        </w:rPr>
        <w:t xml:space="preserve">Program Overview</w:t>
      </w:r>
      <w:r>
        <w:rPr>
          <w:rFonts w:eastAsia="inter" w:cs="inter" w:ascii="inter" w:hAnsi="inter"/>
          <w:color w:val="000000"/>
        </w:rPr>
        <w:t xml:space="preserve">:</w:t>
      </w:r>
      <w:bookmarkStart w:id="51" w:name="fnref23"/>
      <w:bookmarkEnd w:id="51"/>
      <w:hyperlink w:anchor="fn23">
        <w:r>
          <w:rPr>
            <w:rFonts w:eastAsia="inter" w:cs="inter" w:ascii="inter" w:hAnsi="inter"/>
            <w:color w:val="#000"/>
            <w:u w:val="single"/>
            <w:vertAlign w:val="superscript"/>
          </w:rPr>
          <w:t xml:space="preserve">[23]</w:t>
        </w:r>
      </w:hyperlink>
      <w:bookmarkStart w:id="52" w:name="fnref24"/>
      <w:bookmarkEnd w:id="52"/>
      <w:hyperlink w:anchor="fn24">
        <w:r>
          <w:rPr>
            <w:rFonts w:eastAsia="inter" w:cs="inter" w:ascii="inter" w:hAnsi="inter"/>
            <w:color w:val="#000"/>
            <w:u w:val="single"/>
            <w:vertAlign w:val="superscript"/>
          </w:rPr>
          <w:t xml:space="preserve">[24]</w:t>
        </w:r>
      </w:hyperlink>
      <w:bookmarkStart w:id="53" w:name="fnref25"/>
      <w:bookmarkEnd w:id="53"/>
      <w:hyperlink w:anchor="fn25">
        <w:r>
          <w:rPr>
            <w:rFonts w:eastAsia="inter" w:cs="inter" w:ascii="inter" w:hAnsi="inter"/>
            <w:color w:val="#000"/>
            <w:u w:val="single"/>
            <w:vertAlign w:val="superscript"/>
          </w:rPr>
          <w:t xml:space="preserve">[25]</w:t>
        </w:r>
      </w:hyperlink>
      <w:bookmarkStart w:id="54" w:name="fnref26"/>
      <w:bookmarkEnd w:id="54"/>
      <w:hyperlink w:anchor="fn26">
        <w:r>
          <w:rPr>
            <w:rFonts w:eastAsia="inter" w:cs="inter" w:ascii="inter" w:hAnsi="inter"/>
            <w:color w:val="#000"/>
            <w:u w:val="single"/>
            <w:vertAlign w:val="superscript"/>
          </w:rPr>
          <w:t xml:space="preserve">[26]</w:t>
        </w:r>
      </w:hyperlink>
      <w:bookmarkStart w:id="55" w:name="fnref27"/>
      <w:bookmarkEnd w:id="55"/>
      <w:hyperlink w:anchor="fn27">
        <w:r>
          <w:rPr>
            <w:rFonts w:eastAsia="inter" w:cs="inter" w:ascii="inter" w:hAnsi="inter"/>
            <w:color w:val="#000"/>
            <w:u w:val="single"/>
            <w:vertAlign w:val="superscript"/>
          </w:rPr>
          <w:t xml:space="preserve">[27]</w:t>
        </w:r>
      </w:hyperlink>
    </w:p>
    <w:p>
      <w:pPr>
        <w:numPr>
          <w:ilvl w:val="0"/>
          <w:numId w:val="18"/>
        </w:numPr>
        <w:spacing w:line="360" w:before="105" w:after="105" w:lineRule="auto"/>
      </w:pPr>
      <w:r>
        <w:rPr>
          <w:rFonts w:eastAsia="inter" w:cs="inter" w:ascii="inter" w:hAnsi="inter"/>
          <w:b/>
          <w:color w:val="000000"/>
          <w:sz w:val="21"/>
        </w:rPr>
        <w:t xml:space="preserve">Founded</w:t>
      </w:r>
      <w:r>
        <w:rPr>
          <w:rFonts w:eastAsia="inter" w:cs="inter" w:ascii="inter" w:hAnsi="inter"/>
          <w:color w:val="000000"/>
          <w:sz w:val="21"/>
        </w:rPr>
        <w:t xml:space="preserve">: 2020 in Israel</w:t>
      </w:r>
    </w:p>
    <w:p>
      <w:pPr>
        <w:numPr>
          <w:ilvl w:val="0"/>
          <w:numId w:val="18"/>
        </w:numPr>
        <w:spacing w:line="360" w:before="105" w:after="105" w:lineRule="auto"/>
      </w:pPr>
      <w:r>
        <w:rPr>
          <w:rFonts w:eastAsia="inter" w:cs="inter" w:ascii="inter" w:hAnsi="inter"/>
          <w:b/>
          <w:color w:val="000000"/>
          <w:sz w:val="21"/>
        </w:rPr>
        <w:t xml:space="preserve">Format</w:t>
      </w:r>
      <w:r>
        <w:rPr>
          <w:rFonts w:eastAsia="inter" w:cs="inter" w:ascii="inter" w:hAnsi="inter"/>
          <w:color w:val="000000"/>
          <w:sz w:val="21"/>
        </w:rPr>
        <w:t xml:space="preserve">: 7-week hybrid mentorship (online + in-person)</w:t>
      </w:r>
    </w:p>
    <w:p>
      <w:pPr>
        <w:numPr>
          <w:ilvl w:val="0"/>
          <w:numId w:val="18"/>
        </w:numPr>
        <w:spacing w:line="360" w:before="105" w:after="105" w:lineRule="auto"/>
      </w:pPr>
      <w:r>
        <w:rPr>
          <w:rFonts w:eastAsia="inter" w:cs="inter" w:ascii="inter" w:hAnsi="inter"/>
          <w:b/>
          <w:color w:val="000000"/>
          <w:sz w:val="21"/>
        </w:rPr>
        <w:t xml:space="preserve">Selection Criteria</w:t>
      </w:r>
      <w:r>
        <w:rPr>
          <w:rFonts w:eastAsia="inter" w:cs="inter" w:ascii="inter" w:hAnsi="inter"/>
          <w:color w:val="000000"/>
          <w:sz w:val="21"/>
        </w:rPr>
        <w:t xml:space="preserve">:</w:t>
      </w:r>
    </w:p>
    <w:p>
      <w:pPr>
        <w:numPr>
          <w:ilvl w:val="1"/>
          <w:numId w:val="18"/>
        </w:numPr>
        <w:spacing w:line="360" w:before="105" w:after="105" w:lineRule="auto"/>
      </w:pPr>
      <w:r>
        <w:rPr>
          <w:rFonts w:eastAsia="inter" w:cs="inter" w:ascii="inter" w:hAnsi="inter"/>
          <w:color w:val="000000"/>
          <w:sz w:val="21"/>
        </w:rPr>
        <w:t xml:space="preserve">Validated product (PMF proof)</w:t>
      </w:r>
    </w:p>
    <w:p>
      <w:pPr>
        <w:numPr>
          <w:ilvl w:val="1"/>
          <w:numId w:val="18"/>
        </w:numPr>
        <w:spacing w:line="360" w:after="210" w:lineRule="auto"/>
        <w:ind w:left="630"/>
      </w:pPr>
      <w:r>
        <w:rPr>
          <w:rFonts w:eastAsia="inter" w:cs="inter" w:ascii="inter" w:hAnsi="inter"/>
          <w:color w:val="000000"/>
          <w:sz w:val="21"/>
        </w:rPr>
        <w:t xml:space="preserve">$500K annual recurring revenue (ARR)</w:t>
      </w:r>
    </w:p>
    <w:p>
      <w:pPr>
        <w:numPr>
          <w:ilvl w:val="1"/>
          <w:numId w:val="18"/>
        </w:numPr>
        <w:spacing w:line="360" w:before="105" w:after="105" w:lineRule="auto"/>
      </w:pPr>
      <w:r>
        <w:rPr>
          <w:rFonts w:eastAsia="inter" w:cs="inter" w:ascii="inter" w:hAnsi="inter"/>
          <w:color w:val="000000"/>
          <w:sz w:val="21"/>
        </w:rPr>
        <w:t xml:space="preserve">Positive year-over-year growth</w:t>
      </w:r>
    </w:p>
    <w:p>
      <w:pPr>
        <w:numPr>
          <w:ilvl w:val="1"/>
          <w:numId w:val="18"/>
        </w:numPr>
        <w:spacing w:line="360" w:before="105" w:after="105" w:lineRule="auto"/>
      </w:pPr>
      <w:r>
        <w:rPr>
          <w:rFonts w:eastAsia="inter" w:cs="inter" w:ascii="inter" w:hAnsi="inter"/>
          <w:color w:val="000000"/>
          <w:sz w:val="21"/>
        </w:rPr>
        <w:t xml:space="preserve">Concrete US expansion plans</w:t>
      </w:r>
    </w:p>
    <w:p>
      <w:pPr>
        <w:spacing w:line="360" w:after="210" w:lineRule="auto"/>
      </w:pPr>
      <w:r>
        <w:rPr>
          <w:rFonts w:eastAsia="inter" w:cs="inter" w:ascii="inter" w:hAnsi="inter"/>
          <w:b/>
          <w:color w:val="000000"/>
        </w:rPr>
        <w:t xml:space="preserve">Track Record (October 2025)</w:t>
      </w:r>
      <w:r>
        <w:rPr>
          <w:rFonts w:eastAsia="inter" w:cs="inter" w:ascii="inter" w:hAnsi="inter"/>
          <w:color w:val="000000"/>
        </w:rPr>
        <w:t xml:space="preserve">:</w:t>
      </w:r>
      <w:bookmarkStart w:id="56" w:name="fnref25_1"/>
      <w:bookmarkEnd w:id="56"/>
      <w:hyperlink w:anchor="fn25">
        <w:r>
          <w:rPr>
            <w:rFonts w:eastAsia="inter" w:cs="inter" w:ascii="inter" w:hAnsi="inter"/>
            <w:color w:val="#000"/>
            <w:u w:val="single"/>
            <w:vertAlign w:val="superscript"/>
          </w:rPr>
          <w:t xml:space="preserve">[25]</w:t>
        </w:r>
      </w:hyperlink>
    </w:p>
    <w:p>
      <w:pPr>
        <w:numPr>
          <w:ilvl w:val="0"/>
          <w:numId w:val="19"/>
        </w:numPr>
        <w:spacing w:line="360" w:before="105" w:after="105" w:lineRule="auto"/>
      </w:pPr>
      <w:r>
        <w:rPr>
          <w:rFonts w:eastAsia="inter" w:cs="inter" w:ascii="inter" w:hAnsi="inter"/>
          <w:b/>
          <w:color w:val="000000"/>
          <w:sz w:val="21"/>
        </w:rPr>
        <w:t xml:space="preserve">93 Israeli companies</w:t>
      </w:r>
      <w:r>
        <w:rPr>
          <w:rFonts w:eastAsia="inter" w:cs="inter" w:ascii="inter" w:hAnsi="inter"/>
          <w:color w:val="000000"/>
          <w:sz w:val="21"/>
        </w:rPr>
        <w:t xml:space="preserve"> graduated across 10 cohorts</w:t>
      </w:r>
    </w:p>
    <w:p>
      <w:pPr>
        <w:numPr>
          <w:ilvl w:val="0"/>
          <w:numId w:val="19"/>
        </w:numPr>
        <w:spacing w:line="360" w:before="105" w:after="105" w:lineRule="auto"/>
      </w:pPr>
      <w:r>
        <w:rPr>
          <w:rFonts w:eastAsia="inter" w:cs="inter" w:ascii="inter" w:hAnsi="inter"/>
          <w:b/>
          <w:color w:val="000000"/>
          <w:sz w:val="21"/>
        </w:rPr>
        <w:t xml:space="preserve">$2.4 billion</w:t>
      </w:r>
      <w:r>
        <w:rPr>
          <w:rFonts w:eastAsia="inter" w:cs="inter" w:ascii="inter" w:hAnsi="inter"/>
          <w:color w:val="000000"/>
          <w:sz w:val="21"/>
        </w:rPr>
        <w:t xml:space="preserve"> collectively raised by alumni</w:t>
      </w:r>
    </w:p>
    <w:p>
      <w:pPr>
        <w:numPr>
          <w:ilvl w:val="0"/>
          <w:numId w:val="19"/>
        </w:numPr>
        <w:spacing w:line="360" w:before="105" w:after="105" w:lineRule="auto"/>
      </w:pPr>
      <w:r>
        <w:rPr>
          <w:rFonts w:eastAsia="inter" w:cs="inter" w:ascii="inter" w:hAnsi="inter"/>
          <w:b/>
          <w:color w:val="000000"/>
          <w:sz w:val="21"/>
        </w:rPr>
        <w:t xml:space="preserve">Recent exits</w:t>
      </w:r>
      <w:r>
        <w:rPr>
          <w:rFonts w:eastAsia="inter" w:cs="inter" w:ascii="inter" w:hAnsi="inter"/>
          <w:color w:val="000000"/>
          <w:sz w:val="21"/>
        </w:rPr>
        <w:t xml:space="preserve"> (past 5 months):</w:t>
      </w:r>
    </w:p>
    <w:p>
      <w:pPr>
        <w:numPr>
          <w:ilvl w:val="1"/>
          <w:numId w:val="19"/>
        </w:numPr>
        <w:spacing w:line="360" w:before="105" w:after="105" w:lineRule="auto"/>
      </w:pPr>
      <w:r>
        <w:rPr>
          <w:rFonts w:eastAsia="inter" w:cs="inter" w:ascii="inter" w:hAnsi="inter"/>
          <w:color w:val="000000"/>
          <w:sz w:val="21"/>
        </w:rPr>
        <w:t xml:space="preserve">DigitalOwl → $200M acquisition (Datavant)</w:t>
      </w:r>
    </w:p>
    <w:p>
      <w:pPr>
        <w:numPr>
          <w:ilvl w:val="1"/>
          <w:numId w:val="19"/>
        </w:numPr>
        <w:spacing w:line="360" w:before="105" w:after="105" w:lineRule="auto"/>
      </w:pPr>
      <w:r>
        <w:rPr>
          <w:rFonts w:eastAsia="inter" w:cs="inter" w:ascii="inter" w:hAnsi="inter"/>
          <w:color w:val="000000"/>
          <w:sz w:val="21"/>
        </w:rPr>
        <w:t xml:space="preserve">Prompt Security → $250M acquisition (SentinelOne)</w:t>
      </w:r>
    </w:p>
    <w:p>
      <w:pPr>
        <w:numPr>
          <w:ilvl w:val="1"/>
          <w:numId w:val="19"/>
        </w:numPr>
        <w:spacing w:line="360" w:before="105" w:after="105" w:lineRule="auto"/>
      </w:pPr>
      <w:r>
        <w:rPr>
          <w:rFonts w:eastAsia="inter" w:cs="inter" w:ascii="inter" w:hAnsi="inter"/>
          <w:color w:val="000000"/>
          <w:sz w:val="21"/>
        </w:rPr>
        <w:t xml:space="preserve">Satori → Integration (Commvault)</w:t>
      </w:r>
    </w:p>
    <w:p>
      <w:pPr>
        <w:spacing w:line="360" w:after="210" w:lineRule="auto"/>
      </w:pPr>
      <w:r>
        <w:rPr>
          <w:rFonts w:eastAsia="inter" w:cs="inter" w:ascii="inter" w:hAnsi="inter"/>
          <w:b/>
          <w:color w:val="000000"/>
        </w:rPr>
        <w:t xml:space="preserve">Cohort Activity</w:t>
      </w:r>
      <w:r>
        <w:rPr>
          <w:rFonts w:eastAsia="inter" w:cs="inter" w:ascii="inter" w:hAnsi="inter"/>
          <w:color w:val="000000"/>
        </w:rPr>
        <w:t xml:space="preserve">:</w:t>
      </w:r>
      <w:bookmarkStart w:id="57" w:name="fnref24_1"/>
      <w:bookmarkEnd w:id="57"/>
      <w:hyperlink w:anchor="fn24">
        <w:r>
          <w:rPr>
            <w:rFonts w:eastAsia="inter" w:cs="inter" w:ascii="inter" w:hAnsi="inter"/>
            <w:color w:val="#000"/>
            <w:u w:val="single"/>
            <w:vertAlign w:val="superscript"/>
          </w:rPr>
          <w:t xml:space="preserve">[24]</w:t>
        </w:r>
      </w:hyperlink>
      <w:bookmarkStart w:id="58" w:name="fnref23_1"/>
      <w:bookmarkEnd w:id="58"/>
      <w:hyperlink w:anchor="fn23">
        <w:r>
          <w:rPr>
            <w:rFonts w:eastAsia="inter" w:cs="inter" w:ascii="inter" w:hAnsi="inter"/>
            <w:color w:val="#000"/>
            <w:u w:val="single"/>
            <w:vertAlign w:val="superscript"/>
          </w:rPr>
          <w:t xml:space="preserve">[23]</w:t>
        </w:r>
      </w:hyperlink>
    </w:p>
    <w:p>
      <w:pPr>
        <w:numPr>
          <w:ilvl w:val="0"/>
          <w:numId w:val="20"/>
        </w:numPr>
        <w:spacing w:line="360" w:before="105" w:after="105" w:lineRule="auto"/>
      </w:pPr>
      <w:r>
        <w:rPr>
          <w:rFonts w:eastAsia="inter" w:cs="inter" w:ascii="inter" w:hAnsi="inter"/>
          <w:b/>
          <w:color w:val="000000"/>
          <w:sz w:val="21"/>
        </w:rPr>
        <w:t xml:space="preserve">Cohort 7 (May 2024)</w:t>
      </w:r>
      <w:r>
        <w:rPr>
          <w:rFonts w:eastAsia="inter" w:cs="inter" w:ascii="inter" w:hAnsi="inter"/>
          <w:color w:val="000000"/>
          <w:sz w:val="21"/>
        </w:rPr>
        <w:t xml:space="preserve">: 10 companies (Cyabra, Clarity, Juno Journey, LayerX, Ludeo, Opmed, Prompt Security, Trustmi, Winn, Zoog)</w:t>
      </w:r>
    </w:p>
    <w:p>
      <w:pPr>
        <w:numPr>
          <w:ilvl w:val="0"/>
          <w:numId w:val="20"/>
        </w:numPr>
        <w:spacing w:line="360" w:before="105" w:after="105" w:lineRule="auto"/>
      </w:pPr>
      <w:r>
        <w:rPr>
          <w:rFonts w:eastAsia="inter" w:cs="inter" w:ascii="inter" w:hAnsi="inter"/>
          <w:b/>
          <w:color w:val="000000"/>
          <w:sz w:val="21"/>
        </w:rPr>
        <w:t xml:space="preserve">Cohort 10 (October 2025)</w:t>
      </w:r>
      <w:r>
        <w:rPr>
          <w:rFonts w:eastAsia="inter" w:cs="inter" w:ascii="inter" w:hAnsi="inter"/>
          <w:color w:val="000000"/>
          <w:sz w:val="21"/>
        </w:rPr>
        <w:t xml:space="preserve">: 9 companies continuing</w:t>
      </w:r>
    </w:p>
    <w:p>
      <w:pPr>
        <w:spacing w:line="360" w:after="210" w:lineRule="auto"/>
      </w:pPr>
      <w:r>
        <w:rPr>
          <w:rFonts w:eastAsia="inter" w:cs="inter" w:ascii="inter" w:hAnsi="inter"/>
          <w:b/>
          <w:color w:val="000000"/>
        </w:rPr>
        <w:t xml:space="preserve">Recent Notable Participants</w:t>
      </w:r>
      <w:r>
        <w:rPr>
          <w:rFonts w:eastAsia="inter" w:cs="inter" w:ascii="inter" w:hAnsi="inter"/>
          <w:color w:val="000000"/>
        </w:rPr>
        <w:t xml:space="preserve">:</w:t>
      </w:r>
      <w:bookmarkStart w:id="59" w:name="fnref23_2"/>
      <w:bookmarkEnd w:id="59"/>
      <w:hyperlink w:anchor="fn23">
        <w:r>
          <w:rPr>
            <w:rFonts w:eastAsia="inter" w:cs="inter" w:ascii="inter" w:hAnsi="inter"/>
            <w:color w:val="#000"/>
            <w:u w:val="single"/>
            <w:vertAlign w:val="superscript"/>
          </w:rPr>
          <w:t xml:space="preserve">[23]</w:t>
        </w:r>
      </w:hyperlink>
      <w:bookmarkStart w:id="60" w:name="fnref24_2"/>
      <w:bookmarkEnd w:id="60"/>
      <w:hyperlink w:anchor="fn24">
        <w:r>
          <w:rPr>
            <w:rFonts w:eastAsia="inter" w:cs="inter" w:ascii="inter" w:hAnsi="inter"/>
            <w:color w:val="#000"/>
            <w:u w:val="single"/>
            <w:vertAlign w:val="superscript"/>
          </w:rPr>
          <w:t xml:space="preserve">[24]</w:t>
        </w:r>
      </w:hyperlink>
    </w:p>
    <w:p>
      <w:pPr>
        <w:numPr>
          <w:ilvl w:val="0"/>
          <w:numId w:val="21"/>
        </w:numPr>
        <w:spacing w:line="360" w:before="105" w:after="105" w:lineRule="auto"/>
      </w:pPr>
      <w:r>
        <w:rPr>
          <w:rFonts w:eastAsia="inter" w:cs="inter" w:ascii="inter" w:hAnsi="inter"/>
          <w:b/>
          <w:color w:val="000000"/>
          <w:sz w:val="21"/>
        </w:rPr>
        <w:t xml:space="preserve">Cyabra</w:t>
      </w:r>
      <w:r>
        <w:rPr>
          <w:rFonts w:eastAsia="inter" w:cs="inter" w:ascii="inter" w:hAnsi="inter"/>
          <w:color w:val="000000"/>
          <w:sz w:val="21"/>
        </w:rPr>
        <w:t xml:space="preserve">: Social media disinformation detection platform</w:t>
      </w:r>
    </w:p>
    <w:p>
      <w:pPr>
        <w:numPr>
          <w:ilvl w:val="0"/>
          <w:numId w:val="21"/>
        </w:numPr>
        <w:spacing w:line="360" w:before="105" w:after="105" w:lineRule="auto"/>
      </w:pPr>
      <w:r>
        <w:rPr>
          <w:rFonts w:eastAsia="inter" w:cs="inter" w:ascii="inter" w:hAnsi="inter"/>
          <w:b/>
          <w:color w:val="000000"/>
          <w:sz w:val="21"/>
        </w:rPr>
        <w:t xml:space="preserve">Clarity</w:t>
      </w:r>
      <w:r>
        <w:rPr>
          <w:rFonts w:eastAsia="inter" w:cs="inter" w:ascii="inter" w:hAnsi="inter"/>
          <w:color w:val="000000"/>
          <w:sz w:val="21"/>
        </w:rPr>
        <w:t xml:space="preserve">: AI deepfake detection</w:t>
      </w:r>
    </w:p>
    <w:p>
      <w:pPr>
        <w:numPr>
          <w:ilvl w:val="0"/>
          <w:numId w:val="21"/>
        </w:numPr>
        <w:spacing w:line="360" w:before="105" w:after="105" w:lineRule="auto"/>
      </w:pPr>
      <w:r>
        <w:rPr>
          <w:rFonts w:eastAsia="inter" w:cs="inter" w:ascii="inter" w:hAnsi="inter"/>
          <w:b/>
          <w:color w:val="000000"/>
          <w:sz w:val="21"/>
        </w:rPr>
        <w:t xml:space="preserve">Juno Journey</w:t>
      </w:r>
      <w:r>
        <w:rPr>
          <w:rFonts w:eastAsia="inter" w:cs="inter" w:ascii="inter" w:hAnsi="inter"/>
          <w:color w:val="000000"/>
          <w:sz w:val="21"/>
        </w:rPr>
        <w:t xml:space="preserve">: AI employee development platform</w:t>
      </w:r>
    </w:p>
    <w:p>
      <w:pPr>
        <w:numPr>
          <w:ilvl w:val="0"/>
          <w:numId w:val="21"/>
        </w:numPr>
        <w:spacing w:line="360" w:before="105" w:after="105" w:lineRule="auto"/>
      </w:pPr>
      <w:r>
        <w:rPr>
          <w:rFonts w:eastAsia="inter" w:cs="inter" w:ascii="inter" w:hAnsi="inter"/>
          <w:b/>
          <w:color w:val="000000"/>
          <w:sz w:val="21"/>
        </w:rPr>
        <w:t xml:space="preserve">LayerX</w:t>
      </w:r>
      <w:r>
        <w:rPr>
          <w:rFonts w:eastAsia="inter" w:cs="inter" w:ascii="inter" w:hAnsi="inter"/>
          <w:color w:val="000000"/>
          <w:sz w:val="21"/>
        </w:rPr>
        <w:t xml:space="preserve">: Browser security platform</w:t>
      </w:r>
    </w:p>
    <w:p>
      <w:pPr>
        <w:numPr>
          <w:ilvl w:val="0"/>
          <w:numId w:val="21"/>
        </w:numPr>
        <w:spacing w:line="360" w:before="105" w:after="105" w:lineRule="auto"/>
      </w:pPr>
      <w:r>
        <w:rPr>
          <w:rFonts w:eastAsia="inter" w:cs="inter" w:ascii="inter" w:hAnsi="inter"/>
          <w:b/>
          <w:color w:val="000000"/>
          <w:sz w:val="21"/>
        </w:rPr>
        <w:t xml:space="preserve">Opmed</w:t>
      </w:r>
      <w:r>
        <w:rPr>
          <w:rFonts w:eastAsia="inter" w:cs="inter" w:ascii="inter" w:hAnsi="inter"/>
          <w:color w:val="000000"/>
          <w:sz w:val="21"/>
        </w:rPr>
        <w:t xml:space="preserve">: AI hospital scheduling optimizer</w:t>
      </w:r>
    </w:p>
    <w:p>
      <w:pPr>
        <w:numPr>
          <w:ilvl w:val="0"/>
          <w:numId w:val="21"/>
        </w:numPr>
        <w:spacing w:line="360" w:before="105" w:after="105" w:lineRule="auto"/>
      </w:pPr>
      <w:r>
        <w:rPr>
          <w:rFonts w:eastAsia="inter" w:cs="inter" w:ascii="inter" w:hAnsi="inter"/>
          <w:b/>
          <w:color w:val="000000"/>
          <w:sz w:val="21"/>
        </w:rPr>
        <w:t xml:space="preserve">Prompt Security</w:t>
      </w:r>
      <w:r>
        <w:rPr>
          <w:rFonts w:eastAsia="inter" w:cs="inter" w:ascii="inter" w:hAnsi="inter"/>
          <w:color w:val="000000"/>
          <w:sz w:val="21"/>
        </w:rPr>
        <w:t xml:space="preserve">: GenAI security and compliance</w:t>
      </w:r>
    </w:p>
    <w:p>
      <w:pPr>
        <w:numPr>
          <w:ilvl w:val="0"/>
          <w:numId w:val="21"/>
        </w:numPr>
        <w:spacing w:line="360" w:before="105" w:after="105" w:lineRule="auto"/>
      </w:pPr>
      <w:r>
        <w:rPr>
          <w:rFonts w:eastAsia="inter" w:cs="inter" w:ascii="inter" w:hAnsi="inter"/>
          <w:b/>
          <w:color w:val="000000"/>
          <w:sz w:val="21"/>
        </w:rPr>
        <w:t xml:space="preserve">Trustmi</w:t>
      </w:r>
      <w:r>
        <w:rPr>
          <w:rFonts w:eastAsia="inter" w:cs="inter" w:ascii="inter" w:hAnsi="inter"/>
          <w:color w:val="000000"/>
          <w:sz w:val="21"/>
        </w:rPr>
        <w:t xml:space="preserve">: Payment security fintech</w:t>
      </w:r>
    </w:p>
    <w:p>
      <w:pPr>
        <w:numPr>
          <w:ilvl w:val="0"/>
          <w:numId w:val="21"/>
        </w:numPr>
        <w:spacing w:line="360" w:before="105" w:after="105" w:lineRule="auto"/>
      </w:pPr>
      <w:r>
        <w:rPr>
          <w:rFonts w:eastAsia="inter" w:cs="inter" w:ascii="inter" w:hAnsi="inter"/>
          <w:b/>
          <w:color w:val="000000"/>
          <w:sz w:val="21"/>
        </w:rPr>
      </w:r>
      <w:hyperlink r:id="rId7">
        <w:r>
          <w:rPr>
            <w:rFonts w:eastAsia="inter" w:cs="inter" w:ascii="inter" w:hAnsi="inter"/>
            <w:b/>
            <w:color w:val="#000"/>
            <w:sz w:val="21"/>
            <w:u w:val="single"/>
          </w:rPr>
          <w:t xml:space="preserve">Winn.ai</w:t>
        </w:r>
      </w:hyperlink>
      <w:r>
        <w:rPr>
          <w:rFonts w:eastAsia="inter" w:cs="inter" w:ascii="inter" w:hAnsi="inter"/>
          <w:color w:val="000000"/>
          <w:sz w:val="21"/>
        </w:rPr>
        <w:t xml:space="preserve">: Real-time sales team AI assistant</w:t>
      </w:r>
    </w:p>
    <w:p>
      <w:pPr>
        <w:numPr>
          <w:ilvl w:val="0"/>
          <w:numId w:val="21"/>
        </w:numPr>
        <w:spacing w:line="360" w:before="105" w:after="105" w:lineRule="auto"/>
      </w:pPr>
      <w:r>
        <w:rPr>
          <w:rFonts w:eastAsia="inter" w:cs="inter" w:ascii="inter" w:hAnsi="inter"/>
          <w:b/>
          <w:color w:val="000000"/>
          <w:sz w:val="21"/>
        </w:rPr>
        <w:t xml:space="preserve">Zoog</w:t>
      </w:r>
      <w:r>
        <w:rPr>
          <w:rFonts w:eastAsia="inter" w:cs="inter" w:ascii="inter" w:hAnsi="inter"/>
          <w:color w:val="000000"/>
          <w:sz w:val="21"/>
        </w:rPr>
        <w:t xml:space="preserve">: AR storytelling for families</w:t>
      </w:r>
    </w:p>
    <w:p>
      <w:pPr>
        <w:spacing w:line="360" w:before="315" w:after="105" w:lineRule="auto"/>
        <w:ind w:left="-30"/>
        <w:jc w:val="left"/>
      </w:pPr>
      <w:bookmarkStart w:id="61" w:name="bm_3_2_catalyst_ecosystem_program"/>
      <w:r>
        <w:rPr>
          <w:rFonts w:eastAsia="inter" w:cs="inter" w:ascii="inter" w:hAnsi="inter"/>
          <w:b/>
          <w:color w:val="000000"/>
          <w:sz w:val="24"/>
        </w:rPr>
        <w:t xml:space="preserve">3.2 Catalyst Ecosystem Program</w:t>
      </w:r>
      <w:bookmarkEnd w:id="61"/>
    </w:p>
    <w:p>
      <w:pPr>
        <w:spacing w:line="360" w:after="210" w:lineRule="auto"/>
      </w:pPr>
      <w:r>
        <w:rPr>
          <w:rFonts w:eastAsia="inter" w:cs="inter" w:ascii="inter" w:hAnsi="inter"/>
          <w:b/>
          <w:color w:val="000000"/>
        </w:rPr>
        <w:t xml:space="preserve">Broader Services</w:t>
      </w:r>
      <w:r>
        <w:rPr>
          <w:rFonts w:eastAsia="inter" w:cs="inter" w:ascii="inter" w:hAnsi="inter"/>
          <w:color w:val="000000"/>
        </w:rPr>
        <w:t xml:space="preserve">:</w:t>
      </w:r>
      <w:bookmarkStart w:id="62" w:name="fnref28"/>
      <w:bookmarkEnd w:id="62"/>
      <w:hyperlink w:anchor="fn28">
        <w:r>
          <w:rPr>
            <w:rFonts w:eastAsia="inter" w:cs="inter" w:ascii="inter" w:hAnsi="inter"/>
            <w:color w:val="#000"/>
            <w:u w:val="single"/>
            <w:vertAlign w:val="superscript"/>
          </w:rPr>
          <w:t xml:space="preserve">[28]</w:t>
        </w:r>
      </w:hyperlink>
      <w:bookmarkStart w:id="63" w:name="fnref29"/>
      <w:bookmarkEnd w:id="63"/>
      <w:hyperlink w:anchor="fn29">
        <w:r>
          <w:rPr>
            <w:rFonts w:eastAsia="inter" w:cs="inter" w:ascii="inter" w:hAnsi="inter"/>
            <w:color w:val="#000"/>
            <w:u w:val="single"/>
            <w:vertAlign w:val="superscript"/>
          </w:rPr>
          <w:t xml:space="preserve">[29]</w:t>
        </w:r>
      </w:hyperlink>
      <w:bookmarkStart w:id="64" w:name="fnref30"/>
      <w:bookmarkEnd w:id="64"/>
      <w:hyperlink w:anchor="fn30">
        <w:r>
          <w:rPr>
            <w:rFonts w:eastAsia="inter" w:cs="inter" w:ascii="inter" w:hAnsi="inter"/>
            <w:color w:val="#000"/>
            <w:u w:val="single"/>
            <w:vertAlign w:val="superscript"/>
          </w:rPr>
          <w:t xml:space="preserve">[30]</w:t>
        </w:r>
      </w:hyperlink>
    </w:p>
    <w:p>
      <w:pPr>
        <w:numPr>
          <w:ilvl w:val="0"/>
          <w:numId w:val="22"/>
        </w:numPr>
        <w:spacing w:line="360" w:before="105" w:after="105" w:lineRule="auto"/>
      </w:pPr>
      <w:r>
        <w:rPr>
          <w:rFonts w:eastAsia="inter" w:cs="inter" w:ascii="inter" w:hAnsi="inter"/>
          <w:b/>
          <w:color w:val="000000"/>
          <w:sz w:val="21"/>
        </w:rPr>
        <w:t xml:space="preserve">Scouting</w:t>
      </w:r>
      <w:r>
        <w:rPr>
          <w:rFonts w:eastAsia="inter" w:cs="inter" w:ascii="inter" w:hAnsi="inter"/>
          <w:color w:val="000000"/>
          <w:sz w:val="21"/>
        </w:rPr>
        <w:t xml:space="preserve">: Israeli startup ecosystem discovery (12+ tech domains)</w:t>
      </w:r>
    </w:p>
    <w:p>
      <w:pPr>
        <w:numPr>
          <w:ilvl w:val="0"/>
          <w:numId w:val="22"/>
        </w:numPr>
        <w:spacing w:line="360" w:before="105" w:after="105" w:lineRule="auto"/>
      </w:pPr>
      <w:r>
        <w:rPr>
          <w:rFonts w:eastAsia="inter" w:cs="inter" w:ascii="inter" w:hAnsi="inter"/>
          <w:b/>
          <w:color w:val="000000"/>
          <w:sz w:val="21"/>
        </w:rPr>
        <w:t xml:space="preserve">Immersion</w:t>
      </w:r>
      <w:r>
        <w:rPr>
          <w:rFonts w:eastAsia="inter" w:cs="inter" w:ascii="inter" w:hAnsi="inter"/>
          <w:color w:val="000000"/>
          <w:sz w:val="21"/>
        </w:rPr>
        <w:t xml:space="preserve">: Enterprise-startup relationship brokering (connect Israeli startups to Deloitte's global clients)</w:t>
      </w:r>
    </w:p>
    <w:p>
      <w:pPr>
        <w:numPr>
          <w:ilvl w:val="0"/>
          <w:numId w:val="22"/>
        </w:numPr>
        <w:spacing w:line="360" w:before="105" w:after="105" w:lineRule="auto"/>
      </w:pPr>
      <w:r>
        <w:rPr>
          <w:rFonts w:eastAsia="inter" w:cs="inter" w:ascii="inter" w:hAnsi="inter"/>
          <w:b/>
          <w:color w:val="000000"/>
          <w:sz w:val="21"/>
        </w:rPr>
        <w:t xml:space="preserve">Soft Landing</w:t>
      </w:r>
      <w:r>
        <w:rPr>
          <w:rFonts w:eastAsia="inter" w:cs="inter" w:ascii="inter" w:hAnsi="inter"/>
          <w:color w:val="000000"/>
          <w:sz w:val="21"/>
        </w:rPr>
        <w:t xml:space="preserve">: US market entry support (operations, sales, VC access)</w:t>
      </w:r>
    </w:p>
    <w:p>
      <w:pPr>
        <w:numPr>
          <w:ilvl w:val="0"/>
          <w:numId w:val="22"/>
        </w:numPr>
        <w:spacing w:line="360" w:before="105" w:after="105" w:lineRule="auto"/>
      </w:pPr>
      <w:r>
        <w:rPr>
          <w:rFonts w:eastAsia="inter" w:cs="inter" w:ascii="inter" w:hAnsi="inter"/>
          <w:b/>
          <w:color w:val="000000"/>
          <w:sz w:val="21"/>
        </w:rPr>
        <w:t xml:space="preserve">Incubation Hubs</w:t>
      </w:r>
      <w:r>
        <w:rPr>
          <w:rFonts w:eastAsia="inter" w:cs="inter" w:ascii="inter" w:hAnsi="inter"/>
          <w:color w:val="000000"/>
          <w:sz w:val="21"/>
        </w:rPr>
        <w:t xml:space="preserve">: Co-development spaces bringing startups + enterprises together</w:t>
      </w:r>
    </w:p>
    <w:p>
      <w:pPr>
        <w:spacing w:line="360" w:after="210" w:lineRule="auto"/>
      </w:pPr>
      <w:r>
        <w:rPr>
          <w:rFonts w:eastAsia="inter" w:cs="inter" w:ascii="inter" w:hAnsi="inter"/>
          <w:b/>
          <w:color w:val="000000"/>
        </w:rPr>
        <w:t xml:space="preserve">Sectors Covered</w:t>
      </w:r>
      <w:r>
        <w:rPr>
          <w:rFonts w:eastAsia="inter" w:cs="inter" w:ascii="inter" w:hAnsi="inter"/>
          <w:color w:val="000000"/>
        </w:rPr>
        <w:t xml:space="preserve">:</w:t>
      </w:r>
    </w:p>
    <w:p>
      <w:pPr>
        <w:numPr>
          <w:ilvl w:val="0"/>
          <w:numId w:val="23"/>
        </w:numPr>
        <w:spacing w:line="360" w:before="105" w:after="105" w:lineRule="auto"/>
      </w:pPr>
      <w:r>
        <w:rPr>
          <w:rFonts w:eastAsia="inter" w:cs="inter" w:ascii="inter" w:hAnsi="inter"/>
          <w:color w:val="000000"/>
          <w:sz w:val="21"/>
        </w:rPr>
        <w:t xml:space="preserve">FinTech &amp; Blockchain</w:t>
      </w:r>
    </w:p>
    <w:p>
      <w:pPr>
        <w:numPr>
          <w:ilvl w:val="0"/>
          <w:numId w:val="23"/>
        </w:numPr>
        <w:spacing w:line="360" w:before="105" w:after="105" w:lineRule="auto"/>
      </w:pPr>
      <w:r>
        <w:rPr>
          <w:rFonts w:eastAsia="inter" w:cs="inter" w:ascii="inter" w:hAnsi="inter"/>
          <w:color w:val="000000"/>
          <w:sz w:val="21"/>
        </w:rPr>
        <w:t xml:space="preserve">InsurTech</w:t>
      </w:r>
    </w:p>
    <w:p>
      <w:pPr>
        <w:numPr>
          <w:ilvl w:val="0"/>
          <w:numId w:val="23"/>
        </w:numPr>
        <w:spacing w:line="360" w:before="105" w:after="105" w:lineRule="auto"/>
      </w:pPr>
      <w:r>
        <w:rPr>
          <w:rFonts w:eastAsia="inter" w:cs="inter" w:ascii="inter" w:hAnsi="inter"/>
          <w:color w:val="000000"/>
          <w:sz w:val="21"/>
        </w:rPr>
        <w:t xml:space="preserve">Cyber Security (450+ Israeli cybersecurity startups, 100+ AI-Cyber focused)</w:t>
      </w:r>
      <w:bookmarkStart w:id="65" w:name="fnref31"/>
      <w:bookmarkEnd w:id="65"/>
      <w:hyperlink w:anchor="fn31">
        <w:r>
          <w:rPr>
            <w:rFonts w:eastAsia="inter" w:cs="inter" w:ascii="inter" w:hAnsi="inter"/>
            <w:color w:val="#000"/>
            <w:sz w:val="21"/>
            <w:u w:val="single"/>
            <w:vertAlign w:val="superscript"/>
          </w:rPr>
          <w:t xml:space="preserve">[31]</w:t>
        </w:r>
      </w:hyperlink>
    </w:p>
    <w:p>
      <w:pPr>
        <w:numPr>
          <w:ilvl w:val="0"/>
          <w:numId w:val="23"/>
        </w:numPr>
        <w:spacing w:line="360" w:before="105" w:after="105" w:lineRule="auto"/>
      </w:pPr>
      <w:r>
        <w:rPr>
          <w:rFonts w:eastAsia="inter" w:cs="inter" w:ascii="inter" w:hAnsi="inter"/>
          <w:color w:val="000000"/>
          <w:sz w:val="21"/>
        </w:rPr>
        <w:t xml:space="preserve">Cloud Infrastructure</w:t>
      </w:r>
    </w:p>
    <w:p>
      <w:pPr>
        <w:numPr>
          <w:ilvl w:val="0"/>
          <w:numId w:val="23"/>
        </w:numPr>
        <w:spacing w:line="360" w:before="105" w:after="105" w:lineRule="auto"/>
      </w:pPr>
      <w:r>
        <w:rPr>
          <w:rFonts w:eastAsia="inter" w:cs="inter" w:ascii="inter" w:hAnsi="inter"/>
          <w:color w:val="000000"/>
          <w:sz w:val="21"/>
        </w:rPr>
        <w:t xml:space="preserve">Life Sciences &amp; Healthcare</w:t>
      </w:r>
    </w:p>
    <w:p>
      <w:pPr>
        <w:numPr>
          <w:ilvl w:val="0"/>
          <w:numId w:val="23"/>
        </w:numPr>
        <w:spacing w:line="360" w:before="105" w:after="105" w:lineRule="auto"/>
      </w:pPr>
      <w:r>
        <w:rPr>
          <w:rFonts w:eastAsia="inter" w:cs="inter" w:ascii="inter" w:hAnsi="inter"/>
          <w:color w:val="000000"/>
          <w:sz w:val="21"/>
        </w:rPr>
        <w:t xml:space="preserve">RetailTech</w:t>
      </w:r>
    </w:p>
    <w:p>
      <w:pPr>
        <w:numPr>
          <w:ilvl w:val="0"/>
          <w:numId w:val="23"/>
        </w:numPr>
        <w:spacing w:line="360" w:before="105" w:after="105" w:lineRule="auto"/>
      </w:pPr>
      <w:r>
        <w:rPr>
          <w:rFonts w:eastAsia="inter" w:cs="inter" w:ascii="inter" w:hAnsi="inter"/>
          <w:color w:val="000000"/>
          <w:sz w:val="21"/>
        </w:rPr>
        <w:t xml:space="preserve">Mobility &amp; Autonomous Vehicles</w:t>
      </w:r>
    </w:p>
    <w:p>
      <w:pPr>
        <w:numPr>
          <w:ilvl w:val="0"/>
          <w:numId w:val="23"/>
        </w:numPr>
        <w:spacing w:line="360" w:before="105" w:after="105" w:lineRule="auto"/>
      </w:pPr>
      <w:r>
        <w:rPr>
          <w:rFonts w:eastAsia="inter" w:cs="inter" w:ascii="inter" w:hAnsi="inter"/>
          <w:color w:val="000000"/>
          <w:sz w:val="21"/>
        </w:rPr>
        <w:t xml:space="preserve">Industry 4.0</w:t>
      </w:r>
    </w:p>
    <w:p>
      <w:pPr>
        <w:spacing w:line="360" w:before="315" w:after="105" w:lineRule="auto"/>
        <w:ind w:left="-30"/>
        <w:jc w:val="left"/>
      </w:pPr>
      <w:bookmarkStart w:id="66" w:name="bm_3_3_the_broker_model_how_deloi_51850d"/>
      <w:r>
        <w:rPr>
          <w:rFonts w:eastAsia="inter" w:cs="inter" w:ascii="inter" w:hAnsi="inter"/>
          <w:b/>
          <w:color w:val="000000"/>
          <w:sz w:val="24"/>
        </w:rPr>
        <w:t xml:space="preserve">3.3 The Broker Model: How Deloitte Monetizes</w:t>
      </w:r>
      <w:bookmarkEnd w:id="66"/>
    </w:p>
    <w:p>
      <w:pPr>
        <w:spacing w:line="360" w:after="210" w:lineRule="auto"/>
      </w:pPr>
      <w:r>
        <w:rPr>
          <w:rFonts w:eastAsia="inter" w:cs="inter" w:ascii="inter" w:hAnsi="inter"/>
          <w:b/>
          <w:color w:val="000000"/>
        </w:rPr>
        <w:t xml:space="preserve">The Loop</w:t>
      </w:r>
      <w:r>
        <w:rPr>
          <w:rFonts w:eastAsia="inter" w:cs="inter" w:ascii="inter" w:hAnsi="inter"/>
          <w:color w:val="000000"/>
        </w:rPr>
        <w:t xml:space="preserve">:</w:t>
      </w:r>
    </w:p>
    <w:p>
      <w:pPr>
        <w:numPr>
          <w:ilvl w:val="0"/>
          <w:numId w:val="24"/>
        </w:numPr>
        <w:spacing w:line="360" w:before="105" w:after="105" w:lineRule="auto"/>
      </w:pPr>
      <w:r>
        <w:rPr>
          <w:rFonts w:eastAsia="inter" w:cs="inter" w:ascii="inter" w:hAnsi="inter"/>
          <w:b/>
          <w:color w:val="000000"/>
          <w:sz w:val="21"/>
        </w:rPr>
        <w:t xml:space="preserve">Scout</w:t>
      </w:r>
      <w:r>
        <w:rPr>
          <w:rFonts w:eastAsia="inter" w:cs="inter" w:ascii="inter" w:hAnsi="inter"/>
          <w:color w:val="000000"/>
          <w:sz w:val="21"/>
        </w:rPr>
        <w:t xml:space="preserve">: Identify emerging Israeli startups (AI safety, cybersecurity, HR tech, supply chain, etc.)</w:t>
      </w:r>
    </w:p>
    <w:p>
      <w:pPr>
        <w:numPr>
          <w:ilvl w:val="0"/>
          <w:numId w:val="24"/>
        </w:numPr>
        <w:spacing w:line="360" w:before="105" w:after="105" w:lineRule="auto"/>
      </w:pPr>
      <w:r>
        <w:rPr>
          <w:rFonts w:eastAsia="inter" w:cs="inter" w:ascii="inter" w:hAnsi="inter"/>
          <w:b/>
          <w:color w:val="000000"/>
          <w:sz w:val="21"/>
        </w:rPr>
        <w:t xml:space="preserve">Vet</w:t>
      </w:r>
      <w:r>
        <w:rPr>
          <w:rFonts w:eastAsia="inter" w:cs="inter" w:ascii="inter" w:hAnsi="inter"/>
          <w:color w:val="000000"/>
          <w:sz w:val="21"/>
        </w:rPr>
        <w:t xml:space="preserve">: Apply Launchpad selection criteria (PMF, ARR, growth, expansion intent)</w:t>
      </w:r>
    </w:p>
    <w:p>
      <w:pPr>
        <w:numPr>
          <w:ilvl w:val="0"/>
          <w:numId w:val="24"/>
        </w:numPr>
        <w:spacing w:line="360" w:before="105" w:after="105" w:lineRule="auto"/>
      </w:pPr>
      <w:r>
        <w:rPr>
          <w:rFonts w:eastAsia="inter" w:cs="inter" w:ascii="inter" w:hAnsi="inter"/>
          <w:b/>
          <w:color w:val="000000"/>
          <w:sz w:val="21"/>
        </w:rPr>
        <w:t xml:space="preserve">Mentor</w:t>
      </w:r>
      <w:r>
        <w:rPr>
          <w:rFonts w:eastAsia="inter" w:cs="inter" w:ascii="inter" w:hAnsi="inter"/>
          <w:color w:val="000000"/>
          <w:sz w:val="21"/>
        </w:rPr>
        <w:t xml:space="preserve">: 7-week intensive program in Israel and New York</w:t>
      </w:r>
    </w:p>
    <w:p>
      <w:pPr>
        <w:numPr>
          <w:ilvl w:val="0"/>
          <w:numId w:val="24"/>
        </w:numPr>
        <w:spacing w:line="360" w:before="105" w:after="105" w:lineRule="auto"/>
      </w:pPr>
      <w:r>
        <w:rPr>
          <w:rFonts w:eastAsia="inter" w:cs="inter" w:ascii="inter" w:hAnsi="inter"/>
          <w:b/>
          <w:color w:val="000000"/>
          <w:sz w:val="21"/>
        </w:rPr>
        <w:t xml:space="preserve">Introduce</w:t>
      </w:r>
      <w:r>
        <w:rPr>
          <w:rFonts w:eastAsia="inter" w:cs="inter" w:ascii="inter" w:hAnsi="inter"/>
          <w:color w:val="000000"/>
          <w:sz w:val="21"/>
        </w:rPr>
        <w:t xml:space="preserve">: Connect to Deloitte's global enterprise client base (90% of Fortune 500)</w:t>
      </w:r>
    </w:p>
    <w:p>
      <w:pPr>
        <w:numPr>
          <w:ilvl w:val="0"/>
          <w:numId w:val="24"/>
        </w:numPr>
        <w:spacing w:line="360" w:before="105" w:after="105" w:lineRule="auto"/>
      </w:pPr>
      <w:r>
        <w:rPr>
          <w:rFonts w:eastAsia="inter" w:cs="inter" w:ascii="inter" w:hAnsi="inter"/>
          <w:b/>
          <w:color w:val="000000"/>
          <w:sz w:val="21"/>
        </w:rPr>
        <w:t xml:space="preserve">Integrate</w:t>
      </w:r>
      <w:r>
        <w:rPr>
          <w:rFonts w:eastAsia="inter" w:cs="inter" w:ascii="inter" w:hAnsi="inter"/>
          <w:color w:val="000000"/>
          <w:sz w:val="21"/>
        </w:rPr>
        <w:t xml:space="preserve">: Broker startup tech into Deloitte client engagements</w:t>
      </w:r>
    </w:p>
    <w:p>
      <w:pPr>
        <w:numPr>
          <w:ilvl w:val="0"/>
          <w:numId w:val="24"/>
        </w:numPr>
        <w:spacing w:line="360" w:before="105" w:after="105" w:lineRule="auto"/>
      </w:pPr>
      <w:r>
        <w:rPr>
          <w:rFonts w:eastAsia="inter" w:cs="inter" w:ascii="inter" w:hAnsi="inter"/>
          <w:b/>
          <w:color w:val="000000"/>
          <w:sz w:val="21"/>
        </w:rPr>
        <w:t xml:space="preserve">Monetize</w:t>
      </w:r>
      <w:r>
        <w:rPr>
          <w:rFonts w:eastAsia="inter" w:cs="inter" w:ascii="inter" w:hAnsi="inter"/>
          <w:color w:val="000000"/>
          <w:sz w:val="21"/>
        </w:rPr>
        <w:t xml:space="preserve"> (Multiple Revenue Streams):</w:t>
      </w:r>
    </w:p>
    <w:p>
      <w:pPr>
        <w:numPr>
          <w:ilvl w:val="1"/>
          <w:numId w:val="24"/>
        </w:numPr>
        <w:spacing w:line="360" w:before="105" w:after="105" w:lineRule="auto"/>
      </w:pPr>
      <w:r>
        <w:rPr>
          <w:rFonts w:eastAsia="inter" w:cs="inter" w:ascii="inter" w:hAnsi="inter"/>
          <w:color w:val="000000"/>
          <w:sz w:val="21"/>
        </w:rPr>
        <w:t xml:space="preserve">Equity stake or advisory fees (startup side)</w:t>
      </w:r>
    </w:p>
    <w:p>
      <w:pPr>
        <w:numPr>
          <w:ilvl w:val="1"/>
          <w:numId w:val="24"/>
        </w:numPr>
        <w:spacing w:line="360" w:before="105" w:after="105" w:lineRule="auto"/>
      </w:pPr>
      <w:r>
        <w:rPr>
          <w:rFonts w:eastAsia="inter" w:cs="inter" w:ascii="inter" w:hAnsi="inter"/>
          <w:color w:val="000000"/>
          <w:sz w:val="21"/>
        </w:rPr>
        <w:t xml:space="preserve">Integration and implementation services (Deloitte core business)</w:t>
      </w:r>
    </w:p>
    <w:p>
      <w:pPr>
        <w:numPr>
          <w:ilvl w:val="1"/>
          <w:numId w:val="24"/>
        </w:numPr>
        <w:spacing w:line="360" w:before="105" w:after="105" w:lineRule="auto"/>
      </w:pPr>
      <w:r>
        <w:rPr>
          <w:rFonts w:eastAsia="inter" w:cs="inter" w:ascii="inter" w:hAnsi="inter"/>
          <w:color w:val="000000"/>
          <w:sz w:val="21"/>
        </w:rPr>
        <w:t xml:space="preserve">Technology licensing or reselling</w:t>
      </w:r>
    </w:p>
    <w:p>
      <w:pPr>
        <w:numPr>
          <w:ilvl w:val="1"/>
          <w:numId w:val="24"/>
        </w:numPr>
        <w:spacing w:line="360" w:before="105" w:after="105" w:lineRule="auto"/>
      </w:pPr>
      <w:r>
        <w:rPr>
          <w:rFonts w:eastAsia="inter" w:cs="inter" w:ascii="inter" w:hAnsi="inter"/>
          <w:color w:val="000000"/>
          <w:sz w:val="21"/>
        </w:rPr>
        <w:t xml:space="preserve">Market intelligence on emerging tech trends</w:t>
      </w:r>
    </w:p>
    <w:p>
      <w:pPr>
        <w:numPr>
          <w:ilvl w:val="1"/>
          <w:numId w:val="24"/>
        </w:numPr>
        <w:spacing w:line="360" w:before="105" w:after="105" w:lineRule="auto"/>
      </w:pPr>
      <w:r>
        <w:rPr>
          <w:rFonts w:eastAsia="inter" w:cs="inter" w:ascii="inter" w:hAnsi="inter"/>
          <w:color w:val="000000"/>
          <w:sz w:val="21"/>
        </w:rPr>
        <w:t xml:space="preserve">Recruitment of top startup talent</w:t>
      </w:r>
    </w:p>
    <w:p>
      <w:pPr>
        <w:spacing w:line="360" w:before="315" w:after="105" w:lineRule="auto"/>
        <w:ind w:left="-30"/>
        <w:jc w:val="left"/>
      </w:pPr>
      <w:bookmarkStart w:id="67" w:name="bm_3_4_competitive_implication_wh_eac5c2"/>
      <w:r>
        <w:rPr>
          <w:rFonts w:eastAsia="inter" w:cs="inter" w:ascii="inter" w:hAnsi="inter"/>
          <w:b/>
          <w:color w:val="000000"/>
          <w:sz w:val="24"/>
        </w:rPr>
        <w:t xml:space="preserve">3.4 Competitive Implication: Why Elad/Matrix Cannot Replicate</w:t>
      </w:r>
      <w:bookmarkEnd w:id="6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Factor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Deloitte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Elad/Matrix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Startup Pipeline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93 companies, $2.4B raised, systematic access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Minimal; reactive (RFPs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Global Distribution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Fortune 500 clients in 150 countries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Regional; limited enterprise reach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Integration Capability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Consulting + execution (HashedIn + OpTeamizer)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Execution only; cannot absorb startup tech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Capital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Ability to invest in startups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Limited venture capital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Long-Term Relationship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Strategic (Launchpad, mentorship, equity)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Transactional (project basis)</w:t>
            </w:r>
          </w:p>
        </w:tc>
      </w:tr>
    </w:tbl>
    <w:p>
      <w:pPr>
        <w:spacing w:lineRule="auto"/>
      </w:pPr>
    </w:p>
    <w:p>
      <w:pPr>
        <w:spacing w:line="360" w:after="210" w:lineRule="auto"/>
      </w:pPr>
      <w:r>
        <w:rPr>
          <w:rFonts w:eastAsia="inter" w:cs="inter" w:ascii="inter" w:hAnsi="inter"/>
          <w:b/>
          <w:color w:val="000000"/>
        </w:rPr>
        <w:t xml:space="preserve">The Asymmetry</w:t>
      </w:r>
      <w:r>
        <w:rPr>
          <w:rFonts w:eastAsia="inter" w:cs="inter" w:ascii="inter" w:hAnsi="inter"/>
          <w:color w:val="000000"/>
        </w:rPr>
        <w:t xml:space="preserve">: Elad and Matrix see startups as competitors. Deloitte sees them as distribution partners.</w:t>
      </w:r>
    </w:p>
    <w:p>
      <w:pPr>
        <w:spacing w:line="360" w:before="315" w:after="105" w:lineRule="auto"/>
        <w:ind w:left="-30"/>
        <w:jc w:val="left"/>
      </w:pPr>
      <w:bookmarkStart w:id="68" w:name="bm_3_5_market_intelligence_the_un_bc7d78"/>
      <w:r>
        <w:rPr>
          <w:rFonts w:eastAsia="inter" w:cs="inter" w:ascii="inter" w:hAnsi="inter"/>
          <w:b/>
          <w:color w:val="000000"/>
          <w:sz w:val="24"/>
        </w:rPr>
        <w:t xml:space="preserve">3.5 Market Intelligence: The Unseen Advantage</w:t>
      </w:r>
      <w:bookmarkEnd w:id="68"/>
    </w:p>
    <w:p>
      <w:pPr>
        <w:spacing w:line="360" w:after="210" w:lineRule="auto"/>
      </w:pPr>
      <w:r>
        <w:rPr>
          <w:rFonts w:eastAsia="inter" w:cs="inter" w:ascii="inter" w:hAnsi="inter"/>
          <w:b/>
          <w:color w:val="000000"/>
        </w:rPr>
        <w:t xml:space="preserve">Deloitte Catalyst + F2 Venture Capital Report (2025)</w:t>
      </w:r>
      <w:r>
        <w:rPr>
          <w:rFonts w:eastAsia="inter" w:cs="inter" w:ascii="inter" w:hAnsi="inter"/>
          <w:color w:val="000000"/>
        </w:rPr>
        <w:t xml:space="preserve">:</w:t>
      </w:r>
      <w:bookmarkStart w:id="69" w:name="fnref32"/>
      <w:bookmarkEnd w:id="69"/>
      <w:hyperlink w:anchor="fn32">
        <w:r>
          <w:rPr>
            <w:rFonts w:eastAsia="inter" w:cs="inter" w:ascii="inter" w:hAnsi="inter"/>
            <w:color w:val="#000"/>
            <w:u w:val="single"/>
            <w:vertAlign w:val="superscript"/>
          </w:rPr>
          <w:t xml:space="preserve">[32]</w:t>
        </w:r>
      </w:hyperlink>
    </w:p>
    <w:p>
      <w:pPr>
        <w:spacing w:line="360" w:after="210" w:lineRule="auto"/>
      </w:pPr>
      <w:r>
        <w:rPr>
          <w:rFonts w:eastAsia="inter" w:cs="inter" w:ascii="inter" w:hAnsi="inter"/>
          <w:b/>
          <w:color w:val="000000"/>
        </w:rPr>
        <w:t xml:space="preserve">Israel's AI Ecosystem Snapshot</w:t>
      </w:r>
      <w:r>
        <w:rPr>
          <w:rFonts w:eastAsia="inter" w:cs="inter" w:ascii="inter" w:hAnsi="inter"/>
          <w:color w:val="000000"/>
        </w:rPr>
        <w:t xml:space="preserve">:</w:t>
      </w:r>
    </w:p>
    <w:p>
      <w:pPr>
        <w:numPr>
          <w:ilvl w:val="0"/>
          <w:numId w:val="25"/>
        </w:numPr>
        <w:spacing w:line="360" w:before="105" w:after="105" w:lineRule="auto"/>
      </w:pPr>
      <w:r>
        <w:rPr>
          <w:rFonts w:eastAsia="inter" w:cs="inter" w:ascii="inter" w:hAnsi="inter"/>
          <w:b/>
          <w:color w:val="000000"/>
          <w:sz w:val="21"/>
        </w:rPr>
        <w:t xml:space="preserve">49% of new Israeli startups</w:t>
      </w:r>
      <w:r>
        <w:rPr>
          <w:rFonts w:eastAsia="inter" w:cs="inter" w:ascii="inter" w:hAnsi="inter"/>
          <w:color w:val="000000"/>
          <w:sz w:val="21"/>
        </w:rPr>
        <w:t xml:space="preserve"> (2023) use AI (up from 27% in 2017)</w:t>
      </w:r>
    </w:p>
    <w:p>
      <w:pPr>
        <w:numPr>
          <w:ilvl w:val="0"/>
          <w:numId w:val="25"/>
        </w:numPr>
        <w:spacing w:line="360" w:before="105" w:after="105" w:lineRule="auto"/>
      </w:pPr>
      <w:r>
        <w:rPr>
          <w:rFonts w:eastAsia="inter" w:cs="inter" w:ascii="inter" w:hAnsi="inter"/>
          <w:b/>
          <w:color w:val="000000"/>
          <w:sz w:val="21"/>
        </w:rPr>
        <w:t xml:space="preserve">60%+ of VC capital</w:t>
      </w:r>
      <w:r>
        <w:rPr>
          <w:rFonts w:eastAsia="inter" w:cs="inter" w:ascii="inter" w:hAnsi="inter"/>
          <w:color w:val="000000"/>
          <w:sz w:val="21"/>
        </w:rPr>
        <w:t xml:space="preserve"> to Israeli startups in 2023 went to AI companies</w:t>
      </w:r>
    </w:p>
    <w:p>
      <w:pPr>
        <w:numPr>
          <w:ilvl w:val="0"/>
          <w:numId w:val="25"/>
        </w:numPr>
        <w:spacing w:line="360" w:before="105" w:after="105" w:lineRule="auto"/>
      </w:pPr>
      <w:r>
        <w:rPr>
          <w:rFonts w:eastAsia="inter" w:cs="inter" w:ascii="inter" w:hAnsi="inter"/>
          <w:b/>
          <w:color w:val="000000"/>
          <w:sz w:val="21"/>
        </w:rPr>
        <w:t xml:space="preserve">H1 2024</w:t>
      </w:r>
      <w:r>
        <w:rPr>
          <w:rFonts w:eastAsia="inter" w:cs="inter" w:ascii="inter" w:hAnsi="inter"/>
          <w:color w:val="000000"/>
          <w:sz w:val="21"/>
        </w:rPr>
        <w:t xml:space="preserve">: AI M&amp;A exceeded total M&amp;A for 2021-2023 combined ($2.3-2.9B in 6 months)</w:t>
      </w:r>
    </w:p>
    <w:p>
      <w:pPr>
        <w:spacing w:line="360" w:after="210" w:lineRule="auto"/>
      </w:pPr>
      <w:r>
        <w:rPr>
          <w:rFonts w:eastAsia="inter" w:cs="inter" w:ascii="inter" w:hAnsi="inter"/>
          <w:b/>
          <w:color w:val="000000"/>
        </w:rPr>
        <w:t xml:space="preserve">Vertical AI Distribution</w:t>
      </w:r>
      <w:r>
        <w:rPr>
          <w:rFonts w:eastAsia="inter" w:cs="inter" w:ascii="inter" w:hAnsi="inter"/>
          <w:color w:val="000000"/>
        </w:rPr>
        <w:t xml:space="preserve">:</w:t>
      </w:r>
    </w:p>
    <w:p>
      <w:pPr>
        <w:numPr>
          <w:ilvl w:val="0"/>
          <w:numId w:val="26"/>
        </w:numPr>
        <w:spacing w:line="360" w:before="105" w:after="105" w:lineRule="auto"/>
      </w:pPr>
      <w:r>
        <w:rPr>
          <w:rFonts w:eastAsia="inter" w:cs="inter" w:ascii="inter" w:hAnsi="inter"/>
          <w:b/>
          <w:color w:val="000000"/>
          <w:sz w:val="21"/>
        </w:rPr>
        <w:t xml:space="preserve">Life Sciences &amp; Healthcare</w:t>
      </w:r>
      <w:r>
        <w:rPr>
          <w:rFonts w:eastAsia="inter" w:cs="inter" w:ascii="inter" w:hAnsi="inter"/>
          <w:color w:val="000000"/>
          <w:sz w:val="21"/>
        </w:rPr>
        <w:t xml:space="preserve">: 42% of vertical AI funding (~$2.8B)</w:t>
      </w:r>
    </w:p>
    <w:p>
      <w:pPr>
        <w:numPr>
          <w:ilvl w:val="0"/>
          <w:numId w:val="26"/>
        </w:numPr>
        <w:spacing w:line="360" w:before="105" w:after="105" w:lineRule="auto"/>
      </w:pPr>
      <w:r>
        <w:rPr>
          <w:rFonts w:eastAsia="inter" w:cs="inter" w:ascii="inter" w:hAnsi="inter"/>
          <w:b/>
          <w:color w:val="000000"/>
          <w:sz w:val="21"/>
        </w:rPr>
        <w:t xml:space="preserve">BFSI (Banking/FinServ/Insurance)</w:t>
      </w:r>
      <w:r>
        <w:rPr>
          <w:rFonts w:eastAsia="inter" w:cs="inter" w:ascii="inter" w:hAnsi="inter"/>
          <w:color w:val="000000"/>
          <w:sz w:val="21"/>
        </w:rPr>
        <w:t xml:space="preserve">: 24% (~$1.6B)</w:t>
      </w:r>
    </w:p>
    <w:p>
      <w:pPr>
        <w:numPr>
          <w:ilvl w:val="0"/>
          <w:numId w:val="26"/>
        </w:numPr>
        <w:spacing w:line="360" w:before="105" w:after="105" w:lineRule="auto"/>
      </w:pPr>
      <w:r>
        <w:rPr>
          <w:rFonts w:eastAsia="inter" w:cs="inter" w:ascii="inter" w:hAnsi="inter"/>
          <w:b/>
          <w:color w:val="000000"/>
          <w:sz w:val="21"/>
        </w:rPr>
        <w:t xml:space="preserve">Defense/Security</w:t>
      </w:r>
      <w:r>
        <w:rPr>
          <w:rFonts w:eastAsia="inter" w:cs="inter" w:ascii="inter" w:hAnsi="inter"/>
          <w:color w:val="000000"/>
          <w:sz w:val="21"/>
        </w:rPr>
        <w:t xml:space="preserve">: Strong domain (AI deployed on battlefield)</w:t>
      </w:r>
    </w:p>
    <w:p>
      <w:pPr>
        <w:spacing w:line="360" w:after="210" w:lineRule="auto"/>
      </w:pPr>
      <w:r>
        <w:rPr>
          <w:rFonts w:eastAsia="inter" w:cs="inter" w:ascii="inter" w:hAnsi="inter"/>
          <w:b/>
          <w:color w:val="000000"/>
        </w:rPr>
        <w:t xml:space="preserve">Foundation Layer</w:t>
      </w:r>
      <w:r>
        <w:rPr>
          <w:rFonts w:eastAsia="inter" w:cs="inter" w:ascii="inter" w:hAnsi="inter"/>
          <w:color w:val="000000"/>
        </w:rPr>
        <w:t xml:space="preserve"> (13% of funding):</w:t>
      </w:r>
    </w:p>
    <w:p>
      <w:pPr>
        <w:numPr>
          <w:ilvl w:val="0"/>
          <w:numId w:val="27"/>
        </w:numPr>
        <w:spacing w:line="360" w:before="105" w:after="105" w:lineRule="auto"/>
      </w:pPr>
      <w:r>
        <w:rPr>
          <w:rFonts w:eastAsia="inter" w:cs="inter" w:ascii="inter" w:hAnsi="inter"/>
          <w:color w:val="000000"/>
          <w:sz w:val="21"/>
        </w:rPr>
        <w:t xml:space="preserve">LLMs, hardware infrastructure, AI/Data Ops</w:t>
      </w:r>
    </w:p>
    <w:p>
      <w:pPr>
        <w:numPr>
          <w:ilvl w:val="0"/>
          <w:numId w:val="27"/>
        </w:numPr>
        <w:spacing w:line="360" w:before="105" w:after="105" w:lineRule="auto"/>
      </w:pPr>
      <w:r>
        <w:rPr>
          <w:rFonts w:eastAsia="inter" w:cs="inter" w:ascii="inter" w:hAnsi="inter"/>
          <w:b/>
          <w:color w:val="000000"/>
          <w:sz w:val="21"/>
        </w:rPr>
        <w:t xml:space="preserve">OpTeamizer fits here</w:t>
      </w:r>
      <w:r>
        <w:rPr>
          <w:rFonts w:eastAsia="inter" w:cs="inter" w:ascii="inter" w:hAnsi="inter"/>
          <w:color w:val="000000"/>
          <w:sz w:val="21"/>
        </w:rPr>
        <w:t xml:space="preserve">: NVIDIA partnership, HPC optimization</w:t>
      </w:r>
    </w:p>
    <w:p>
      <w:pPr>
        <w:spacing w:line="360" w:after="210" w:lineRule="auto"/>
      </w:pPr>
      <w:r>
        <w:rPr>
          <w:rFonts w:eastAsia="inter" w:cs="inter" w:ascii="inter" w:hAnsi="inter"/>
          <w:b/>
          <w:color w:val="000000"/>
        </w:rPr>
        <w:t xml:space="preserve">Strategic Advantage</w:t>
      </w:r>
      <w:r>
        <w:rPr>
          <w:rFonts w:eastAsia="inter" w:cs="inter" w:ascii="inter" w:hAnsi="inter"/>
          <w:color w:val="000000"/>
        </w:rPr>
        <w:t xml:space="preserve">: Deloitte gains real-time visibility into Israeli AI innovation, early access to emerging tech, and market intelligence about threats and opportunities. Elad and Matrix get quarterly industry reports.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0" w:name="section_4_deloitte_israel_s_leade_72ef2d"/>
      <w:r>
        <w:rPr>
          <w:rFonts w:eastAsia="inter" w:cs="inter" w:ascii="inter" w:hAnsi="inter"/>
          <w:b/>
          <w:color w:val="000000"/>
          <w:sz w:val="24"/>
        </w:rPr>
        <w:t xml:space="preserve">SECTION 4: DELOITTE ISRAEL'S LEADERSHIP &amp; THE UNIFIED MESSAGE</w:t>
      </w:r>
      <w:bookmarkEnd w:id="70"/>
    </w:p>
    <w:p>
      <w:pPr>
        <w:spacing w:line="360" w:before="315" w:after="105" w:lineRule="auto"/>
        <w:ind w:left="-30"/>
        <w:jc w:val="left"/>
      </w:pPr>
      <w:bookmarkStart w:id="71" w:name="bm_4_1_the_power_players"/>
      <w:r>
        <w:rPr>
          <w:rFonts w:eastAsia="inter" w:cs="inter" w:ascii="inter" w:hAnsi="inter"/>
          <w:b/>
          <w:color w:val="000000"/>
          <w:sz w:val="24"/>
        </w:rPr>
        <w:t xml:space="preserve">4.1 The Power Players</w:t>
      </w:r>
      <w:bookmarkEnd w:id="71"/>
    </w:p>
    <w:p>
      <w:pPr>
        <w:spacing w:line="360" w:after="210" w:lineRule="auto"/>
      </w:pPr>
      <w:r>
        <w:rPr>
          <w:rFonts w:eastAsia="inter" w:cs="inter" w:ascii="inter" w:hAnsi="inter"/>
          <w:b/>
          <w:color w:val="000000"/>
        </w:rPr>
        <w:t xml:space="preserve">Rani Argov – Partner, Deloitte Digital Co-Leader</w:t>
      </w:r>
      <w:r>
        <w:rPr>
          <w:rFonts w:eastAsia="inter" w:cs="inter" w:ascii="inter" w:hAnsi="inter"/>
          <w:color w:val="000000"/>
        </w:rPr>
        <w:t xml:space="preserve">:</w:t>
      </w:r>
      <w:bookmarkStart w:id="72" w:name="fnref33"/>
      <w:bookmarkEnd w:id="72"/>
      <w:hyperlink w:anchor="fn33">
        <w:r>
          <w:rPr>
            <w:rFonts w:eastAsia="inter" w:cs="inter" w:ascii="inter" w:hAnsi="inter"/>
            <w:color w:val="#000"/>
            <w:u w:val="single"/>
            <w:vertAlign w:val="superscript"/>
          </w:rPr>
          <w:t xml:space="preserve">[33]</w:t>
        </w:r>
      </w:hyperlink>
      <w:bookmarkStart w:id="73" w:name="fnref6_1"/>
      <w:bookmarkEnd w:id="73"/>
      <w:hyperlink w:anchor="fn6">
        <w:r>
          <w:rPr>
            <w:rFonts w:eastAsia="inter" w:cs="inter" w:ascii="inter" w:hAnsi="inter"/>
            <w:color w:val="#000"/>
            <w:u w:val="single"/>
            <w:vertAlign w:val="superscript"/>
          </w:rPr>
          <w:t xml:space="preserve">[6]</w:t>
        </w:r>
      </w:hyperlink>
      <w:bookmarkStart w:id="74" w:name="fnref34"/>
      <w:bookmarkEnd w:id="74"/>
      <w:hyperlink w:anchor="fn34">
        <w:r>
          <w:rPr>
            <w:rFonts w:eastAsia="inter" w:cs="inter" w:ascii="inter" w:hAnsi="inter"/>
            <w:color w:val="#000"/>
            <w:u w:val="single"/>
            <w:vertAlign w:val="superscript"/>
          </w:rPr>
          <w:t xml:space="preserve">[34]</w:t>
        </w:r>
      </w:hyperlink>
      <w:bookmarkStart w:id="75" w:name="fnref35"/>
      <w:bookmarkEnd w:id="75"/>
      <w:hyperlink w:anchor="fn35">
        <w:r>
          <w:rPr>
            <w:rFonts w:eastAsia="inter" w:cs="inter" w:ascii="inter" w:hAnsi="inter"/>
            <w:color w:val="#000"/>
            <w:u w:val="single"/>
            <w:vertAlign w:val="superscript"/>
          </w:rPr>
          <w:t xml:space="preserve">[35]</w:t>
        </w:r>
      </w:hyperlink>
      <w:bookmarkStart w:id="76" w:name="fnref5_1"/>
      <w:bookmarkEnd w:id="76"/>
      <w:hyperlink w:anchor="fn5">
        <w:r>
          <w:rPr>
            <w:rFonts w:eastAsia="inter" w:cs="inter" w:ascii="inter" w:hAnsi="inter"/>
            <w:color w:val="#000"/>
            <w:u w:val="single"/>
            <w:vertAlign w:val="superscript"/>
          </w:rPr>
          <w:t xml:space="preserve">[5]</w:t>
        </w:r>
      </w:hyperlink>
    </w:p>
    <w:p>
      <w:pPr>
        <w:numPr>
          <w:ilvl w:val="0"/>
          <w:numId w:val="28"/>
        </w:numPr>
        <w:spacing w:line="360" w:before="105" w:after="105" w:lineRule="auto"/>
      </w:pPr>
      <w:r>
        <w:rPr>
          <w:rFonts w:eastAsia="inter" w:cs="inter" w:ascii="inter" w:hAnsi="inter"/>
          <w:b/>
          <w:color w:val="000000"/>
          <w:sz w:val="21"/>
        </w:rPr>
        <w:t xml:space="preserve">Education</w:t>
      </w:r>
      <w:r>
        <w:rPr>
          <w:rFonts w:eastAsia="inter" w:cs="inter" w:ascii="inter" w:hAnsi="inter"/>
          <w:color w:val="000000"/>
          <w:sz w:val="21"/>
        </w:rPr>
        <w:t xml:space="preserve">: MBA Marketing &amp; Strategy (Wharton), LLB (Tel Aviv University)</w:t>
      </w:r>
    </w:p>
    <w:p>
      <w:pPr>
        <w:numPr>
          <w:ilvl w:val="0"/>
          <w:numId w:val="28"/>
        </w:numPr>
        <w:spacing w:line="360" w:before="105" w:after="105" w:lineRule="auto"/>
      </w:pPr>
      <w:r>
        <w:rPr>
          <w:rFonts w:eastAsia="inter" w:cs="inter" w:ascii="inter" w:hAnsi="inter"/>
          <w:b/>
          <w:color w:val="000000"/>
          <w:sz w:val="21"/>
        </w:rPr>
        <w:t xml:space="preserve">Role</w:t>
      </w:r>
      <w:r>
        <w:rPr>
          <w:rFonts w:eastAsia="inter" w:cs="inter" w:ascii="inter" w:hAnsi="inter"/>
          <w:color w:val="000000"/>
          <w:sz w:val="21"/>
        </w:rPr>
        <w:t xml:space="preserve">: Co-leader Deloitte Digital Israel, Retail sector leader</w:t>
      </w:r>
    </w:p>
    <w:p>
      <w:pPr>
        <w:numPr>
          <w:ilvl w:val="0"/>
          <w:numId w:val="28"/>
        </w:numPr>
        <w:spacing w:line="360" w:before="105" w:after="105" w:lineRule="auto"/>
      </w:pPr>
      <w:r>
        <w:rPr>
          <w:rFonts w:eastAsia="inter" w:cs="inter" w:ascii="inter" w:hAnsi="inter"/>
          <w:b/>
          <w:color w:val="000000"/>
          <w:sz w:val="21"/>
        </w:rPr>
        <w:t xml:space="preserve">Key Achievement</w:t>
      </w:r>
      <w:r>
        <w:rPr>
          <w:rFonts w:eastAsia="inter" w:cs="inter" w:ascii="inter" w:hAnsi="inter"/>
          <w:color w:val="000000"/>
          <w:sz w:val="21"/>
        </w:rPr>
        <w:t xml:space="preserve">: Led Awesome acquisition</w:t>
      </w:r>
    </w:p>
    <w:p>
      <w:pPr>
        <w:numPr>
          <w:ilvl w:val="0"/>
          <w:numId w:val="28"/>
        </w:numPr>
        <w:spacing w:line="360" w:before="105" w:after="105" w:lineRule="auto"/>
      </w:pPr>
      <w:r>
        <w:rPr>
          <w:rFonts w:eastAsia="inter" w:cs="inter" w:ascii="inter" w:hAnsi="inter"/>
          <w:b/>
          <w:color w:val="000000"/>
          <w:sz w:val="21"/>
        </w:rPr>
        <w:t xml:space="preserve">Messaging Theme</w:t>
      </w:r>
      <w:r>
        <w:rPr>
          <w:rFonts w:eastAsia="inter" w:cs="inter" w:ascii="inter" w:hAnsi="inter"/>
          <w:color w:val="000000"/>
          <w:sz w:val="21"/>
        </w:rPr>
        <w:t xml:space="preserve">: "End-to-end digital transformation" combining creative, strategy, and technology into one seamless service</w:t>
      </w:r>
    </w:p>
    <w:p>
      <w:pPr>
        <w:spacing w:line="360" w:after="210" w:lineRule="auto"/>
      </w:pPr>
      <w:r>
        <w:rPr>
          <w:rFonts w:eastAsia="inter" w:cs="inter" w:ascii="inter" w:hAnsi="inter"/>
          <w:b/>
          <w:color w:val="000000"/>
        </w:rPr>
        <w:t xml:space="preserve">Quote (2021, explaining Awesome acquisition)</w:t>
      </w:r>
      <w:r>
        <w:rPr>
          <w:rFonts w:eastAsia="inter" w:cs="inter" w:ascii="inter" w:hAnsi="inter"/>
          <w:color w:val="000000"/>
        </w:rPr>
        <w:t xml:space="preserve">:</w:t>
      </w:r>
      <w:bookmarkStart w:id="77" w:name="fnref6_2"/>
      <w:bookmarkEnd w:id="77"/>
      <w:hyperlink w:anchor="fn6">
        <w:r>
          <w:rPr>
            <w:rFonts w:eastAsia="inter" w:cs="inter" w:ascii="inter" w:hAnsi="inter"/>
            <w:color w:val="#000"/>
            <w:u w:val="single"/>
            <w:vertAlign w:val="superscript"/>
          </w:rPr>
          <w:t xml:space="preserve">[6]</w:t>
        </w:r>
      </w:hyperlink>
    </w:p>
    <w:p>
      <w:pPr>
        <w:spacing w:line="360" w:after="210" w:lineRule="auto"/>
        <w:ind w:left="630"/>
      </w:pPr>
      <w:r>
        <w:rPr>
          <w:rFonts w:eastAsia="inter" w:cs="inter" w:ascii="inter" w:hAnsi="inter"/>
          <w:color w:val="000000"/>
        </w:rPr>
        <w:t xml:space="preserve">"We have been executing acquisitions with the mindset of providing a wider scope of services...We've made acquisitions before in the Israeli market. While we're growing fast, we are still lacking cutting-edge capabilities around our creative pillar...we felt we were missing the link in creating that one-stop-shop."</w:t>
      </w:r>
    </w:p>
    <w:p>
      <w:pPr>
        <w:spacing w:line="360" w:after="210" w:lineRule="auto"/>
      </w:pPr>
      <w:r>
        <w:rPr>
          <w:rFonts w:eastAsia="inter" w:cs="inter" w:ascii="inter" w:hAnsi="inter"/>
          <w:b/>
          <w:color w:val="000000"/>
        </w:rPr>
        <w:t xml:space="preserve">Competitive Positioning</w:t>
      </w:r>
      <w:r>
        <w:rPr>
          <w:rFonts w:eastAsia="inter" w:cs="inter" w:ascii="inter" w:hAnsi="inter"/>
          <w:color w:val="000000"/>
        </w:rPr>
        <w:t xml:space="preserve">: Unlike Elad/Matrix (tech executors), Argov frames Deloitte as the </w:t>
      </w:r>
      <w:r>
        <w:rPr>
          <w:rFonts w:eastAsia="inter" w:cs="inter" w:ascii="inter" w:hAnsi="inter"/>
          <w:b/>
          <w:color w:val="000000"/>
        </w:rPr>
        <w:t xml:space="preserve">business transformation partner</w:t>
      </w:r>
      <w:r>
        <w:rPr>
          <w:rFonts w:eastAsia="inter" w:cs="inter" w:ascii="inter" w:hAnsi="inter"/>
          <w:color w:val="000000"/>
        </w:rPr>
        <w:t xml:space="preserve"> that happens to have all disciplines integrated.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Yair Laron – Partner, Co-Leader Deloitte Catalyst</w:t>
      </w:r>
      <w:r>
        <w:rPr>
          <w:rFonts w:eastAsia="inter" w:cs="inter" w:ascii="inter" w:hAnsi="inter"/>
          <w:color w:val="000000"/>
        </w:rPr>
        <w:t xml:space="preserve">:</w:t>
      </w:r>
      <w:bookmarkStart w:id="78" w:name="fnref36"/>
      <w:bookmarkEnd w:id="78"/>
      <w:hyperlink w:anchor="fn36">
        <w:r>
          <w:rPr>
            <w:rFonts w:eastAsia="inter" w:cs="inter" w:ascii="inter" w:hAnsi="inter"/>
            <w:color w:val="#000"/>
            <w:u w:val="single"/>
            <w:vertAlign w:val="superscript"/>
          </w:rPr>
          <w:t xml:space="preserve">[36]</w:t>
        </w:r>
      </w:hyperlink>
      <w:bookmarkStart w:id="79" w:name="fnref37"/>
      <w:bookmarkEnd w:id="79"/>
      <w:hyperlink w:anchor="fn37">
        <w:r>
          <w:rPr>
            <w:rFonts w:eastAsia="inter" w:cs="inter" w:ascii="inter" w:hAnsi="inter"/>
            <w:color w:val="#000"/>
            <w:u w:val="single"/>
            <w:vertAlign w:val="superscript"/>
          </w:rPr>
          <w:t xml:space="preserve">[37]</w:t>
        </w:r>
      </w:hyperlink>
      <w:bookmarkStart w:id="80" w:name="fnref24_3"/>
      <w:bookmarkEnd w:id="80"/>
      <w:hyperlink w:anchor="fn24">
        <w:r>
          <w:rPr>
            <w:rFonts w:eastAsia="inter" w:cs="inter" w:ascii="inter" w:hAnsi="inter"/>
            <w:color w:val="#000"/>
            <w:u w:val="single"/>
            <w:vertAlign w:val="superscript"/>
          </w:rPr>
          <w:t xml:space="preserve">[24]</w:t>
        </w:r>
      </w:hyperlink>
      <w:bookmarkStart w:id="81" w:name="fnref23_3"/>
      <w:bookmarkEnd w:id="81"/>
      <w:hyperlink w:anchor="fn23">
        <w:r>
          <w:rPr>
            <w:rFonts w:eastAsia="inter" w:cs="inter" w:ascii="inter" w:hAnsi="inter"/>
            <w:color w:val="#000"/>
            <w:u w:val="single"/>
            <w:vertAlign w:val="superscript"/>
          </w:rPr>
          <w:t xml:space="preserve">[23]</w:t>
        </w:r>
      </w:hyperlink>
    </w:p>
    <w:p>
      <w:pPr>
        <w:numPr>
          <w:ilvl w:val="0"/>
          <w:numId w:val="29"/>
        </w:numPr>
        <w:spacing w:line="360" w:before="105" w:after="105" w:lineRule="auto"/>
      </w:pPr>
      <w:r>
        <w:rPr>
          <w:rFonts w:eastAsia="inter" w:cs="inter" w:ascii="inter" w:hAnsi="inter"/>
          <w:b/>
          <w:color w:val="000000"/>
          <w:sz w:val="21"/>
        </w:rPr>
        <w:t xml:space="preserve">Education</w:t>
      </w:r>
      <w:r>
        <w:rPr>
          <w:rFonts w:eastAsia="inter" w:cs="inter" w:ascii="inter" w:hAnsi="inter"/>
          <w:color w:val="000000"/>
          <w:sz w:val="21"/>
        </w:rPr>
        <w:t xml:space="preserve">: BA Laws + Accounting (Tel Aviv University), IDC Herzliya lecturer</w:t>
      </w:r>
    </w:p>
    <w:p>
      <w:pPr>
        <w:numPr>
          <w:ilvl w:val="0"/>
          <w:numId w:val="29"/>
        </w:numPr>
        <w:spacing w:line="360" w:before="105" w:after="105" w:lineRule="auto"/>
      </w:pPr>
      <w:r>
        <w:rPr>
          <w:rFonts w:eastAsia="inter" w:cs="inter" w:ascii="inter" w:hAnsi="inter"/>
          <w:b/>
          <w:color w:val="000000"/>
          <w:sz w:val="21"/>
        </w:rPr>
        <w:t xml:space="preserve">Role</w:t>
      </w:r>
      <w:r>
        <w:rPr>
          <w:rFonts w:eastAsia="inter" w:cs="inter" w:ascii="inter" w:hAnsi="inter"/>
          <w:color w:val="000000"/>
          <w:sz w:val="21"/>
        </w:rPr>
        <w:t xml:space="preserve">: Head of Services to Startups (EGC), Founder of Launchpad</w:t>
      </w:r>
    </w:p>
    <w:p>
      <w:pPr>
        <w:numPr>
          <w:ilvl w:val="0"/>
          <w:numId w:val="29"/>
        </w:numPr>
        <w:spacing w:line="360" w:before="105" w:after="105" w:lineRule="auto"/>
      </w:pPr>
      <w:r>
        <w:rPr>
          <w:rFonts w:eastAsia="inter" w:cs="inter" w:ascii="inter" w:hAnsi="inter"/>
          <w:b/>
          <w:color w:val="000000"/>
          <w:sz w:val="21"/>
        </w:rPr>
        <w:t xml:space="preserve">Achievement</w:t>
      </w:r>
      <w:r>
        <w:rPr>
          <w:rFonts w:eastAsia="inter" w:cs="inter" w:ascii="inter" w:hAnsi="inter"/>
          <w:color w:val="000000"/>
          <w:sz w:val="21"/>
        </w:rPr>
        <w:t xml:space="preserve">: Scaled Launchpad from zero to 93 companies, $2.4B raised</w:t>
      </w:r>
    </w:p>
    <w:p>
      <w:pPr>
        <w:numPr>
          <w:ilvl w:val="0"/>
          <w:numId w:val="29"/>
        </w:numPr>
        <w:spacing w:line="360" w:before="105" w:after="105" w:lineRule="auto"/>
      </w:pPr>
      <w:r>
        <w:rPr>
          <w:rFonts w:eastAsia="inter" w:cs="inter" w:ascii="inter" w:hAnsi="inter"/>
          <w:b/>
          <w:color w:val="000000"/>
          <w:sz w:val="21"/>
        </w:rPr>
        <w:t xml:space="preserve">Messaging Theme</w:t>
      </w:r>
      <w:r>
        <w:rPr>
          <w:rFonts w:eastAsia="inter" w:cs="inter" w:ascii="inter" w:hAnsi="inter"/>
          <w:color w:val="000000"/>
          <w:sz w:val="21"/>
        </w:rPr>
        <w:t xml:space="preserve">: Founder-friendly innovation partner; bridge between Israeli tech and global markets</w:t>
      </w:r>
    </w:p>
    <w:p>
      <w:pPr>
        <w:spacing w:line="360" w:after="210" w:lineRule="auto"/>
      </w:pPr>
      <w:r>
        <w:rPr>
          <w:rFonts w:eastAsia="inter" w:cs="inter" w:ascii="inter" w:hAnsi="inter"/>
          <w:b/>
          <w:color w:val="000000"/>
        </w:rPr>
        <w:t xml:space="preserve">Quote (May 2024, Launchpad Cohort 7 launch)</w:t>
      </w:r>
      <w:r>
        <w:rPr>
          <w:rFonts w:eastAsia="inter" w:cs="inter" w:ascii="inter" w:hAnsi="inter"/>
          <w:color w:val="000000"/>
        </w:rPr>
        <w:t xml:space="preserve">:</w:t>
      </w:r>
      <w:bookmarkStart w:id="82" w:name="fnref23_4"/>
      <w:bookmarkEnd w:id="82"/>
      <w:hyperlink w:anchor="fn23">
        <w:r>
          <w:rPr>
            <w:rFonts w:eastAsia="inter" w:cs="inter" w:ascii="inter" w:hAnsi="inter"/>
            <w:color w:val="#000"/>
            <w:u w:val="single"/>
            <w:vertAlign w:val="superscript"/>
          </w:rPr>
          <w:t xml:space="preserve">[23]</w:t>
        </w:r>
      </w:hyperlink>
    </w:p>
    <w:p>
      <w:pPr>
        <w:spacing w:line="360" w:after="210" w:lineRule="auto"/>
        <w:ind w:left="630"/>
      </w:pPr>
      <w:r>
        <w:rPr>
          <w:rFonts w:eastAsia="inter" w:cs="inter" w:ascii="inter" w:hAnsi="inter"/>
          <w:color w:val="000000"/>
        </w:rPr>
        <w:t xml:space="preserve">"The past year has been challenging and founders are showing real resilience...This is a very diverse group of companies from various domains. We are seeing in the past few months early signs that the public market is going to be more active than the past year."</w:t>
      </w:r>
    </w:p>
    <w:p>
      <w:pPr>
        <w:spacing w:line="360" w:after="210" w:lineRule="auto"/>
      </w:pPr>
      <w:r>
        <w:rPr>
          <w:rFonts w:eastAsia="inter" w:cs="inter" w:ascii="inter" w:hAnsi="inter"/>
          <w:b/>
          <w:color w:val="000000"/>
        </w:rPr>
        <w:t xml:space="preserve">Competitive Positioning</w:t>
      </w:r>
      <w:r>
        <w:rPr>
          <w:rFonts w:eastAsia="inter" w:cs="inter" w:ascii="inter" w:hAnsi="inter"/>
          <w:color w:val="000000"/>
        </w:rPr>
        <w:t xml:space="preserve">: Unlike matrix competitors, Laron positions Deloitte as the </w:t>
      </w:r>
      <w:r>
        <w:rPr>
          <w:rFonts w:eastAsia="inter" w:cs="inter" w:ascii="inter" w:hAnsi="inter"/>
          <w:b/>
          <w:color w:val="000000"/>
        </w:rPr>
        <w:t xml:space="preserve">strategic partner</w:t>
      </w:r>
      <w:r>
        <w:rPr>
          <w:rFonts w:eastAsia="inter" w:cs="inter" w:ascii="inter" w:hAnsi="inter"/>
          <w:color w:val="000000"/>
        </w:rPr>
        <w:t xml:space="preserve"> for Israeli startups seeking global scale—not just a technical integrator.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Tomer Gal – Founder OpTeamizer, Now Leading Accelerated Computing at Deloitte</w:t>
      </w:r>
      <w:r>
        <w:rPr>
          <w:rFonts w:eastAsia="inter" w:cs="inter" w:ascii="inter" w:hAnsi="inter"/>
          <w:color w:val="000000"/>
        </w:rPr>
        <w:t xml:space="preserve">:</w:t>
      </w:r>
      <w:bookmarkStart w:id="83" w:name="fnref3_1"/>
      <w:bookmarkEnd w:id="83"/>
      <w:hyperlink w:anchor="fn3">
        <w:r>
          <w:rPr>
            <w:rFonts w:eastAsia="inter" w:cs="inter" w:ascii="inter" w:hAnsi="inter"/>
            <w:color w:val="#000"/>
            <w:u w:val="single"/>
            <w:vertAlign w:val="superscript"/>
          </w:rPr>
          <w:t xml:space="preserve">[3]</w:t>
        </w:r>
      </w:hyperlink>
      <w:bookmarkStart w:id="84" w:name="fnref4_2"/>
      <w:bookmarkEnd w:id="84"/>
      <w:hyperlink w:anchor="fn4">
        <w:r>
          <w:rPr>
            <w:rFonts w:eastAsia="inter" w:cs="inter" w:ascii="inter" w:hAnsi="inter"/>
            <w:color w:val="#000"/>
            <w:u w:val="single"/>
            <w:vertAlign w:val="superscript"/>
          </w:rPr>
          <w:t xml:space="preserve">[4]</w:t>
        </w:r>
      </w:hyperlink>
      <w:bookmarkStart w:id="85" w:name="fnref1_1"/>
      <w:bookmarkEnd w:id="85"/>
      <w:hyperlink w:anchor="fn1">
        <w:r>
          <w:rPr>
            <w:rFonts w:eastAsia="inter" w:cs="inter" w:ascii="inter" w:hAnsi="inter"/>
            <w:color w:val="#000"/>
            <w:u w:val="single"/>
            <w:vertAlign w:val="superscript"/>
          </w:rPr>
          <w:t xml:space="preserve">[1]</w:t>
        </w:r>
      </w:hyperlink>
    </w:p>
    <w:p>
      <w:pPr>
        <w:numPr>
          <w:ilvl w:val="0"/>
          <w:numId w:val="30"/>
        </w:numPr>
        <w:spacing w:line="360" w:before="105" w:after="105" w:lineRule="auto"/>
      </w:pPr>
      <w:r>
        <w:rPr>
          <w:rFonts w:eastAsia="inter" w:cs="inter" w:ascii="inter" w:hAnsi="inter"/>
          <w:color w:val="000000"/>
          <w:sz w:val="21"/>
        </w:rPr>
        <w:t xml:space="preserve">Founded OpTeamizer (NVIDIA Preferred Partner in Israel)</w:t>
      </w:r>
    </w:p>
    <w:p>
      <w:pPr>
        <w:numPr>
          <w:ilvl w:val="0"/>
          <w:numId w:val="30"/>
        </w:numPr>
        <w:spacing w:line="360" w:before="105" w:after="105" w:lineRule="auto"/>
      </w:pPr>
      <w:r>
        <w:rPr>
          <w:rFonts w:eastAsia="inter" w:cs="inter" w:ascii="inter" w:hAnsi="inter"/>
          <w:color w:val="000000"/>
          <w:sz w:val="21"/>
        </w:rPr>
        <w:t xml:space="preserve">Now leads Deloitte's NVIDIA AI and accelerated computing practice</w:t>
      </w:r>
    </w:p>
    <w:p>
      <w:pPr>
        <w:numPr>
          <w:ilvl w:val="0"/>
          <w:numId w:val="30"/>
        </w:numPr>
        <w:spacing w:line="360" w:before="105" w:after="105" w:lineRule="auto"/>
      </w:pPr>
      <w:r>
        <w:rPr>
          <w:rFonts w:eastAsia="inter" w:cs="inter" w:ascii="inter" w:hAnsi="inter"/>
          <w:color w:val="000000"/>
          <w:sz w:val="21"/>
        </w:rPr>
        <w:t xml:space="preserve">Bridges AI innovation and production deployment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Ran Bergman – Former Partner, Data &amp; AI (Exited November 2024)</w:t>
      </w:r>
      <w:r>
        <w:rPr>
          <w:rFonts w:eastAsia="inter" w:cs="inter" w:ascii="inter" w:hAnsi="inter"/>
          <w:color w:val="000000"/>
        </w:rPr>
        <w:t xml:space="preserve">:</w:t>
      </w:r>
      <w:bookmarkStart w:id="86" w:name="fnref9_1"/>
      <w:bookmarkEnd w:id="86"/>
      <w:hyperlink w:anchor="fn9">
        <w:r>
          <w:rPr>
            <w:rFonts w:eastAsia="inter" w:cs="inter" w:ascii="inter" w:hAnsi="inter"/>
            <w:color w:val="#000"/>
            <w:u w:val="single"/>
            <w:vertAlign w:val="superscript"/>
          </w:rPr>
          <w:t xml:space="preserve">[9]</w:t>
        </w:r>
      </w:hyperlink>
    </w:p>
    <w:p>
      <w:pPr>
        <w:numPr>
          <w:ilvl w:val="0"/>
          <w:numId w:val="31"/>
        </w:numPr>
        <w:spacing w:line="360" w:before="105" w:after="105" w:lineRule="auto"/>
      </w:pPr>
      <w:r>
        <w:rPr>
          <w:rFonts w:eastAsia="inter" w:cs="inter" w:ascii="inter" w:hAnsi="inter"/>
          <w:color w:val="000000"/>
          <w:sz w:val="21"/>
        </w:rPr>
        <w:t xml:space="preserve">Built Deloitte Israel's AI practice from zero to </w:t>
      </w:r>
      <w:r>
        <w:rPr>
          <w:rFonts w:eastAsia="inter" w:cs="inter" w:ascii="inter" w:hAnsi="inter"/>
          <w:b/>
          <w:color w:val="000000"/>
          <w:sz w:val="21"/>
        </w:rPr>
        <w:t xml:space="preserve">70 people</w:t>
      </w:r>
    </w:p>
    <w:p>
      <w:pPr>
        <w:numPr>
          <w:ilvl w:val="0"/>
          <w:numId w:val="31"/>
        </w:numPr>
        <w:spacing w:line="360" w:before="105" w:after="105" w:lineRule="auto"/>
      </w:pPr>
      <w:r>
        <w:rPr>
          <w:rFonts w:eastAsia="inter" w:cs="inter" w:ascii="inter" w:hAnsi="inter"/>
          <w:b/>
          <w:color w:val="000000"/>
          <w:sz w:val="21"/>
        </w:rPr>
        <w:t xml:space="preserve">Quote</w:t>
      </w:r>
      <w:r>
        <w:rPr>
          <w:rFonts w:eastAsia="inter" w:cs="inter" w:ascii="inter" w:hAnsi="inter"/>
          <w:color w:val="000000"/>
          <w:sz w:val="21"/>
        </w:rPr>
        <w:t xml:space="preserve">: "We really put Deloitte on the map in Israel, building up this awesome AI team of 70 people"</w:t>
      </w:r>
    </w:p>
    <w:p>
      <w:pPr>
        <w:numPr>
          <w:ilvl w:val="0"/>
          <w:numId w:val="31"/>
        </w:numPr>
        <w:spacing w:line="360" w:before="105" w:after="105" w:lineRule="auto"/>
      </w:pPr>
      <w:r>
        <w:rPr>
          <w:rFonts w:eastAsia="inter" w:cs="inter" w:ascii="inter" w:hAnsi="inter"/>
          <w:color w:val="000000"/>
          <w:sz w:val="21"/>
        </w:rPr>
        <w:t xml:space="preserve">Exiting to pursue PhD (signal of successful team maturation and transition)</w:t>
      </w:r>
    </w:p>
    <w:p>
      <w:pPr>
        <w:spacing w:line="360" w:before="315" w:after="105" w:lineRule="auto"/>
        <w:ind w:left="-30"/>
        <w:jc w:val="left"/>
      </w:pPr>
      <w:bookmarkStart w:id="87" w:name="bm_4_2_age_of_with_unified_messaging"/>
      <w:r>
        <w:rPr>
          <w:rFonts w:eastAsia="inter" w:cs="inter" w:ascii="inter" w:hAnsi="inter"/>
          <w:b/>
          <w:color w:val="000000"/>
          <w:sz w:val="24"/>
        </w:rPr>
        <w:t xml:space="preserve">4.2 "Age of With™" – Unified Messaging</w:t>
      </w:r>
      <w:bookmarkEnd w:id="87"/>
    </w:p>
    <w:p>
      <w:pPr>
        <w:spacing w:line="360" w:after="210" w:lineRule="auto"/>
      </w:pPr>
      <w:r>
        <w:rPr>
          <w:rFonts w:eastAsia="inter" w:cs="inter" w:ascii="inter" w:hAnsi="inter"/>
          <w:b/>
          <w:color w:val="000000"/>
        </w:rPr>
        <w:t xml:space="preserve">Core Theme</w:t>
      </w:r>
      <w:r>
        <w:rPr>
          <w:rFonts w:eastAsia="inter" w:cs="inter" w:ascii="inter" w:hAnsi="inter"/>
          <w:color w:val="000000"/>
        </w:rPr>
        <w:t xml:space="preserve">:</w:t>
      </w:r>
      <w:bookmarkStart w:id="88" w:name="fnref38"/>
      <w:bookmarkEnd w:id="88"/>
      <w:hyperlink w:anchor="fn38">
        <w:r>
          <w:rPr>
            <w:rFonts w:eastAsia="inter" w:cs="inter" w:ascii="inter" w:hAnsi="inter"/>
            <w:color w:val="#000"/>
            <w:u w:val="single"/>
            <w:vertAlign w:val="superscript"/>
          </w:rPr>
          <w:t xml:space="preserve">[38]</w:t>
        </w:r>
      </w:hyperlink>
      <w:r>
        <w:rPr>
          <w:rFonts w:eastAsia="inter" w:cs="inter" w:ascii="inter" w:hAnsi="inter"/>
          <w:color w:val="000000"/>
        </w:rPr>
        <w:br w:type="textWrapping"/>
      </w:r>
      <w:r>
        <w:rPr>
          <w:rFonts w:eastAsia="inter" w:cs="inter" w:ascii="inter" w:hAnsi="inter"/>
          <w:color w:val="000000"/>
        </w:rPr>
        <w:t xml:space="preserve">Humans working </w:t>
      </w:r>
      <w:r>
        <w:rPr>
          <w:rFonts w:eastAsia="inter" w:cs="inter" w:ascii="inter" w:hAnsi="inter"/>
          <w:b/>
          <w:color w:val="000000"/>
        </w:rPr>
        <w:t xml:space="preserve">with</w:t>
      </w:r>
      <w:r>
        <w:rPr>
          <w:rFonts w:eastAsia="inter" w:cs="inter" w:ascii="inter" w:hAnsi="inter"/>
          <w:color w:val="000000"/>
        </w:rPr>
        <w:t xml:space="preserve"> machines, not machines replacing humans.</w:t>
      </w:r>
    </w:p>
    <w:p>
      <w:pPr>
        <w:spacing w:line="360" w:after="210" w:lineRule="auto"/>
      </w:pPr>
      <w:r>
        <w:rPr>
          <w:rFonts w:eastAsia="inter" w:cs="inter" w:ascii="inter" w:hAnsi="inter"/>
          <w:b/>
          <w:color w:val="000000"/>
        </w:rPr>
        <w:t xml:space="preserve">Deloitte Israel's Key Pillars</w:t>
      </w:r>
      <w:r>
        <w:rPr>
          <w:rFonts w:eastAsia="inter" w:cs="inter" w:ascii="inter" w:hAnsi="inter"/>
          <w:color w:val="000000"/>
        </w:rPr>
        <w:t xml:space="preserve">:</w:t>
      </w:r>
      <w:bookmarkStart w:id="89" w:name="fnref38_1"/>
      <w:bookmarkEnd w:id="89"/>
      <w:hyperlink w:anchor="fn38">
        <w:r>
          <w:rPr>
            <w:rFonts w:eastAsia="inter" w:cs="inter" w:ascii="inter" w:hAnsi="inter"/>
            <w:color w:val="#000"/>
            <w:u w:val="single"/>
            <w:vertAlign w:val="superscript"/>
          </w:rPr>
          <w:t xml:space="preserve">[38]</w:t>
        </w:r>
      </w:hyperlink>
    </w:p>
    <w:p>
      <w:pPr>
        <w:numPr>
          <w:ilvl w:val="0"/>
          <w:numId w:val="32"/>
        </w:numPr>
        <w:spacing w:line="360" w:before="105" w:after="105" w:lineRule="auto"/>
      </w:pPr>
      <w:r>
        <w:rPr>
          <w:rFonts w:eastAsia="inter" w:cs="inter" w:ascii="inter" w:hAnsi="inter"/>
          <w:b/>
          <w:color w:val="000000"/>
          <w:sz w:val="21"/>
        </w:rPr>
        <w:t xml:space="preserve">Safe AI</w:t>
      </w:r>
      <w:r>
        <w:rPr>
          <w:rFonts w:eastAsia="inter" w:cs="inter" w:ascii="inter" w:hAnsi="inter"/>
          <w:color w:val="000000"/>
          <w:sz w:val="21"/>
        </w:rPr>
        <w:t xml:space="preserve">: Trustworthy AI framework managing risks, bias, and compliance</w:t>
      </w:r>
    </w:p>
    <w:p>
      <w:pPr>
        <w:numPr>
          <w:ilvl w:val="0"/>
          <w:numId w:val="32"/>
        </w:numPr>
        <w:spacing w:line="360" w:before="105" w:after="105" w:lineRule="auto"/>
      </w:pPr>
      <w:r>
        <w:rPr>
          <w:rFonts w:eastAsia="inter" w:cs="inter" w:ascii="inter" w:hAnsi="inter"/>
          <w:b/>
          <w:color w:val="000000"/>
          <w:sz w:val="21"/>
        </w:rPr>
        <w:t xml:space="preserve">Rapid ROI</w:t>
      </w:r>
      <w:r>
        <w:rPr>
          <w:rFonts w:eastAsia="inter" w:cs="inter" w:ascii="inter" w:hAnsi="inter"/>
          <w:color w:val="000000"/>
          <w:sz w:val="21"/>
        </w:rPr>
        <w:t xml:space="preserve">: Demonstrated productivity gains (25-40% from Zora deployments)</w:t>
      </w:r>
    </w:p>
    <w:p>
      <w:pPr>
        <w:numPr>
          <w:ilvl w:val="0"/>
          <w:numId w:val="32"/>
        </w:numPr>
        <w:spacing w:line="360" w:before="105" w:after="105" w:lineRule="auto"/>
      </w:pPr>
      <w:r>
        <w:rPr>
          <w:rFonts w:eastAsia="inter" w:cs="inter" w:ascii="inter" w:hAnsi="inter"/>
          <w:b/>
          <w:color w:val="000000"/>
          <w:sz w:val="21"/>
        </w:rPr>
        <w:t xml:space="preserve">Full-Stack</w:t>
      </w:r>
      <w:r>
        <w:rPr>
          <w:rFonts w:eastAsia="inter" w:cs="inter" w:ascii="inter" w:hAnsi="inter"/>
          <w:color w:val="000000"/>
          <w:sz w:val="21"/>
        </w:rPr>
        <w:t xml:space="preserve">: Infrastructure (S2S) → Platform (Zora AI) → Industry Solutions</w:t>
      </w:r>
    </w:p>
    <w:p>
      <w:pPr>
        <w:numPr>
          <w:ilvl w:val="0"/>
          <w:numId w:val="32"/>
        </w:numPr>
        <w:spacing w:line="360" w:before="105" w:after="105" w:lineRule="auto"/>
      </w:pPr>
      <w:r>
        <w:rPr>
          <w:rFonts w:eastAsia="inter" w:cs="inter" w:ascii="inter" w:hAnsi="inter"/>
          <w:b/>
          <w:color w:val="000000"/>
          <w:sz w:val="21"/>
        </w:rPr>
        <w:t xml:space="preserve">Governance</w:t>
      </w:r>
      <w:r>
        <w:rPr>
          <w:rFonts w:eastAsia="inter" w:cs="inter" w:ascii="inter" w:hAnsi="inter"/>
          <w:color w:val="000000"/>
          <w:sz w:val="21"/>
        </w:rPr>
        <w:t xml:space="preserve">: Transparency, explainability, human oversight</w:t>
      </w:r>
    </w:p>
    <w:p>
      <w:pPr>
        <w:spacing w:line="360" w:after="210" w:lineRule="auto"/>
      </w:pPr>
      <w:r>
        <w:rPr>
          <w:rFonts w:eastAsia="inter" w:cs="inter" w:ascii="inter" w:hAnsi="inter"/>
          <w:b/>
          <w:color w:val="000000"/>
        </w:rPr>
        <w:t xml:space="preserve">Positioning Contrast</w:t>
      </w:r>
      <w:r>
        <w:rPr>
          <w:rFonts w:eastAsia="inter" w:cs="inter" w:ascii="inter" w:hAnsi="inter"/>
          <w:color w:val="000000"/>
        </w:rPr>
        <w:t xml:space="preserve">:</w:t>
      </w:r>
    </w:p>
    <w:p>
      <w:pPr>
        <w:numPr>
          <w:ilvl w:val="0"/>
          <w:numId w:val="33"/>
        </w:numPr>
        <w:spacing w:line="360" w:before="105" w:after="105" w:lineRule="auto"/>
      </w:pPr>
      <w:r>
        <w:rPr>
          <w:rFonts w:eastAsia="inter" w:cs="inter" w:ascii="inter" w:hAnsi="inter"/>
          <w:b/>
          <w:color w:val="000000"/>
          <w:sz w:val="21"/>
        </w:rPr>
        <w:t xml:space="preserve">vs. Elad/Matrix</w:t>
      </w:r>
      <w:r>
        <w:rPr>
          <w:rFonts w:eastAsia="inter" w:cs="inter" w:ascii="inter" w:hAnsi="inter"/>
          <w:color w:val="000000"/>
          <w:sz w:val="21"/>
        </w:rPr>
        <w:t xml:space="preserve">: "We're not building your systems—we're transforming your business"</w:t>
      </w:r>
    </w:p>
    <w:p>
      <w:pPr>
        <w:numPr>
          <w:ilvl w:val="0"/>
          <w:numId w:val="33"/>
        </w:numPr>
        <w:spacing w:line="360" w:before="105" w:after="105" w:lineRule="auto"/>
      </w:pPr>
      <w:r>
        <w:rPr>
          <w:rFonts w:eastAsia="inter" w:cs="inter" w:ascii="inter" w:hAnsi="inter"/>
          <w:b/>
          <w:color w:val="000000"/>
          <w:sz w:val="21"/>
        </w:rPr>
        <w:t xml:space="preserve">vs. Pure Tech Firms</w:t>
      </w:r>
      <w:r>
        <w:rPr>
          <w:rFonts w:eastAsia="inter" w:cs="inter" w:ascii="inter" w:hAnsi="inter"/>
          <w:color w:val="000000"/>
          <w:sz w:val="21"/>
        </w:rPr>
        <w:t xml:space="preserve">: "We bring 175 years of industry expertise, not just code"</w:t>
      </w:r>
    </w:p>
    <w:p>
      <w:pPr>
        <w:numPr>
          <w:ilvl w:val="0"/>
          <w:numId w:val="33"/>
        </w:numPr>
        <w:spacing w:line="360" w:before="105" w:after="105" w:lineRule="auto"/>
      </w:pPr>
      <w:r>
        <w:rPr>
          <w:rFonts w:eastAsia="inter" w:cs="inter" w:ascii="inter" w:hAnsi="inter"/>
          <w:b/>
          <w:color w:val="000000"/>
          <w:sz w:val="21"/>
        </w:rPr>
        <w:t xml:space="preserve">vs. Accenture</w:t>
      </w:r>
      <w:r>
        <w:rPr>
          <w:rFonts w:eastAsia="inter" w:cs="inter" w:ascii="inter" w:hAnsi="inter"/>
          <w:color w:val="000000"/>
          <w:sz w:val="21"/>
        </w:rPr>
        <w:t xml:space="preserve">: "We have production-ready AI agents, not just consulting frameworks"</w:t>
      </w:r>
    </w:p>
    <w:p>
      <w:pPr>
        <w:spacing w:line="360" w:before="315" w:after="105" w:lineRule="auto"/>
        <w:ind w:left="-30"/>
        <w:jc w:val="left"/>
      </w:pPr>
      <w:bookmarkStart w:id="90" w:name="bm_4_3_market_recognition_stki_rankings"/>
      <w:r>
        <w:rPr>
          <w:rFonts w:eastAsia="inter" w:cs="inter" w:ascii="inter" w:hAnsi="inter"/>
          <w:b/>
          <w:color w:val="000000"/>
          <w:sz w:val="24"/>
        </w:rPr>
        <w:t xml:space="preserve">4.3 Market Recognition – STKI Rankings</w:t>
      </w:r>
      <w:bookmarkEnd w:id="90"/>
    </w:p>
    <w:p>
      <w:pPr>
        <w:spacing w:line="360" w:after="210" w:lineRule="auto"/>
      </w:pPr>
      <w:r>
        <w:rPr>
          <w:rFonts w:eastAsia="inter" w:cs="inter" w:ascii="inter" w:hAnsi="inter"/>
          <w:b/>
          <w:color w:val="000000"/>
        </w:rPr>
        <w:t xml:space="preserve">2023 Deloitte Israel Rankings</w:t>
      </w:r>
      <w:r>
        <w:rPr>
          <w:rFonts w:eastAsia="inter" w:cs="inter" w:ascii="inter" w:hAnsi="inter"/>
          <w:color w:val="000000"/>
        </w:rPr>
        <w:t xml:space="preserve">:</w:t>
      </w:r>
      <w:bookmarkStart w:id="91" w:name="fnref39"/>
      <w:bookmarkEnd w:id="91"/>
      <w:hyperlink w:anchor="fn39">
        <w:r>
          <w:rPr>
            <w:rFonts w:eastAsia="inter" w:cs="inter" w:ascii="inter" w:hAnsi="inter"/>
            <w:color w:val="#000"/>
            <w:u w:val="single"/>
            <w:vertAlign w:val="superscript"/>
          </w:rPr>
          <w:t xml:space="preserve">[39]</w:t>
        </w:r>
      </w:hyperlink>
    </w:p>
    <w:p>
      <w:pPr>
        <w:numPr>
          <w:ilvl w:val="0"/>
          <w:numId w:val="34"/>
        </w:numPr>
        <w:spacing w:line="360" w:before="105" w:after="105" w:lineRule="auto"/>
      </w:pPr>
      <w:r>
        <w:rPr>
          <w:rFonts w:eastAsia="inter" w:cs="inter" w:ascii="inter" w:hAnsi="inter"/>
          <w:b/>
          <w:color w:val="000000"/>
          <w:sz w:val="21"/>
        </w:rPr>
        <w:t xml:space="preserve">Tier 1 in 15 categories</w:t>
      </w:r>
      <w:r>
        <w:rPr>
          <w:rFonts w:eastAsia="inter" w:cs="inter" w:ascii="inter" w:hAnsi="inter"/>
          <w:color w:val="000000"/>
          <w:sz w:val="21"/>
        </w:rPr>
        <w:t xml:space="preserve">, including:</w:t>
      </w:r>
    </w:p>
    <w:p>
      <w:pPr>
        <w:numPr>
          <w:ilvl w:val="1"/>
          <w:numId w:val="34"/>
        </w:numPr>
        <w:spacing w:line="360" w:before="105" w:after="105" w:lineRule="auto"/>
      </w:pPr>
      <w:r>
        <w:rPr>
          <w:rFonts w:eastAsia="inter" w:cs="inter" w:ascii="inter" w:hAnsi="inter"/>
          <w:color w:val="000000"/>
          <w:sz w:val="21"/>
        </w:rPr>
        <w:t xml:space="preserve">Digital Transformation Consulting</w:t>
      </w:r>
    </w:p>
    <w:p>
      <w:pPr>
        <w:numPr>
          <w:ilvl w:val="1"/>
          <w:numId w:val="34"/>
        </w:numPr>
        <w:spacing w:line="360" w:before="105" w:after="105" w:lineRule="auto"/>
      </w:pPr>
      <w:r>
        <w:rPr>
          <w:rFonts w:eastAsia="inter" w:cs="inter" w:ascii="inter" w:hAnsi="inter"/>
          <w:color w:val="000000"/>
          <w:sz w:val="21"/>
        </w:rPr>
        <w:t xml:space="preserve">Data &amp; Analytics Services</w:t>
      </w:r>
    </w:p>
    <w:p>
      <w:pPr>
        <w:numPr>
          <w:ilvl w:val="1"/>
          <w:numId w:val="34"/>
        </w:numPr>
        <w:spacing w:line="360" w:before="105" w:after="105" w:lineRule="auto"/>
      </w:pPr>
      <w:r>
        <w:rPr>
          <w:rFonts w:eastAsia="inter" w:cs="inter" w:ascii="inter" w:hAnsi="inter"/>
          <w:color w:val="000000"/>
          <w:sz w:val="21"/>
        </w:rPr>
        <w:t xml:space="preserve">Cloud Solutions</w:t>
      </w:r>
    </w:p>
    <w:p>
      <w:pPr>
        <w:numPr>
          <w:ilvl w:val="1"/>
          <w:numId w:val="34"/>
        </w:numPr>
        <w:spacing w:line="360" w:before="105" w:after="105" w:lineRule="auto"/>
      </w:pPr>
      <w:r>
        <w:rPr>
          <w:rFonts w:eastAsia="inter" w:cs="inter" w:ascii="inter" w:hAnsi="inter"/>
          <w:color w:val="000000"/>
          <w:sz w:val="21"/>
        </w:rPr>
        <w:t xml:space="preserve">Technology Implementation</w:t>
      </w:r>
    </w:p>
    <w:p>
      <w:pPr>
        <w:numPr>
          <w:ilvl w:val="1"/>
          <w:numId w:val="34"/>
        </w:numPr>
        <w:spacing w:line="360" w:before="105" w:after="105" w:lineRule="auto"/>
      </w:pPr>
      <w:r>
        <w:rPr>
          <w:rFonts w:eastAsia="inter" w:cs="inter" w:ascii="inter" w:hAnsi="inter"/>
          <w:color w:val="000000"/>
          <w:sz w:val="21"/>
        </w:rPr>
        <w:t xml:space="preserve">Enterprise Performance Management</w:t>
      </w:r>
    </w:p>
    <w:p>
      <w:pPr>
        <w:spacing w:line="360" w:after="210" w:lineRule="auto"/>
      </w:pPr>
      <w:r>
        <w:rPr>
          <w:rFonts w:eastAsia="inter" w:cs="inter" w:ascii="inter" w:hAnsi="inter"/>
          <w:b/>
          <w:color w:val="000000"/>
        </w:rPr>
        <w:t xml:space="preserve">Gartner Recognition</w:t>
      </w:r>
      <w:r>
        <w:rPr>
          <w:rFonts w:eastAsia="inter" w:cs="inter" w:ascii="inter" w:hAnsi="inter"/>
          <w:color w:val="000000"/>
        </w:rPr>
        <w:t xml:space="preserve">:</w:t>
      </w:r>
      <w:bookmarkStart w:id="92" w:name="fnref8_1"/>
      <w:bookmarkEnd w:id="92"/>
      <w:hyperlink w:anchor="fn8">
        <w:r>
          <w:rPr>
            <w:rFonts w:eastAsia="inter" w:cs="inter" w:ascii="inter" w:hAnsi="inter"/>
            <w:color w:val="#000"/>
            <w:u w:val="single"/>
            <w:vertAlign w:val="superscript"/>
          </w:rPr>
          <w:t xml:space="preserve">[8]</w:t>
        </w:r>
      </w:hyperlink>
    </w:p>
    <w:p>
      <w:pPr>
        <w:numPr>
          <w:ilvl w:val="0"/>
          <w:numId w:val="35"/>
        </w:numPr>
        <w:spacing w:line="360" w:before="105" w:after="105" w:lineRule="auto"/>
      </w:pPr>
      <w:r>
        <w:rPr>
          <w:rFonts w:eastAsia="inter" w:cs="inter" w:ascii="inter" w:hAnsi="inter"/>
          <w:color w:val="000000"/>
          <w:sz w:val="21"/>
        </w:rPr>
        <w:t xml:space="preserve">Named leader in "Data and Analytics Service Providers" (2020 Magic Quadrant)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3" w:name="section_5_government_tenders_the_54f2b1"/>
      <w:r>
        <w:rPr>
          <w:rFonts w:eastAsia="inter" w:cs="inter" w:ascii="inter" w:hAnsi="inter"/>
          <w:b/>
          <w:color w:val="000000"/>
          <w:sz w:val="24"/>
        </w:rPr>
        <w:t xml:space="preserve">SECTION 5: GOVERNMENT &amp; TENDERS – THE INVISIBLE COMPETITIVE LAYER</w:t>
      </w:r>
      <w:bookmarkEnd w:id="93"/>
    </w:p>
    <w:p>
      <w:pPr>
        <w:spacing w:line="360" w:before="315" w:after="105" w:lineRule="auto"/>
        <w:ind w:left="-30"/>
        <w:jc w:val="left"/>
      </w:pPr>
      <w:bookmarkStart w:id="94" w:name="bm_5_1_project_nimbus_context"/>
      <w:r>
        <w:rPr>
          <w:rFonts w:eastAsia="inter" w:cs="inter" w:ascii="inter" w:hAnsi="inter"/>
          <w:b/>
          <w:color w:val="000000"/>
          <w:sz w:val="24"/>
        </w:rPr>
        <w:t xml:space="preserve">5.1 Project Nimbus Context</w:t>
      </w:r>
      <w:bookmarkEnd w:id="94"/>
    </w:p>
    <w:p>
      <w:pPr>
        <w:spacing w:line="360" w:after="210" w:lineRule="auto"/>
      </w:pPr>
      <w:r>
        <w:rPr>
          <w:rFonts w:eastAsia="inter" w:cs="inter" w:ascii="inter" w:hAnsi="inter"/>
          <w:b/>
          <w:color w:val="000000"/>
        </w:rPr>
        <w:t xml:space="preserve">Background</w:t>
      </w:r>
      <w:r>
        <w:rPr>
          <w:rFonts w:eastAsia="inter" w:cs="inter" w:ascii="inter" w:hAnsi="inter"/>
          <w:color w:val="000000"/>
        </w:rPr>
        <w:t xml:space="preserve">:</w:t>
      </w:r>
      <w:bookmarkStart w:id="95" w:name="fnref40"/>
      <w:bookmarkEnd w:id="95"/>
      <w:hyperlink w:anchor="fn40">
        <w:r>
          <w:rPr>
            <w:rFonts w:eastAsia="inter" w:cs="inter" w:ascii="inter" w:hAnsi="inter"/>
            <w:color w:val="#000"/>
            <w:u w:val="single"/>
            <w:vertAlign w:val="superscript"/>
          </w:rPr>
          <w:t xml:space="preserve">[40]</w:t>
        </w:r>
      </w:hyperlink>
      <w:bookmarkStart w:id="96" w:name="fnref41"/>
      <w:bookmarkEnd w:id="96"/>
      <w:hyperlink w:anchor="fn41">
        <w:r>
          <w:rPr>
            <w:rFonts w:eastAsia="inter" w:cs="inter" w:ascii="inter" w:hAnsi="inter"/>
            <w:color w:val="#000"/>
            <w:u w:val="single"/>
            <w:vertAlign w:val="superscript"/>
          </w:rPr>
          <w:t xml:space="preserve">[41]</w:t>
        </w:r>
      </w:hyperlink>
    </w:p>
    <w:p>
      <w:pPr>
        <w:numPr>
          <w:ilvl w:val="0"/>
          <w:numId w:val="36"/>
        </w:numPr>
        <w:spacing w:line="360" w:before="105" w:after="105" w:lineRule="auto"/>
      </w:pPr>
      <w:r>
        <w:rPr>
          <w:rFonts w:eastAsia="inter" w:cs="inter" w:ascii="inter" w:hAnsi="inter"/>
          <w:color w:val="000000"/>
          <w:sz w:val="21"/>
        </w:rPr>
        <w:t xml:space="preserve">Israeli government cloud modernization initiative</w:t>
      </w:r>
    </w:p>
    <w:p>
      <w:pPr>
        <w:numPr>
          <w:ilvl w:val="0"/>
          <w:numId w:val="36"/>
        </w:numPr>
        <w:spacing w:line="360" w:before="105" w:after="105" w:lineRule="auto"/>
      </w:pPr>
      <w:r>
        <w:rPr>
          <w:rFonts w:eastAsia="inter" w:cs="inter" w:ascii="inter" w:hAnsi="inter"/>
          <w:color w:val="000000"/>
          <w:sz w:val="21"/>
        </w:rPr>
        <w:t xml:space="preserve">~$1.2 billion investment over multi-year period</w:t>
      </w:r>
    </w:p>
    <w:p>
      <w:pPr>
        <w:numPr>
          <w:ilvl w:val="0"/>
          <w:numId w:val="36"/>
        </w:numPr>
        <w:spacing w:line="360" w:before="105" w:after="105" w:lineRule="auto"/>
      </w:pPr>
      <w:r>
        <w:rPr>
          <w:rFonts w:eastAsia="inter" w:cs="inter" w:ascii="inter" w:hAnsi="inter"/>
          <w:color w:val="000000"/>
          <w:sz w:val="21"/>
        </w:rPr>
        <w:t xml:space="preserve">Dual cloud model: AWS + Google Cloud</w:t>
      </w:r>
    </w:p>
    <w:p>
      <w:pPr>
        <w:numPr>
          <w:ilvl w:val="0"/>
          <w:numId w:val="36"/>
        </w:numPr>
        <w:spacing w:line="360" w:before="105" w:after="105" w:lineRule="auto"/>
      </w:pPr>
      <w:r>
        <w:rPr>
          <w:rFonts w:eastAsia="inter" w:cs="inter" w:ascii="inter" w:hAnsi="inter"/>
          <w:color w:val="000000"/>
          <w:sz w:val="21"/>
        </w:rPr>
        <w:t xml:space="preserve">5-tier architecture:</w:t>
      </w:r>
    </w:p>
    <w:p>
      <w:pPr>
        <w:numPr>
          <w:ilvl w:val="1"/>
          <w:numId w:val="36"/>
        </w:numPr>
        <w:spacing w:line="360" w:before="105" w:after="105" w:lineRule="auto"/>
      </w:pPr>
      <w:r>
        <w:rPr>
          <w:rFonts w:eastAsia="inter" w:cs="inter" w:ascii="inter" w:hAnsi="inter"/>
          <w:color w:val="000000"/>
          <w:sz w:val="21"/>
        </w:rPr>
        <w:t xml:space="preserve">Layer 1-4: Infrastructure (AWS/Google won)</w:t>
      </w:r>
    </w:p>
    <w:p>
      <w:pPr>
        <w:numPr>
          <w:ilvl w:val="1"/>
          <w:numId w:val="36"/>
        </w:numPr>
        <w:spacing w:line="360" w:before="105" w:after="105" w:lineRule="auto"/>
      </w:pPr>
      <w:r>
        <w:rPr>
          <w:rFonts w:eastAsia="inter" w:cs="inter" w:ascii="inter" w:hAnsi="inter"/>
          <w:color w:val="000000"/>
          <w:sz w:val="21"/>
        </w:rPr>
        <w:t xml:space="preserve">Layer 5: Applications and services (ecosystem play)</w:t>
      </w:r>
    </w:p>
    <w:p>
      <w:pPr>
        <w:spacing w:line="360" w:before="315" w:after="105" w:lineRule="auto"/>
        <w:ind w:left="-30"/>
        <w:jc w:val="left"/>
      </w:pPr>
      <w:bookmarkStart w:id="97" w:name="bm_5_2_deloitte_s_multi_layered_g_6f9f7d"/>
      <w:r>
        <w:rPr>
          <w:rFonts w:eastAsia="inter" w:cs="inter" w:ascii="inter" w:hAnsi="inter"/>
          <w:b/>
          <w:color w:val="000000"/>
          <w:sz w:val="24"/>
        </w:rPr>
        <w:t xml:space="preserve">5.2 Deloitte's Multi-Layered Government Strategy</w:t>
      </w:r>
      <w:bookmarkEnd w:id="97"/>
    </w:p>
    <w:p>
      <w:pPr>
        <w:spacing w:line="360" w:after="210" w:lineRule="auto"/>
      </w:pPr>
      <w:r>
        <w:rPr>
          <w:rFonts w:eastAsia="inter" w:cs="inter" w:ascii="inter" w:hAnsi="inter"/>
          <w:b/>
          <w:color w:val="000000"/>
        </w:rPr>
        <w:t xml:space="preserve">1. Advisory Leadership</w:t>
      </w:r>
      <w:r>
        <w:rPr>
          <w:rFonts w:eastAsia="inter" w:cs="inter" w:ascii="inter" w:hAnsi="inter"/>
          <w:color w:val="000000"/>
        </w:rPr>
        <w:t xml:space="preserve">:</w:t>
      </w:r>
      <w:bookmarkStart w:id="98" w:name="fnref42"/>
      <w:bookmarkEnd w:id="98"/>
      <w:hyperlink w:anchor="fn42">
        <w:r>
          <w:rPr>
            <w:rFonts w:eastAsia="inter" w:cs="inter" w:ascii="inter" w:hAnsi="inter"/>
            <w:color w:val="#000"/>
            <w:u w:val="single"/>
            <w:vertAlign w:val="superscript"/>
          </w:rPr>
          <w:t xml:space="preserve">[42]</w:t>
        </w:r>
      </w:hyperlink>
    </w:p>
    <w:p>
      <w:pPr>
        <w:numPr>
          <w:ilvl w:val="0"/>
          <w:numId w:val="37"/>
        </w:numPr>
        <w:spacing w:line="360" w:before="105" w:after="105" w:lineRule="auto"/>
      </w:pPr>
      <w:r>
        <w:rPr>
          <w:rFonts w:eastAsia="inter" w:cs="inter" w:ascii="inter" w:hAnsi="inter"/>
          <w:b/>
          <w:color w:val="000000"/>
          <w:sz w:val="21"/>
        </w:rPr>
        <w:t xml:space="preserve">Deloitte Canada</w:t>
      </w:r>
      <w:r>
        <w:rPr>
          <w:rFonts w:eastAsia="inter" w:cs="inter" w:ascii="inter" w:hAnsi="inter"/>
          <w:color w:val="000000"/>
          <w:sz w:val="21"/>
        </w:rPr>
        <w:t xml:space="preserve"> selected for Israeli government cloud transformation roadmap</w:t>
      </w:r>
    </w:p>
    <w:p>
      <w:pPr>
        <w:numPr>
          <w:ilvl w:val="0"/>
          <w:numId w:val="37"/>
        </w:numPr>
        <w:spacing w:line="360" w:before="105" w:after="105" w:lineRule="auto"/>
      </w:pPr>
      <w:r>
        <w:rPr>
          <w:rFonts w:eastAsia="inter" w:cs="inter" w:ascii="inter" w:hAnsi="inter"/>
          <w:b/>
          <w:color w:val="000000"/>
          <w:sz w:val="21"/>
        </w:rPr>
        <w:t xml:space="preserve">Strategic Implication</w:t>
      </w:r>
      <w:r>
        <w:rPr>
          <w:rFonts w:eastAsia="inter" w:cs="inter" w:ascii="inter" w:hAnsi="inter"/>
          <w:color w:val="000000"/>
          <w:sz w:val="21"/>
        </w:rPr>
        <w:t xml:space="preserve">: Deloitte shapes policy, procurement criteria, and tech direction</w:t>
      </w:r>
    </w:p>
    <w:p>
      <w:pPr>
        <w:numPr>
          <w:ilvl w:val="0"/>
          <w:numId w:val="37"/>
        </w:numPr>
        <w:spacing w:line="360" w:before="105" w:after="105" w:lineRule="auto"/>
      </w:pPr>
      <w:r>
        <w:rPr>
          <w:rFonts w:eastAsia="inter" w:cs="inter" w:ascii="inter" w:hAnsi="inter"/>
          <w:b/>
          <w:color w:val="000000"/>
          <w:sz w:val="21"/>
        </w:rPr>
        <w:t xml:space="preserve">Long-term Value</w:t>
      </w:r>
      <w:r>
        <w:rPr>
          <w:rFonts w:eastAsia="inter" w:cs="inter" w:ascii="inter" w:hAnsi="inter"/>
          <w:color w:val="000000"/>
          <w:sz w:val="21"/>
        </w:rPr>
        <w:t xml:space="preserve">: Influence over multi-year, multi-ministry transformation</w:t>
      </w:r>
    </w:p>
    <w:p>
      <w:pPr>
        <w:spacing w:line="360" w:after="210" w:lineRule="auto"/>
      </w:pPr>
      <w:r>
        <w:rPr>
          <w:rFonts w:eastAsia="inter" w:cs="inter" w:ascii="inter" w:hAnsi="inter"/>
          <w:b/>
          <w:color w:val="000000"/>
        </w:rPr>
        <w:t xml:space="preserve">2. Infrastructure Play – Silicon to Service</w:t>
      </w:r>
      <w:r>
        <w:rPr>
          <w:rFonts w:eastAsia="inter" w:cs="inter" w:ascii="inter" w:hAnsi="inter"/>
          <w:color w:val="000000"/>
        </w:rPr>
        <w:t xml:space="preserve">:</w:t>
      </w:r>
      <w:bookmarkStart w:id="99" w:name="fnref21_1"/>
      <w:bookmarkEnd w:id="99"/>
      <w:hyperlink w:anchor="fn21">
        <w:r>
          <w:rPr>
            <w:rFonts w:eastAsia="inter" w:cs="inter" w:ascii="inter" w:hAnsi="inter"/>
            <w:color w:val="#000"/>
            <w:u w:val="single"/>
            <w:vertAlign w:val="superscript"/>
          </w:rPr>
          <w:t xml:space="preserve">[21]</w:t>
        </w:r>
      </w:hyperlink>
      <w:bookmarkStart w:id="100" w:name="fnref22_1"/>
      <w:bookmarkEnd w:id="100"/>
      <w:hyperlink w:anchor="fn22">
        <w:r>
          <w:rPr>
            <w:rFonts w:eastAsia="inter" w:cs="inter" w:ascii="inter" w:hAnsi="inter"/>
            <w:color w:val="#000"/>
            <w:u w:val="single"/>
            <w:vertAlign w:val="superscript"/>
          </w:rPr>
          <w:t xml:space="preserve">[22]</w:t>
        </w:r>
      </w:hyperlink>
      <w:bookmarkStart w:id="101" w:name="fnref43"/>
      <w:bookmarkEnd w:id="101"/>
      <w:hyperlink w:anchor="fn43">
        <w:r>
          <w:rPr>
            <w:rFonts w:eastAsia="inter" w:cs="inter" w:ascii="inter" w:hAnsi="inter"/>
            <w:color w:val="#000"/>
            <w:u w:val="single"/>
            <w:vertAlign w:val="superscript"/>
          </w:rPr>
          <w:t xml:space="preserve">[43]</w:t>
        </w:r>
      </w:hyperlink>
      <w:bookmarkStart w:id="102" w:name="fnref20_1"/>
      <w:bookmarkEnd w:id="102"/>
      <w:hyperlink w:anchor="fn20">
        <w:r>
          <w:rPr>
            <w:rFonts w:eastAsia="inter" w:cs="inter" w:ascii="inter" w:hAnsi="inter"/>
            <w:color w:val="#000"/>
            <w:u w:val="single"/>
            <w:vertAlign w:val="superscript"/>
          </w:rPr>
          <w:t xml:space="preserve">[20]</w:t>
        </w:r>
      </w:hyperlink>
    </w:p>
    <w:p>
      <w:pPr>
        <w:numPr>
          <w:ilvl w:val="0"/>
          <w:numId w:val="38"/>
        </w:numPr>
        <w:spacing w:line="360" w:before="105" w:after="105" w:lineRule="auto"/>
      </w:pPr>
      <w:r>
        <w:rPr>
          <w:rFonts w:eastAsia="inter" w:cs="inter" w:ascii="inter" w:hAnsi="inter"/>
          <w:b/>
          <w:color w:val="000000"/>
          <w:sz w:val="21"/>
        </w:rPr>
        <w:t xml:space="preserve">Target</w:t>
      </w:r>
      <w:r>
        <w:rPr>
          <w:rFonts w:eastAsia="inter" w:cs="inter" w:ascii="inter" w:hAnsi="inter"/>
          <w:color w:val="000000"/>
          <w:sz w:val="21"/>
        </w:rPr>
        <w:t xml:space="preserve">: Government and regulated industries</w:t>
      </w:r>
    </w:p>
    <w:p>
      <w:pPr>
        <w:numPr>
          <w:ilvl w:val="0"/>
          <w:numId w:val="38"/>
        </w:numPr>
        <w:spacing w:line="360" w:before="105" w:after="105" w:lineRule="auto"/>
      </w:pPr>
      <w:r>
        <w:rPr>
          <w:rFonts w:eastAsia="inter" w:cs="inter" w:ascii="inter" w:hAnsi="inter"/>
          <w:b/>
          <w:color w:val="000000"/>
          <w:sz w:val="21"/>
        </w:rPr>
        <w:t xml:space="preserve">Stack</w:t>
      </w:r>
      <w:r>
        <w:rPr>
          <w:rFonts w:eastAsia="inter" w:cs="inter" w:ascii="inter" w:hAnsi="inter"/>
          <w:color w:val="000000"/>
          <w:sz w:val="21"/>
        </w:rPr>
        <w:t xml:space="preserve">: NVIDIA Blackwell + Dell hardware + Equinix hosting</w:t>
      </w:r>
    </w:p>
    <w:p>
      <w:pPr>
        <w:numPr>
          <w:ilvl w:val="0"/>
          <w:numId w:val="38"/>
        </w:numPr>
        <w:spacing w:line="360" w:before="105" w:after="105" w:lineRule="auto"/>
      </w:pPr>
      <w:r>
        <w:rPr>
          <w:rFonts w:eastAsia="inter" w:cs="inter" w:ascii="inter" w:hAnsi="inter"/>
          <w:b/>
          <w:color w:val="000000"/>
          <w:sz w:val="21"/>
        </w:rPr>
        <w:t xml:space="preserve">Positioning</w:t>
      </w:r>
      <w:r>
        <w:rPr>
          <w:rFonts w:eastAsia="inter" w:cs="inter" w:ascii="inter" w:hAnsi="inter"/>
          <w:color w:val="000000"/>
          <w:sz w:val="21"/>
        </w:rPr>
        <w:t xml:space="preserve">: When government ministries deploy AI (fraud detection, citizen services optimization, predictive analytics), S2S is the infrastructure platform</w:t>
      </w:r>
    </w:p>
    <w:p>
      <w:pPr>
        <w:numPr>
          <w:ilvl w:val="0"/>
          <w:numId w:val="38"/>
        </w:numPr>
        <w:spacing w:line="360" w:before="105" w:after="105" w:lineRule="auto"/>
      </w:pPr>
      <w:r>
        <w:rPr>
          <w:rFonts w:eastAsia="inter" w:cs="inter" w:ascii="inter" w:hAnsi="inter"/>
          <w:b/>
          <w:color w:val="000000"/>
          <w:sz w:val="21"/>
        </w:rPr>
        <w:t xml:space="preserve">Competitive Advantage</w:t>
      </w:r>
      <w:r>
        <w:rPr>
          <w:rFonts w:eastAsia="inter" w:cs="inter" w:ascii="inter" w:hAnsi="inter"/>
          <w:color w:val="000000"/>
          <w:sz w:val="21"/>
        </w:rPr>
        <w:t xml:space="preserve">: No Israeli competitor offers comparable AI infrastructure as a service</w:t>
      </w:r>
    </w:p>
    <w:p>
      <w:pPr>
        <w:spacing w:line="360" w:after="210" w:lineRule="auto"/>
      </w:pPr>
      <w:r>
        <w:rPr>
          <w:rFonts w:eastAsia="inter" w:cs="inter" w:ascii="inter" w:hAnsi="inter"/>
          <w:b/>
          <w:color w:val="000000"/>
        </w:rPr>
        <w:t xml:space="preserve">3. Integration Services</w:t>
      </w:r>
      <w:r>
        <w:rPr>
          <w:rFonts w:eastAsia="inter" w:cs="inter" w:ascii="inter" w:hAnsi="inter"/>
          <w:color w:val="000000"/>
        </w:rPr>
        <w:t xml:space="preserve">:</w:t>
      </w:r>
      <w:bookmarkStart w:id="103" w:name="fnref43_1"/>
      <w:bookmarkEnd w:id="103"/>
      <w:hyperlink w:anchor="fn43">
        <w:r>
          <w:rPr>
            <w:rFonts w:eastAsia="inter" w:cs="inter" w:ascii="inter" w:hAnsi="inter"/>
            <w:color w:val="#000"/>
            <w:u w:val="single"/>
            <w:vertAlign w:val="superscript"/>
          </w:rPr>
          <w:t xml:space="preserve">[43]</w:t>
        </w:r>
      </w:hyperlink>
      <w:bookmarkStart w:id="104" w:name="fnref44"/>
      <w:bookmarkEnd w:id="104"/>
      <w:hyperlink w:anchor="fn44">
        <w:r>
          <w:rPr>
            <w:rFonts w:eastAsia="inter" w:cs="inter" w:ascii="inter" w:hAnsi="inter"/>
            <w:color w:val="#000"/>
            <w:u w:val="single"/>
            <w:vertAlign w:val="superscript"/>
          </w:rPr>
          <w:t xml:space="preserve">[44]</w:t>
        </w:r>
      </w:hyperlink>
      <w:bookmarkStart w:id="105" w:name="fnref45"/>
      <w:bookmarkEnd w:id="105"/>
      <w:hyperlink w:anchor="fn45">
        <w:r>
          <w:rPr>
            <w:rFonts w:eastAsia="inter" w:cs="inter" w:ascii="inter" w:hAnsi="inter"/>
            <w:color w:val="#000"/>
            <w:u w:val="single"/>
            <w:vertAlign w:val="superscript"/>
          </w:rPr>
          <w:t xml:space="preserve">[45]</w:t>
        </w:r>
      </w:hyperlink>
    </w:p>
    <w:p>
      <w:pPr>
        <w:numPr>
          <w:ilvl w:val="0"/>
          <w:numId w:val="39"/>
        </w:numPr>
        <w:spacing w:line="360" w:before="105" w:after="105" w:lineRule="auto"/>
      </w:pPr>
      <w:r>
        <w:rPr>
          <w:rFonts w:eastAsia="inter" w:cs="inter" w:ascii="inter" w:hAnsi="inter"/>
          <w:b/>
          <w:color w:val="000000"/>
          <w:sz w:val="21"/>
        </w:rPr>
        <w:t xml:space="preserve">GovTech Practice</w:t>
      </w:r>
      <w:r>
        <w:rPr>
          <w:rFonts w:eastAsia="inter" w:cs="inter" w:ascii="inter" w:hAnsi="inter"/>
          <w:color w:val="000000"/>
          <w:sz w:val="21"/>
        </w:rPr>
        <w:t xml:space="preserve">: Dedicated consulting practice for government digital transformation</w:t>
      </w:r>
    </w:p>
    <w:p>
      <w:pPr>
        <w:numPr>
          <w:ilvl w:val="0"/>
          <w:numId w:val="39"/>
        </w:numPr>
        <w:spacing w:line="360" w:before="105" w:after="105" w:lineRule="auto"/>
      </w:pPr>
      <w:r>
        <w:rPr>
          <w:rFonts w:eastAsia="inter" w:cs="inter" w:ascii="inter" w:hAnsi="inter"/>
          <w:b/>
          <w:color w:val="000000"/>
          <w:sz w:val="21"/>
        </w:rPr>
        <w:t xml:space="preserve">Services</w:t>
      </w:r>
      <w:r>
        <w:rPr>
          <w:rFonts w:eastAsia="inter" w:cs="inter" w:ascii="inter" w:hAnsi="inter"/>
          <w:color w:val="000000"/>
          <w:sz w:val="21"/>
        </w:rPr>
        <w:t xml:space="preserve">: Cloud migration strategy, systems integration, AI implementation, business process redesign</w:t>
      </w:r>
    </w:p>
    <w:p>
      <w:pPr>
        <w:numPr>
          <w:ilvl w:val="0"/>
          <w:numId w:val="39"/>
        </w:numPr>
        <w:spacing w:line="360" w:before="105" w:after="105" w:lineRule="auto"/>
      </w:pPr>
      <w:r>
        <w:rPr>
          <w:rFonts w:eastAsia="inter" w:cs="inter" w:ascii="inter" w:hAnsi="inter"/>
          <w:b/>
          <w:color w:val="000000"/>
          <w:sz w:val="21"/>
        </w:rPr>
        <w:t xml:space="preserve">Positioning</w:t>
      </w:r>
      <w:r>
        <w:rPr>
          <w:rFonts w:eastAsia="inter" w:cs="inter" w:ascii="inter" w:hAnsi="inter"/>
          <w:color w:val="000000"/>
          <w:sz w:val="21"/>
        </w:rPr>
        <w:t xml:space="preserve">: While Matrix provides SAP BTP on Nimbus, Deloitte provides the consulting and integration around it</w:t>
      </w:r>
    </w:p>
    <w:p>
      <w:pPr>
        <w:spacing w:line="360" w:after="210" w:lineRule="auto"/>
      </w:pPr>
      <w:r>
        <w:rPr>
          <w:rFonts w:eastAsia="inter" w:cs="inter" w:ascii="inter" w:hAnsi="inter"/>
          <w:b/>
          <w:color w:val="000000"/>
        </w:rPr>
        <w:t xml:space="preserve">4. Startup Pipeline Integration</w:t>
      </w:r>
      <w:r>
        <w:rPr>
          <w:rFonts w:eastAsia="inter" w:cs="inter" w:ascii="inter" w:hAnsi="inter"/>
          <w:color w:val="000000"/>
        </w:rPr>
        <w:t xml:space="preserve">:</w:t>
      </w:r>
      <w:bookmarkStart w:id="106" w:name="fnref46"/>
      <w:bookmarkEnd w:id="106"/>
      <w:hyperlink w:anchor="fn46">
        <w:r>
          <w:rPr>
            <w:rFonts w:eastAsia="inter" w:cs="inter" w:ascii="inter" w:hAnsi="inter"/>
            <w:color w:val="#000"/>
            <w:u w:val="single"/>
            <w:vertAlign w:val="superscript"/>
          </w:rPr>
          <w:t xml:space="preserve">[46]</w:t>
        </w:r>
      </w:hyperlink>
    </w:p>
    <w:p>
      <w:pPr>
        <w:numPr>
          <w:ilvl w:val="0"/>
          <w:numId w:val="40"/>
        </w:numPr>
        <w:spacing w:line="360" w:before="105" w:after="105" w:lineRule="auto"/>
      </w:pPr>
      <w:r>
        <w:rPr>
          <w:rFonts w:eastAsia="inter" w:cs="inter" w:ascii="inter" w:hAnsi="inter"/>
          <w:b/>
          <w:color w:val="000000"/>
          <w:sz w:val="21"/>
        </w:rPr>
        <w:t xml:space="preserve">Israel's Government AI Open Call (May 2024)</w:t>
      </w:r>
      <w:r>
        <w:rPr>
          <w:rFonts w:eastAsia="inter" w:cs="inter" w:ascii="inter" w:hAnsi="inter"/>
          <w:color w:val="000000"/>
          <w:sz w:val="21"/>
        </w:rPr>
        <w:t xml:space="preserve">: 9 winning government entities, 21 ministries participated</w:t>
      </w:r>
    </w:p>
    <w:p>
      <w:pPr>
        <w:numPr>
          <w:ilvl w:val="0"/>
          <w:numId w:val="40"/>
        </w:numPr>
        <w:spacing w:line="360" w:before="105" w:after="105" w:lineRule="auto"/>
      </w:pPr>
      <w:r>
        <w:rPr>
          <w:rFonts w:eastAsia="inter" w:cs="inter" w:ascii="inter" w:hAnsi="inter"/>
          <w:b/>
          <w:color w:val="000000"/>
          <w:sz w:val="21"/>
        </w:rPr>
        <w:t xml:space="preserve">Winning Projects</w:t>
      </w:r>
      <w:r>
        <w:rPr>
          <w:rFonts w:eastAsia="inter" w:cs="inter" w:ascii="inter" w:hAnsi="inter"/>
          <w:color w:val="000000"/>
          <w:sz w:val="21"/>
        </w:rPr>
        <w:t xml:space="preserve">:</w:t>
      </w:r>
    </w:p>
    <w:p>
      <w:pPr>
        <w:numPr>
          <w:ilvl w:val="1"/>
          <w:numId w:val="40"/>
        </w:numPr>
        <w:spacing w:line="360" w:before="105" w:after="105" w:lineRule="auto"/>
      </w:pPr>
      <w:r>
        <w:rPr>
          <w:rFonts w:eastAsia="inter" w:cs="inter" w:ascii="inter" w:hAnsi="inter"/>
          <w:color w:val="000000"/>
          <w:sz w:val="21"/>
        </w:rPr>
        <w:t xml:space="preserve">Ministry of Transportation: Traffic optimization AI (6M NIS savings/year)</w:t>
      </w:r>
    </w:p>
    <w:p>
      <w:pPr>
        <w:numPr>
          <w:ilvl w:val="1"/>
          <w:numId w:val="40"/>
        </w:numPr>
        <w:spacing w:line="360" w:before="105" w:after="105" w:lineRule="auto"/>
      </w:pPr>
      <w:r>
        <w:rPr>
          <w:rFonts w:eastAsia="inter" w:cs="inter" w:ascii="inter" w:hAnsi="inter"/>
          <w:color w:val="000000"/>
          <w:sz w:val="21"/>
        </w:rPr>
        <w:t xml:space="preserve">Israeli Tax Authority: Automated goods classification (15M NIS savings/year)</w:t>
      </w:r>
    </w:p>
    <w:p>
      <w:pPr>
        <w:numPr>
          <w:ilvl w:val="1"/>
          <w:numId w:val="40"/>
        </w:numPr>
        <w:spacing w:line="360" w:before="105" w:after="105" w:lineRule="auto"/>
      </w:pPr>
      <w:r>
        <w:rPr>
          <w:rFonts w:eastAsia="inter" w:cs="inter" w:ascii="inter" w:hAnsi="inter"/>
          <w:color w:val="000000"/>
          <w:sz w:val="21"/>
        </w:rPr>
        <w:t xml:space="preserve">Center for Survey of Israel: Automated mapping (2.5M NIS savings/year)</w:t>
      </w:r>
    </w:p>
    <w:p>
      <w:pPr>
        <w:numPr>
          <w:ilvl w:val="1"/>
          <w:numId w:val="40"/>
        </w:numPr>
        <w:spacing w:line="360" w:before="105" w:after="105" w:lineRule="auto"/>
      </w:pPr>
      <w:r>
        <w:rPr>
          <w:rFonts w:eastAsia="inter" w:cs="inter" w:ascii="inter" w:hAnsi="inter"/>
          <w:color w:val="000000"/>
          <w:sz w:val="21"/>
        </w:rPr>
        <w:t xml:space="preserve">Ministry of Justice: Money laundering detection (100B NIS economic impact)</w:t>
      </w:r>
    </w:p>
    <w:p>
      <w:pPr>
        <w:numPr>
          <w:ilvl w:val="1"/>
          <w:numId w:val="40"/>
        </w:numPr>
        <w:spacing w:line="360" w:before="105" w:after="105" w:lineRule="auto"/>
      </w:pPr>
      <w:r>
        <w:rPr>
          <w:rFonts w:eastAsia="inter" w:cs="inter" w:ascii="inter" w:hAnsi="inter"/>
          <w:color w:val="000000"/>
          <w:sz w:val="21"/>
        </w:rPr>
        <w:t xml:space="preserve">National Insurance: Claims automation (2M NIS savings/year)</w:t>
      </w:r>
    </w:p>
    <w:p>
      <w:pPr>
        <w:numPr>
          <w:ilvl w:val="1"/>
          <w:numId w:val="40"/>
        </w:numPr>
        <w:spacing w:line="360" w:before="105" w:after="105" w:lineRule="auto"/>
      </w:pPr>
      <w:r>
        <w:rPr>
          <w:rFonts w:eastAsia="inter" w:cs="inter" w:ascii="inter" w:hAnsi="inter"/>
          <w:color w:val="000000"/>
          <w:sz w:val="21"/>
        </w:rPr>
        <w:t xml:space="preserve">Ministry of Labor: AI-powered rights platform</w:t>
      </w:r>
    </w:p>
    <w:p>
      <w:pPr>
        <w:numPr>
          <w:ilvl w:val="1"/>
          <w:numId w:val="40"/>
        </w:numPr>
        <w:spacing w:line="360" w:before="105" w:after="105" w:lineRule="auto"/>
      </w:pPr>
      <w:r>
        <w:rPr>
          <w:rFonts w:eastAsia="inter" w:cs="inter" w:ascii="inter" w:hAnsi="inter"/>
          <w:color w:val="000000"/>
          <w:sz w:val="21"/>
        </w:rPr>
        <w:t xml:space="preserve">And 3 others</w:t>
      </w:r>
    </w:p>
    <w:p>
      <w:pPr>
        <w:spacing w:line="360" w:after="210" w:lineRule="auto"/>
      </w:pPr>
      <w:r>
        <w:rPr>
          <w:rFonts w:eastAsia="inter" w:cs="inter" w:ascii="inter" w:hAnsi="inter"/>
          <w:b/>
          <w:color w:val="000000"/>
        </w:rPr>
        <w:t xml:space="preserve">Deloitte Position</w:t>
      </w:r>
      <w:r>
        <w:rPr>
          <w:rFonts w:eastAsia="inter" w:cs="inter" w:ascii="inter" w:hAnsi="inter"/>
          <w:color w:val="000000"/>
        </w:rPr>
        <w:t xml:space="preserve">: Positioned to integrate Catalyst/Launchpad startups into government modernization initiatives across these 9+ agencies.</w:t>
      </w:r>
    </w:p>
    <w:p>
      <w:pPr>
        <w:spacing w:line="360" w:before="315" w:after="105" w:lineRule="auto"/>
        <w:ind w:left="-30"/>
        <w:jc w:val="left"/>
      </w:pPr>
      <w:bookmarkStart w:id="107" w:name="bm_5_3_competitive_comparison_mat_df6cf1"/>
      <w:r>
        <w:rPr>
          <w:rFonts w:eastAsia="inter" w:cs="inter" w:ascii="inter" w:hAnsi="inter"/>
          <w:b/>
          <w:color w:val="000000"/>
          <w:sz w:val="24"/>
        </w:rPr>
        <w:t xml:space="preserve">5.3 Competitive Comparison: Matrix vs. Deloitte</w:t>
      </w:r>
      <w:bookmarkEnd w:id="107"/>
    </w:p>
    <w:p>
      <w:pPr>
        <w:spacing w:line="360" w:after="210" w:lineRule="auto"/>
      </w:pPr>
      <w:r>
        <w:rPr>
          <w:rFonts w:eastAsia="inter" w:cs="inter" w:ascii="inter" w:hAnsi="inter"/>
          <w:b/>
          <w:color w:val="000000"/>
        </w:rPr>
        <w:t xml:space="preserve">Matrix IT Position</w:t>
      </w:r>
      <w:r>
        <w:rPr>
          <w:rFonts w:eastAsia="inter" w:cs="inter" w:ascii="inter" w:hAnsi="inter"/>
          <w:color w:val="000000"/>
        </w:rPr>
        <w:t xml:space="preserve">:</w:t>
      </w:r>
      <w:bookmarkStart w:id="108" w:name="fnref47"/>
      <w:bookmarkEnd w:id="108"/>
      <w:hyperlink w:anchor="fn47">
        <w:r>
          <w:rPr>
            <w:rFonts w:eastAsia="inter" w:cs="inter" w:ascii="inter" w:hAnsi="inter"/>
            <w:color w:val="#000"/>
            <w:u w:val="single"/>
            <w:vertAlign w:val="superscript"/>
          </w:rPr>
          <w:t xml:space="preserve">[47]</w:t>
        </w:r>
      </w:hyperlink>
      <w:bookmarkStart w:id="109" w:name="fnref48"/>
      <w:bookmarkEnd w:id="109"/>
      <w:hyperlink w:anchor="fn48">
        <w:r>
          <w:rPr>
            <w:rFonts w:eastAsia="inter" w:cs="inter" w:ascii="inter" w:hAnsi="inter"/>
            <w:color w:val="#000"/>
            <w:u w:val="single"/>
            <w:vertAlign w:val="superscript"/>
          </w:rPr>
          <w:t xml:space="preserve">[48]</w:t>
        </w:r>
      </w:hyperlink>
      <w:bookmarkStart w:id="110" w:name="fnref49"/>
      <w:bookmarkEnd w:id="110"/>
      <w:hyperlink w:anchor="fn49">
        <w:r>
          <w:rPr>
            <w:rFonts w:eastAsia="inter" w:cs="inter" w:ascii="inter" w:hAnsi="inter"/>
            <w:color w:val="#000"/>
            <w:u w:val="single"/>
            <w:vertAlign w:val="superscript"/>
          </w:rPr>
          <w:t xml:space="preserve">[49]</w:t>
        </w:r>
      </w:hyperlink>
    </w:p>
    <w:p>
      <w:pPr>
        <w:numPr>
          <w:ilvl w:val="0"/>
          <w:numId w:val="41"/>
        </w:numPr>
        <w:spacing w:line="360" w:before="105" w:after="105" w:lineRule="auto"/>
      </w:pPr>
      <w:r>
        <w:rPr>
          <w:rFonts w:eastAsia="inter" w:cs="inter" w:ascii="inter" w:hAnsi="inter"/>
          <w:color w:val="000000"/>
          <w:sz w:val="21"/>
        </w:rPr>
        <w:t xml:space="preserve">Won SAP BTP provision on Nimbus Layer 5</w:t>
      </w:r>
    </w:p>
    <w:p>
      <w:pPr>
        <w:numPr>
          <w:ilvl w:val="0"/>
          <w:numId w:val="41"/>
        </w:numPr>
        <w:spacing w:line="360" w:before="105" w:after="105" w:lineRule="auto"/>
      </w:pPr>
      <w:r>
        <w:rPr>
          <w:rFonts w:eastAsia="inter" w:cs="inter" w:ascii="inter" w:hAnsi="inter"/>
          <w:color w:val="000000"/>
          <w:sz w:val="21"/>
        </w:rPr>
        <w:t xml:space="preserve">Provides SAP Business Technology Platform on Google Cloud for government ministries</w:t>
      </w:r>
    </w:p>
    <w:p>
      <w:pPr>
        <w:numPr>
          <w:ilvl w:val="0"/>
          <w:numId w:val="41"/>
        </w:numPr>
        <w:spacing w:line="360" w:before="105" w:after="105" w:lineRule="auto"/>
      </w:pPr>
      <w:r>
        <w:rPr>
          <w:rFonts w:eastAsia="inter" w:cs="inter" w:ascii="inter" w:hAnsi="inter"/>
          <w:b/>
          <w:color w:val="000000"/>
          <w:sz w:val="21"/>
        </w:rPr>
        <w:t xml:space="preserve">Model</w:t>
      </w:r>
      <w:r>
        <w:rPr>
          <w:rFonts w:eastAsia="inter" w:cs="inter" w:ascii="inter" w:hAnsi="inter"/>
          <w:color w:val="000000"/>
          <w:sz w:val="21"/>
        </w:rPr>
        <w:t xml:space="preserve">: Linear – fulfill contract, deliver, move on</w:t>
      </w:r>
    </w:p>
    <w:p>
      <w:pPr>
        <w:spacing w:line="360" w:after="210" w:lineRule="auto"/>
      </w:pPr>
      <w:r>
        <w:rPr>
          <w:rFonts w:eastAsia="inter" w:cs="inter" w:ascii="inter" w:hAnsi="inter"/>
          <w:b/>
          <w:color w:val="000000"/>
        </w:rPr>
        <w:t xml:space="preserve">Deloitte Position</w:t>
      </w:r>
      <w:r>
        <w:rPr>
          <w:rFonts w:eastAsia="inter" w:cs="inter" w:ascii="inter" w:hAnsi="inter"/>
          <w:color w:val="000000"/>
        </w:rPr>
        <w:t xml:space="preserve">:</w:t>
      </w:r>
    </w:p>
    <w:p>
      <w:pPr>
        <w:numPr>
          <w:ilvl w:val="0"/>
          <w:numId w:val="42"/>
        </w:numPr>
        <w:spacing w:line="360" w:before="105" w:after="105" w:lineRule="auto"/>
      </w:pPr>
      <w:r>
        <w:rPr>
          <w:rFonts w:eastAsia="inter" w:cs="inter" w:ascii="inter" w:hAnsi="inter"/>
          <w:color w:val="000000"/>
          <w:sz w:val="21"/>
        </w:rPr>
        <w:t xml:space="preserve">Advisory role (cloud roadmap)</w:t>
      </w:r>
    </w:p>
    <w:p>
      <w:pPr>
        <w:numPr>
          <w:ilvl w:val="0"/>
          <w:numId w:val="42"/>
        </w:numPr>
        <w:spacing w:line="360" w:before="105" w:after="105" w:lineRule="auto"/>
      </w:pPr>
      <w:r>
        <w:rPr>
          <w:rFonts w:eastAsia="inter" w:cs="inter" w:ascii="inter" w:hAnsi="inter"/>
          <w:color w:val="000000"/>
          <w:sz w:val="21"/>
        </w:rPr>
        <w:t xml:space="preserve">Infrastructure offering (S2S for government AI)</w:t>
      </w:r>
    </w:p>
    <w:p>
      <w:pPr>
        <w:numPr>
          <w:ilvl w:val="0"/>
          <w:numId w:val="42"/>
        </w:numPr>
        <w:spacing w:line="360" w:before="105" w:after="105" w:lineRule="auto"/>
      </w:pPr>
      <w:r>
        <w:rPr>
          <w:rFonts w:eastAsia="inter" w:cs="inter" w:ascii="inter" w:hAnsi="inter"/>
          <w:color w:val="000000"/>
          <w:sz w:val="21"/>
        </w:rPr>
        <w:t xml:space="preserve">Integration services (systems modernization)</w:t>
      </w:r>
    </w:p>
    <w:p>
      <w:pPr>
        <w:numPr>
          <w:ilvl w:val="0"/>
          <w:numId w:val="42"/>
        </w:numPr>
        <w:spacing w:line="360" w:before="105" w:after="105" w:lineRule="auto"/>
      </w:pPr>
      <w:r>
        <w:rPr>
          <w:rFonts w:eastAsia="inter" w:cs="inter" w:ascii="inter" w:hAnsi="inter"/>
          <w:color w:val="000000"/>
          <w:sz w:val="21"/>
        </w:rPr>
        <w:t xml:space="preserve">Startup pipeline (GovTech solutions)</w:t>
      </w:r>
    </w:p>
    <w:p>
      <w:pPr>
        <w:numPr>
          <w:ilvl w:val="0"/>
          <w:numId w:val="42"/>
        </w:numPr>
        <w:spacing w:line="360" w:before="105" w:after="105" w:lineRule="auto"/>
      </w:pPr>
      <w:r>
        <w:rPr>
          <w:rFonts w:eastAsia="inter" w:cs="inter" w:ascii="inter" w:hAnsi="inter"/>
          <w:b/>
          <w:color w:val="000000"/>
          <w:sz w:val="21"/>
        </w:rPr>
        <w:t xml:space="preserve">Model</w:t>
      </w:r>
      <w:r>
        <w:rPr>
          <w:rFonts w:eastAsia="inter" w:cs="inter" w:ascii="inter" w:hAnsi="inter"/>
          <w:color w:val="000000"/>
          <w:sz w:val="21"/>
        </w:rPr>
        <w:t xml:space="preserve">: Exponential – grow across multi-ministry, multi-year transformation</w:t>
      </w:r>
    </w:p>
    <w:p>
      <w:pPr>
        <w:spacing w:line="360" w:after="210" w:lineRule="auto"/>
      </w:pPr>
      <w:r>
        <w:rPr>
          <w:rFonts w:eastAsia="inter" w:cs="inter" w:ascii="inter" w:hAnsi="inter"/>
          <w:b/>
          <w:color w:val="000000"/>
        </w:rPr>
        <w:t xml:space="preserve">Why Deloitte's Approach Is More Threatening</w:t>
      </w:r>
      <w:r>
        <w:rPr>
          <w:rFonts w:eastAsia="inter" w:cs="inter" w:ascii="inter" w:hAnsi="inter"/>
          <w:color w:val="000000"/>
        </w:rPr>
        <w:t xml:space="preserve">: Matrix won a tender. Deloitte is building a long-term embedded relationship with government's digital transformation strategy.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1" w:name="section_6_competitive_threat_matrix"/>
      <w:r>
        <w:rPr>
          <w:rFonts w:eastAsia="inter" w:cs="inter" w:ascii="inter" w:hAnsi="inter"/>
          <w:b/>
          <w:color w:val="000000"/>
          <w:sz w:val="24"/>
        </w:rPr>
        <w:t xml:space="preserve">SECTION 6: COMPETITIVE THREAT MATRIX</w:t>
      </w:r>
      <w:bookmarkEnd w:id="111"/>
    </w:p>
    <w:p>
      <w:pPr>
        <w:spacing w:line="360" w:before="315" w:after="105" w:lineRule="auto"/>
        <w:ind w:left="-30"/>
        <w:jc w:val="left"/>
      </w:pPr>
      <w:bookmarkStart w:id="112" w:name="bm_6_1_the_m_a_timeline_acquisiti_9a28f6"/>
      <w:r>
        <w:rPr>
          <w:rFonts w:eastAsia="inter" w:cs="inter" w:ascii="inter" w:hAnsi="inter"/>
          <w:b/>
          <w:color w:val="000000"/>
          <w:sz w:val="24"/>
        </w:rPr>
        <w:t xml:space="preserve">6.1 The M&amp;A Timeline &amp; Acquisition Velocity</w:t>
      </w:r>
      <w:bookmarkEnd w:id="11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Year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Acquisition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Capability Added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Strategic Purpose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2017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innoWake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Code modernization tooling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Legacy system transformation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2020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HashedIn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700 software engineers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Execution at scale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2021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Awesome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40 creative professionals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End-to-end digital transformation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OpTeamizer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NVIDIA AI/HPC specialists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Agentic AI + infrastructure integration</w:t>
            </w:r>
          </w:p>
        </w:tc>
      </w:tr>
    </w:tbl>
    <w:p>
      <w:pPr>
        <w:spacing w:lineRule="auto"/>
      </w:pPr>
    </w:p>
    <w:p>
      <w:pPr>
        <w:spacing w:line="360" w:after="210" w:lineRule="auto"/>
      </w:pPr>
      <w:r>
        <w:rPr>
          <w:rFonts w:eastAsia="inter" w:cs="inter" w:ascii="inter" w:hAnsi="inter"/>
          <w:b/>
          <w:color w:val="000000"/>
        </w:rPr>
        <w:t xml:space="preserve">Message</w:t>
      </w:r>
      <w:r>
        <w:rPr>
          <w:rFonts w:eastAsia="inter" w:cs="inter" w:ascii="inter" w:hAnsi="inter"/>
          <w:color w:val="000000"/>
        </w:rPr>
        <w:t xml:space="preserve">: Deloitte is systematically building a </w:t>
      </w:r>
      <w:r>
        <w:rPr>
          <w:rFonts w:eastAsia="inter" w:cs="inter" w:ascii="inter" w:hAnsi="inter"/>
          <w:b/>
          <w:color w:val="000000"/>
        </w:rPr>
        <w:t xml:space="preserve">full-stack transformation machine</w:t>
      </w:r>
      <w:r>
        <w:rPr>
          <w:rFonts w:eastAsia="inter" w:cs="inter" w:ascii="inter" w:hAnsi="inter"/>
          <w:color w:val="000000"/>
        </w:rPr>
        <w:t xml:space="preserve">, not making random acquisitions.</w:t>
      </w:r>
    </w:p>
    <w:p>
      <w:pPr>
        <w:spacing w:line="360" w:before="315" w:after="105" w:lineRule="auto"/>
        <w:ind w:left="-30"/>
        <w:jc w:val="left"/>
      </w:pPr>
      <w:bookmarkStart w:id="113" w:name="bm_6_2_why_deloitte_is_a_bigger_d_2a5562"/>
      <w:r>
        <w:rPr>
          <w:rFonts w:eastAsia="inter" w:cs="inter" w:ascii="inter" w:hAnsi="inter"/>
          <w:b/>
          <w:color w:val="000000"/>
          <w:sz w:val="24"/>
        </w:rPr>
        <w:t xml:space="preserve">6.2 Why Deloitte Is a Bigger Daily Threat Than Accenture</w:t>
      </w:r>
      <w:bookmarkEnd w:id="113"/>
    </w:p>
    <w:p>
      <w:pPr>
        <w:spacing w:line="360" w:after="210" w:lineRule="auto"/>
      </w:pPr>
      <w:r>
        <w:rPr>
          <w:rFonts w:eastAsia="inter" w:cs="inter" w:ascii="inter" w:hAnsi="inter"/>
          <w:b/>
          <w:color w:val="000000"/>
        </w:rPr>
        <w:t xml:space="preserve">Accenture's Competitive Profile</w:t>
      </w:r>
      <w:r>
        <w:rPr>
          <w:rFonts w:eastAsia="inter" w:cs="inter" w:ascii="inter" w:hAnsi="inter"/>
          <w:color w:val="000000"/>
        </w:rPr>
        <w:t xml:space="preserve">:</w:t>
      </w:r>
    </w:p>
    <w:p>
      <w:pPr>
        <w:numPr>
          <w:ilvl w:val="0"/>
          <w:numId w:val="43"/>
        </w:numPr>
        <w:spacing w:line="360" w:before="105" w:after="105" w:lineRule="auto"/>
      </w:pPr>
      <w:r>
        <w:rPr>
          <w:rFonts w:eastAsia="inter" w:cs="inter" w:ascii="inter" w:hAnsi="inter"/>
          <w:color w:val="000000"/>
          <w:sz w:val="21"/>
        </w:rPr>
        <w:t xml:space="preserve">Global consulting powerhouse (~650K people)</w:t>
      </w:r>
    </w:p>
    <w:p>
      <w:pPr>
        <w:numPr>
          <w:ilvl w:val="0"/>
          <w:numId w:val="43"/>
        </w:numPr>
        <w:spacing w:line="360" w:before="105" w:after="105" w:lineRule="auto"/>
      </w:pPr>
      <w:r>
        <w:rPr>
          <w:rFonts w:eastAsia="inter" w:cs="inter" w:ascii="inter" w:hAnsi="inter"/>
          <w:color w:val="000000"/>
          <w:sz w:val="21"/>
        </w:rPr>
        <w:t xml:space="preserve">Acquired boutiques (APG, DDIM, etc.) for specialization</w:t>
      </w:r>
    </w:p>
    <w:p>
      <w:pPr>
        <w:numPr>
          <w:ilvl w:val="0"/>
          <w:numId w:val="43"/>
        </w:numPr>
        <w:spacing w:line="360" w:before="105" w:after="105" w:lineRule="auto"/>
      </w:pPr>
      <w:r>
        <w:rPr>
          <w:rFonts w:eastAsia="inter" w:cs="inter" w:ascii="inter" w:hAnsi="inter"/>
          <w:color w:val="000000"/>
          <w:sz w:val="21"/>
        </w:rPr>
        <w:t xml:space="preserve">Launched AI Refinery (data/analytics platform)</w:t>
      </w:r>
    </w:p>
    <w:p>
      <w:pPr>
        <w:numPr>
          <w:ilvl w:val="0"/>
          <w:numId w:val="43"/>
        </w:numPr>
        <w:spacing w:line="360" w:before="105" w:after="105" w:lineRule="auto"/>
      </w:pPr>
      <w:r>
        <w:rPr>
          <w:rFonts w:eastAsia="inter" w:cs="inter" w:ascii="inter" w:hAnsi="inter"/>
          <w:color w:val="000000"/>
          <w:sz w:val="21"/>
        </w:rPr>
        <w:t xml:space="preserve">Broad, generalist approach to industries and functions</w:t>
      </w:r>
    </w:p>
    <w:p>
      <w:pPr>
        <w:numPr>
          <w:ilvl w:val="0"/>
          <w:numId w:val="43"/>
        </w:numPr>
        <w:spacing w:line="360" w:before="105" w:after="105" w:lineRule="auto"/>
      </w:pPr>
      <w:r>
        <w:rPr>
          <w:rFonts w:eastAsia="inter" w:cs="inter" w:ascii="inter" w:hAnsi="inter"/>
          <w:b/>
          <w:color w:val="000000"/>
          <w:sz w:val="21"/>
        </w:rPr>
        <w:t xml:space="preserve">Threat to Elad/Matrix</w:t>
      </w:r>
      <w:r>
        <w:rPr>
          <w:rFonts w:eastAsia="inter" w:cs="inter" w:ascii="inter" w:hAnsi="inter"/>
          <w:color w:val="000000"/>
          <w:sz w:val="21"/>
        </w:rPr>
        <w:t xml:space="preserve">: Consulting-level competition, potential M&amp;A target acquisition</w:t>
      </w:r>
    </w:p>
    <w:p>
      <w:pPr>
        <w:spacing w:line="360" w:after="210" w:lineRule="auto"/>
      </w:pPr>
      <w:r>
        <w:rPr>
          <w:rFonts w:eastAsia="inter" w:cs="inter" w:ascii="inter" w:hAnsi="inter"/>
          <w:b/>
          <w:color w:val="000000"/>
        </w:rPr>
        <w:t xml:space="preserve">Deloitte's Competitive Profile</w:t>
      </w:r>
      <w:r>
        <w:rPr>
          <w:rFonts w:eastAsia="inter" w:cs="inter" w:ascii="inter" w:hAnsi="inter"/>
          <w:color w:val="000000"/>
        </w:rPr>
        <w:t xml:space="preserve">:</w:t>
      </w:r>
    </w:p>
    <w:p>
      <w:pPr>
        <w:numPr>
          <w:ilvl w:val="0"/>
          <w:numId w:val="44"/>
        </w:numPr>
        <w:spacing w:line="360" w:before="105" w:after="105" w:lineRule="auto"/>
      </w:pPr>
      <w:r>
        <w:rPr>
          <w:rFonts w:eastAsia="inter" w:cs="inter" w:ascii="inter" w:hAnsi="inter"/>
          <w:color w:val="000000"/>
          <w:sz w:val="21"/>
        </w:rPr>
        <w:t xml:space="preserve">Global firm (457K people) WITH...</w:t>
      </w:r>
    </w:p>
    <w:p>
      <w:pPr>
        <w:numPr>
          <w:ilvl w:val="0"/>
          <w:numId w:val="44"/>
        </w:numPr>
        <w:spacing w:line="360" w:before="105" w:after="105" w:lineRule="auto"/>
      </w:pPr>
      <w:r>
        <w:rPr>
          <w:rFonts w:eastAsia="inter" w:cs="inter" w:ascii="inter" w:hAnsi="inter"/>
          <w:color w:val="000000"/>
          <w:sz w:val="21"/>
        </w:rPr>
        <w:t xml:space="preserve">In-house execution capacity (HashedIn 700 engineers, OpTeamizer AI team)</w:t>
      </w:r>
    </w:p>
    <w:p>
      <w:pPr>
        <w:numPr>
          <w:ilvl w:val="0"/>
          <w:numId w:val="44"/>
        </w:numPr>
        <w:spacing w:line="360" w:before="105" w:after="105" w:lineRule="auto"/>
      </w:pPr>
      <w:r>
        <w:rPr>
          <w:rFonts w:eastAsia="inter" w:cs="inter" w:ascii="inter" w:hAnsi="inter"/>
          <w:color w:val="000000"/>
          <w:sz w:val="21"/>
        </w:rPr>
        <w:t xml:space="preserve">Production-ready proprietary AI (Zora AI agentic platform)</w:t>
      </w:r>
    </w:p>
    <w:p>
      <w:pPr>
        <w:numPr>
          <w:ilvl w:val="0"/>
          <w:numId w:val="44"/>
        </w:numPr>
        <w:spacing w:line="360" w:before="105" w:after="105" w:lineRule="auto"/>
      </w:pPr>
      <w:r>
        <w:rPr>
          <w:rFonts w:eastAsia="inter" w:cs="inter" w:ascii="inter" w:hAnsi="inter"/>
          <w:color w:val="000000"/>
          <w:sz w:val="21"/>
        </w:rPr>
        <w:t xml:space="preserve">Israeli startup ecosystem access (93 companies, $2.4B raised)</w:t>
      </w:r>
    </w:p>
    <w:p>
      <w:pPr>
        <w:numPr>
          <w:ilvl w:val="0"/>
          <w:numId w:val="44"/>
        </w:numPr>
        <w:spacing w:line="360" w:before="105" w:after="105" w:lineRule="auto"/>
      </w:pPr>
      <w:r>
        <w:rPr>
          <w:rFonts w:eastAsia="inter" w:cs="inter" w:ascii="inter" w:hAnsi="inter"/>
          <w:color w:val="000000"/>
          <w:sz w:val="21"/>
        </w:rPr>
        <w:t xml:space="preserve">Government advisory partnerships</w:t>
      </w:r>
    </w:p>
    <w:p>
      <w:pPr>
        <w:numPr>
          <w:ilvl w:val="0"/>
          <w:numId w:val="44"/>
        </w:numPr>
        <w:spacing w:line="360" w:before="105" w:after="105" w:lineRule="auto"/>
      </w:pPr>
      <w:r>
        <w:rPr>
          <w:rFonts w:eastAsia="inter" w:cs="inter" w:ascii="inter" w:hAnsi="inter"/>
          <w:color w:val="000000"/>
          <w:sz w:val="21"/>
        </w:rPr>
        <w:t xml:space="preserve">Deep Israeli rootedness (Argov, Laron, Gal, Kochav)</w:t>
      </w:r>
    </w:p>
    <w:p>
      <w:pPr>
        <w:numPr>
          <w:ilvl w:val="0"/>
          <w:numId w:val="44"/>
        </w:numPr>
        <w:spacing w:line="360" w:before="105" w:after="105" w:lineRule="auto"/>
      </w:pPr>
      <w:r>
        <w:rPr>
          <w:rFonts w:eastAsia="inter" w:cs="inter" w:ascii="inter" w:hAnsi="inter"/>
          <w:b/>
          <w:color w:val="000000"/>
          <w:sz w:val="21"/>
        </w:rPr>
        <w:t xml:space="preserve">Threat to Elad/Matrix</w:t>
      </w:r>
      <w:r>
        <w:rPr>
          <w:rFonts w:eastAsia="inter" w:cs="inter" w:ascii="inter" w:hAnsi="inter"/>
          <w:color w:val="000000"/>
          <w:sz w:val="21"/>
        </w:rPr>
        <w:t xml:space="preserve">: IMMEDIATE DAILY EXECUTION THREAT</w:t>
      </w:r>
    </w:p>
    <w:p>
      <w:pPr>
        <w:spacing w:line="360" w:before="315" w:after="105" w:lineRule="auto"/>
        <w:ind w:left="-30"/>
        <w:jc w:val="left"/>
      </w:pPr>
      <w:bookmarkStart w:id="114" w:name="bm_6_3_the_four_competitive_vectors"/>
      <w:r>
        <w:rPr>
          <w:rFonts w:eastAsia="inter" w:cs="inter" w:ascii="inter" w:hAnsi="inter"/>
          <w:b/>
          <w:color w:val="000000"/>
          <w:sz w:val="24"/>
        </w:rPr>
        <w:t xml:space="preserve">6.3 The Four Competitive Vectors</w:t>
      </w:r>
      <w:bookmarkEnd w:id="114"/>
    </w:p>
    <w:p>
      <w:pPr>
        <w:spacing w:line="360" w:after="210" w:lineRule="auto"/>
      </w:pPr>
      <w:r>
        <w:rPr>
          <w:rFonts w:eastAsia="inter" w:cs="inter" w:ascii="inter" w:hAnsi="inter"/>
          <w:b/>
          <w:color w:val="000000"/>
        </w:rPr>
        <w:t xml:space="preserve">Vector 1: Direct Execution Competition</w:t>
      </w:r>
    </w:p>
    <w:p>
      <w:pPr>
        <w:numPr>
          <w:ilvl w:val="0"/>
          <w:numId w:val="45"/>
        </w:numPr>
        <w:spacing w:line="360" w:before="105" w:after="105" w:lineRule="auto"/>
      </w:pPr>
      <w:r>
        <w:rPr>
          <w:rFonts w:eastAsia="inter" w:cs="inter" w:ascii="inter" w:hAnsi="inter"/>
          <w:color w:val="000000"/>
          <w:sz w:val="21"/>
        </w:rPr>
        <w:t xml:space="preserve">HashedIn (700+ engineers) competes directly on "build us this system" RFPs</w:t>
      </w:r>
    </w:p>
    <w:p>
      <w:pPr>
        <w:numPr>
          <w:ilvl w:val="0"/>
          <w:numId w:val="45"/>
        </w:numPr>
        <w:spacing w:line="360" w:before="105" w:after="105" w:lineRule="auto"/>
      </w:pPr>
      <w:r>
        <w:rPr>
          <w:rFonts w:eastAsia="inter" w:cs="inter" w:ascii="inter" w:hAnsi="inter"/>
          <w:color w:val="000000"/>
          <w:sz w:val="21"/>
        </w:rPr>
        <w:t xml:space="preserve">OpTeamizer brings NVIDIA AI/HPC specialization Elad/Matrix cannot offer</w:t>
      </w:r>
    </w:p>
    <w:p>
      <w:pPr>
        <w:numPr>
          <w:ilvl w:val="0"/>
          <w:numId w:val="45"/>
        </w:numPr>
        <w:spacing w:line="360" w:before="105" w:after="105" w:lineRule="auto"/>
      </w:pPr>
      <w:r>
        <w:rPr>
          <w:rFonts w:eastAsia="inter" w:cs="inter" w:ascii="inter" w:hAnsi="inter"/>
          <w:color w:val="000000"/>
          <w:sz w:val="21"/>
        </w:rPr>
        <w:t xml:space="preserve">Combined delivery model: Strategy (Deloitte Consulting) + Creative (Awesome) + Engineering (HashedIn/OpTeamizer)</w:t>
      </w:r>
    </w:p>
    <w:p>
      <w:pPr>
        <w:numPr>
          <w:ilvl w:val="0"/>
          <w:numId w:val="45"/>
        </w:numPr>
        <w:spacing w:line="360" w:before="105" w:after="105" w:lineRule="auto"/>
      </w:pPr>
      <w:r>
        <w:rPr>
          <w:rFonts w:eastAsia="inter" w:cs="inter" w:ascii="inter" w:hAnsi="inter"/>
          <w:b/>
          <w:color w:val="000000"/>
          <w:sz w:val="21"/>
        </w:rPr>
        <w:t xml:space="preserve">Threat</w:t>
      </w:r>
      <w:r>
        <w:rPr>
          <w:rFonts w:eastAsia="inter" w:cs="inter" w:ascii="inter" w:hAnsi="inter"/>
          <w:color w:val="000000"/>
          <w:sz w:val="21"/>
        </w:rPr>
        <w:t xml:space="preserve">: Elad/Matrix lose enterprise transformation deals to integrated Deloitte offering</w:t>
      </w:r>
    </w:p>
    <w:p>
      <w:pPr>
        <w:spacing w:line="360" w:after="210" w:lineRule="auto"/>
      </w:pPr>
      <w:r>
        <w:rPr>
          <w:rFonts w:eastAsia="inter" w:cs="inter" w:ascii="inter" w:hAnsi="inter"/>
          <w:b/>
          <w:color w:val="000000"/>
        </w:rPr>
        <w:t xml:space="preserve">Vector 2: AI-First Differentiation</w:t>
      </w:r>
    </w:p>
    <w:p>
      <w:pPr>
        <w:numPr>
          <w:ilvl w:val="0"/>
          <w:numId w:val="46"/>
        </w:numPr>
        <w:spacing w:line="360" w:before="105" w:after="105" w:lineRule="auto"/>
      </w:pPr>
      <w:r>
        <w:rPr>
          <w:rFonts w:eastAsia="inter" w:cs="inter" w:ascii="inter" w:hAnsi="inter"/>
          <w:color w:val="000000"/>
          <w:sz w:val="21"/>
        </w:rPr>
        <w:t xml:space="preserve">Zora AI + OpTeamizer delivery = "AI implementation as a service"</w:t>
      </w:r>
    </w:p>
    <w:p>
      <w:pPr>
        <w:numPr>
          <w:ilvl w:val="0"/>
          <w:numId w:val="46"/>
        </w:numPr>
        <w:spacing w:line="360" w:before="105" w:after="105" w:lineRule="auto"/>
      </w:pPr>
      <w:r>
        <w:rPr>
          <w:rFonts w:eastAsia="inter" w:cs="inter" w:ascii="inter" w:hAnsi="inter"/>
          <w:color w:val="000000"/>
          <w:sz w:val="21"/>
        </w:rPr>
        <w:t xml:space="preserve">Clients increasingly ask: "How do we implement AI at scale?"</w:t>
      </w:r>
    </w:p>
    <w:p>
      <w:pPr>
        <w:numPr>
          <w:ilvl w:val="0"/>
          <w:numId w:val="46"/>
        </w:numPr>
        <w:spacing w:line="360" w:before="105" w:after="105" w:lineRule="auto"/>
      </w:pPr>
      <w:r>
        <w:rPr>
          <w:rFonts w:eastAsia="inter" w:cs="inter" w:ascii="inter" w:hAnsi="inter"/>
          <w:color w:val="000000"/>
          <w:sz w:val="21"/>
        </w:rPr>
        <w:t xml:space="preserve">Deloitte answer: Proprietary Zora agents + NVIDIA infrastructure + integration services</w:t>
      </w:r>
    </w:p>
    <w:p>
      <w:pPr>
        <w:numPr>
          <w:ilvl w:val="0"/>
          <w:numId w:val="46"/>
        </w:numPr>
        <w:spacing w:line="360" w:before="105" w:after="105" w:lineRule="auto"/>
      </w:pPr>
      <w:r>
        <w:rPr>
          <w:rFonts w:eastAsia="inter" w:cs="inter" w:ascii="inter" w:hAnsi="inter"/>
          <w:color w:val="000000"/>
          <w:sz w:val="21"/>
        </w:rPr>
        <w:t xml:space="preserve">Elad/Matrix answer: Custom development (longer, more expensive, higher risk)</w:t>
      </w:r>
    </w:p>
    <w:p>
      <w:pPr>
        <w:numPr>
          <w:ilvl w:val="0"/>
          <w:numId w:val="46"/>
        </w:numPr>
        <w:spacing w:line="360" w:before="105" w:after="105" w:lineRule="auto"/>
      </w:pPr>
      <w:r>
        <w:rPr>
          <w:rFonts w:eastAsia="inter" w:cs="inter" w:ascii="inter" w:hAnsi="inter"/>
          <w:b/>
          <w:color w:val="000000"/>
          <w:sz w:val="21"/>
        </w:rPr>
        <w:t xml:space="preserve">Threat</w:t>
      </w:r>
      <w:r>
        <w:rPr>
          <w:rFonts w:eastAsia="inter" w:cs="inter" w:ascii="inter" w:hAnsi="inter"/>
          <w:color w:val="000000"/>
          <w:sz w:val="21"/>
        </w:rPr>
        <w:t xml:space="preserve">: Enterprise clients choose Deloitte for speed, risk reduction, proven ROI</w:t>
      </w:r>
    </w:p>
    <w:p>
      <w:pPr>
        <w:spacing w:line="360" w:after="210" w:lineRule="auto"/>
      </w:pPr>
      <w:r>
        <w:rPr>
          <w:rFonts w:eastAsia="inter" w:cs="inter" w:ascii="inter" w:hAnsi="inter"/>
          <w:b/>
          <w:color w:val="000000"/>
        </w:rPr>
        <w:t xml:space="preserve">Vector 3: Startup Ecosystem Leverage</w:t>
      </w:r>
    </w:p>
    <w:p>
      <w:pPr>
        <w:numPr>
          <w:ilvl w:val="0"/>
          <w:numId w:val="47"/>
        </w:numPr>
        <w:spacing w:line="360" w:before="105" w:after="105" w:lineRule="auto"/>
      </w:pPr>
      <w:r>
        <w:rPr>
          <w:rFonts w:eastAsia="inter" w:cs="inter" w:ascii="inter" w:hAnsi="inter"/>
          <w:color w:val="000000"/>
          <w:sz w:val="21"/>
        </w:rPr>
        <w:t xml:space="preserve">Deloitte has systematic access to Israeli startup innovation (Catalyst/Launchpad)</w:t>
      </w:r>
    </w:p>
    <w:p>
      <w:pPr>
        <w:numPr>
          <w:ilvl w:val="0"/>
          <w:numId w:val="47"/>
        </w:numPr>
        <w:spacing w:line="360" w:before="105" w:after="105" w:lineRule="auto"/>
      </w:pPr>
      <w:r>
        <w:rPr>
          <w:rFonts w:eastAsia="inter" w:cs="inter" w:ascii="inter" w:hAnsi="inter"/>
          <w:color w:val="000000"/>
          <w:sz w:val="21"/>
        </w:rPr>
        <w:t xml:space="preserve">Can identify emerging startup tech and integrate into enterprise engagements</w:t>
      </w:r>
    </w:p>
    <w:p>
      <w:pPr>
        <w:numPr>
          <w:ilvl w:val="0"/>
          <w:numId w:val="47"/>
        </w:numPr>
        <w:spacing w:line="360" w:before="105" w:after="105" w:lineRule="auto"/>
      </w:pPr>
      <w:r>
        <w:rPr>
          <w:rFonts w:eastAsia="inter" w:cs="inter" w:ascii="inter" w:hAnsi="inter"/>
          <w:color w:val="000000"/>
          <w:sz w:val="21"/>
        </w:rPr>
        <w:t xml:space="preserve">Monetizes across multiple vectors: equity stakes, integration services, licensing, market intelligence</w:t>
      </w:r>
    </w:p>
    <w:p>
      <w:pPr>
        <w:numPr>
          <w:ilvl w:val="0"/>
          <w:numId w:val="47"/>
        </w:numPr>
        <w:spacing w:line="360" w:before="105" w:after="105" w:lineRule="auto"/>
      </w:pPr>
      <w:r>
        <w:rPr>
          <w:rFonts w:eastAsia="inter" w:cs="inter" w:ascii="inter" w:hAnsi="inter"/>
          <w:color w:val="000000"/>
          <w:sz w:val="21"/>
        </w:rPr>
        <w:t xml:space="preserve">Elad/Matrix: Startups are competitors, not partners</w:t>
      </w:r>
    </w:p>
    <w:p>
      <w:pPr>
        <w:numPr>
          <w:ilvl w:val="0"/>
          <w:numId w:val="47"/>
        </w:numPr>
        <w:spacing w:line="360" w:before="105" w:after="105" w:lineRule="auto"/>
      </w:pPr>
      <w:r>
        <w:rPr>
          <w:rFonts w:eastAsia="inter" w:cs="inter" w:ascii="inter" w:hAnsi="inter"/>
          <w:b/>
          <w:color w:val="000000"/>
          <w:sz w:val="21"/>
        </w:rPr>
        <w:t xml:space="preserve">Threat</w:t>
      </w:r>
      <w:r>
        <w:rPr>
          <w:rFonts w:eastAsia="inter" w:cs="inter" w:ascii="inter" w:hAnsi="inter"/>
          <w:color w:val="000000"/>
          <w:sz w:val="21"/>
        </w:rPr>
        <w:t xml:space="preserve">: Deloitte offers "access to innovation" as part of enterprise engagements; Elad/Matrix cannot</w:t>
      </w:r>
    </w:p>
    <w:p>
      <w:pPr>
        <w:spacing w:line="360" w:after="210" w:lineRule="auto"/>
      </w:pPr>
      <w:r>
        <w:rPr>
          <w:rFonts w:eastAsia="inter" w:cs="inter" w:ascii="inter" w:hAnsi="inter"/>
          <w:b/>
          <w:color w:val="000000"/>
        </w:rPr>
        <w:t xml:space="preserve">Vector 4: Government &amp; Defense</w:t>
      </w:r>
    </w:p>
    <w:p>
      <w:pPr>
        <w:numPr>
          <w:ilvl w:val="0"/>
          <w:numId w:val="48"/>
        </w:numPr>
        <w:spacing w:line="360" w:before="105" w:after="105" w:lineRule="auto"/>
      </w:pPr>
      <w:r>
        <w:rPr>
          <w:rFonts w:eastAsia="inter" w:cs="inter" w:ascii="inter" w:hAnsi="inter"/>
          <w:color w:val="000000"/>
          <w:sz w:val="21"/>
        </w:rPr>
        <w:t xml:space="preserve">Deloitte has advisory role on government cloud transformation (Nimbus roadmap)</w:t>
      </w:r>
    </w:p>
    <w:p>
      <w:pPr>
        <w:numPr>
          <w:ilvl w:val="0"/>
          <w:numId w:val="48"/>
        </w:numPr>
        <w:spacing w:line="360" w:before="105" w:after="105" w:lineRule="auto"/>
      </w:pPr>
      <w:r>
        <w:rPr>
          <w:rFonts w:eastAsia="inter" w:cs="inter" w:ascii="inter" w:hAnsi="inter"/>
          <w:color w:val="000000"/>
          <w:sz w:val="21"/>
        </w:rPr>
        <w:t xml:space="preserve">S2S infrastructure for government AI workloads</w:t>
      </w:r>
    </w:p>
    <w:p>
      <w:pPr>
        <w:numPr>
          <w:ilvl w:val="0"/>
          <w:numId w:val="48"/>
        </w:numPr>
        <w:spacing w:line="360" w:before="105" w:after="105" w:lineRule="auto"/>
      </w:pPr>
      <w:r>
        <w:rPr>
          <w:rFonts w:eastAsia="inter" w:cs="inter" w:ascii="inter" w:hAnsi="inter"/>
          <w:color w:val="000000"/>
          <w:sz w:val="21"/>
        </w:rPr>
        <w:t xml:space="preserve">Startup pipeline for GovTech solutions</w:t>
      </w:r>
    </w:p>
    <w:p>
      <w:pPr>
        <w:numPr>
          <w:ilvl w:val="0"/>
          <w:numId w:val="48"/>
        </w:numPr>
        <w:spacing w:line="360" w:before="105" w:after="105" w:lineRule="auto"/>
      </w:pPr>
      <w:r>
        <w:rPr>
          <w:rFonts w:eastAsia="inter" w:cs="inter" w:ascii="inter" w:hAnsi="inter"/>
          <w:color w:val="000000"/>
          <w:sz w:val="21"/>
        </w:rPr>
        <w:t xml:space="preserve">Matrix won Nimbus Layer 5 (linear threat)</w:t>
      </w:r>
    </w:p>
    <w:p>
      <w:pPr>
        <w:numPr>
          <w:ilvl w:val="0"/>
          <w:numId w:val="48"/>
        </w:numPr>
        <w:spacing w:line="360" w:before="105" w:after="105" w:lineRule="auto"/>
      </w:pPr>
      <w:r>
        <w:rPr>
          <w:rFonts w:eastAsia="inter" w:cs="inter" w:ascii="inter" w:hAnsi="inter"/>
          <w:color w:val="000000"/>
          <w:sz w:val="21"/>
        </w:rPr>
        <w:t xml:space="preserve">Deloitte positioned for long-term growth across 9+ government AI initiatives</w:t>
      </w:r>
    </w:p>
    <w:p>
      <w:pPr>
        <w:numPr>
          <w:ilvl w:val="0"/>
          <w:numId w:val="48"/>
        </w:numPr>
        <w:spacing w:line="360" w:before="105" w:after="105" w:lineRule="auto"/>
      </w:pPr>
      <w:r>
        <w:rPr>
          <w:rFonts w:eastAsia="inter" w:cs="inter" w:ascii="inter" w:hAnsi="inter"/>
          <w:b/>
          <w:color w:val="000000"/>
          <w:sz w:val="21"/>
        </w:rPr>
        <w:t xml:space="preserve">Threat</w:t>
      </w:r>
      <w:r>
        <w:rPr>
          <w:rFonts w:eastAsia="inter" w:cs="inter" w:ascii="inter" w:hAnsi="inter"/>
          <w:color w:val="000000"/>
          <w:sz w:val="21"/>
        </w:rPr>
        <w:t xml:space="preserve">: Multi-year, multi-ministry transformation is Deloitte's to lose</w:t>
      </w:r>
    </w:p>
    <w:p>
      <w:pPr>
        <w:spacing w:line="360" w:before="315" w:after="105" w:lineRule="auto"/>
        <w:ind w:left="-30"/>
        <w:jc w:val="left"/>
      </w:pPr>
      <w:bookmarkStart w:id="115" w:name="bm_6_4_the_asymmetry"/>
      <w:r>
        <w:rPr>
          <w:rFonts w:eastAsia="inter" w:cs="inter" w:ascii="inter" w:hAnsi="inter"/>
          <w:b/>
          <w:color w:val="000000"/>
          <w:sz w:val="24"/>
        </w:rPr>
        <w:t xml:space="preserve">6.4 The Asymmetry</w:t>
      </w:r>
      <w:bookmarkEnd w:id="11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Elad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Matrix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Deloitte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Core Model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IT Services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IT Services + Government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Consulting + Execution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Employees (Israel)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~500-1000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10,682</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~5,000 (part of 457K global)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AI Platform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AI/ML Excellence Center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Zora AI (agentic, production-ready)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Startup Access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None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Catalyst/Launchpad (93 companies)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Creative Services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External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External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Awesome (in-house)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Government Position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Some projects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Nimbus Layer 5 winner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Advisory + infrastructure + startup integration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Positioning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"We build it"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"We integrate it"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"We transform your business"</w:t>
            </w:r>
          </w:p>
        </w:tc>
      </w:tr>
    </w:tbl>
    <w:p>
      <w:pPr>
        <w:spacing w:lineRule="auto"/>
      </w:pPr>
    </w:p>
    <w:p>
      <w:pPr>
        <w:spacing w:line="360" w:after="210" w:lineRule="auto"/>
      </w:pPr>
      <w:r>
        <w:rPr>
          <w:rFonts w:eastAsia="inter" w:cs="inter" w:ascii="inter" w:hAnsi="inter"/>
          <w:b/>
          <w:color w:val="000000"/>
        </w:rPr>
        <w:t xml:space="preserve">Bottom Line</w:t>
      </w:r>
      <w:r>
        <w:rPr>
          <w:rFonts w:eastAsia="inter" w:cs="inter" w:ascii="inter" w:hAnsi="inter"/>
          <w:color w:val="000000"/>
        </w:rPr>
        <w:t xml:space="preserve">: Elad and Matrix compete on execution. Deloitte competes on transformation and business outcomes.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6" w:name="section_7_the_proof_points"/>
      <w:r>
        <w:rPr>
          <w:rFonts w:eastAsia="inter" w:cs="inter" w:ascii="inter" w:hAnsi="inter"/>
          <w:b/>
          <w:color w:val="000000"/>
          <w:sz w:val="24"/>
        </w:rPr>
        <w:t xml:space="preserve">SECTION 7: THE PROOF POINTS</w:t>
      </w:r>
      <w:bookmarkEnd w:id="116"/>
    </w:p>
    <w:p>
      <w:pPr>
        <w:spacing w:line="360" w:before="315" w:after="105" w:lineRule="auto"/>
        <w:ind w:left="-30"/>
        <w:jc w:val="left"/>
      </w:pPr>
      <w:bookmarkStart w:id="117" w:name="bm_7_1_financial_impact_data"/>
      <w:r>
        <w:rPr>
          <w:rFonts w:eastAsia="inter" w:cs="inter" w:ascii="inter" w:hAnsi="inter"/>
          <w:b/>
          <w:color w:val="000000"/>
          <w:sz w:val="24"/>
        </w:rPr>
        <w:t xml:space="preserve">7.1 Financial Impact Data</w:t>
      </w:r>
      <w:bookmarkEnd w:id="117"/>
    </w:p>
    <w:p>
      <w:pPr>
        <w:spacing w:line="360" w:after="210" w:lineRule="auto"/>
      </w:pPr>
      <w:r>
        <w:rPr>
          <w:rFonts w:eastAsia="inter" w:cs="inter" w:ascii="inter" w:hAnsi="inter"/>
          <w:b/>
          <w:color w:val="000000"/>
        </w:rPr>
        <w:t xml:space="preserve">Launchpad Alumni Performance</w:t>
      </w:r>
      <w:r>
        <w:rPr>
          <w:rFonts w:eastAsia="inter" w:cs="inter" w:ascii="inter" w:hAnsi="inter"/>
          <w:color w:val="000000"/>
        </w:rPr>
        <w:t xml:space="preserve">:</w:t>
      </w:r>
      <w:bookmarkStart w:id="118" w:name="fnref24_4"/>
      <w:bookmarkEnd w:id="118"/>
      <w:hyperlink w:anchor="fn24">
        <w:r>
          <w:rPr>
            <w:rFonts w:eastAsia="inter" w:cs="inter" w:ascii="inter" w:hAnsi="inter"/>
            <w:color w:val="#000"/>
            <w:u w:val="single"/>
            <w:vertAlign w:val="superscript"/>
          </w:rPr>
          <w:t xml:space="preserve">[24]</w:t>
        </w:r>
      </w:hyperlink>
      <w:bookmarkStart w:id="119" w:name="fnref25_2"/>
      <w:bookmarkEnd w:id="119"/>
      <w:hyperlink w:anchor="fn25">
        <w:r>
          <w:rPr>
            <w:rFonts w:eastAsia="inter" w:cs="inter" w:ascii="inter" w:hAnsi="inter"/>
            <w:color w:val="#000"/>
            <w:u w:val="single"/>
            <w:vertAlign w:val="superscript"/>
          </w:rPr>
          <w:t xml:space="preserve">[25]</w:t>
        </w:r>
      </w:hyperlink>
    </w:p>
    <w:p>
      <w:pPr>
        <w:numPr>
          <w:ilvl w:val="0"/>
          <w:numId w:val="49"/>
        </w:numPr>
        <w:spacing w:line="360" w:before="105" w:after="105" w:lineRule="auto"/>
      </w:pPr>
      <w:r>
        <w:rPr>
          <w:rFonts w:eastAsia="inter" w:cs="inter" w:ascii="inter" w:hAnsi="inter"/>
          <w:color w:val="000000"/>
          <w:sz w:val="21"/>
        </w:rPr>
        <w:t xml:space="preserve">93 companies graduated</w:t>
      </w:r>
    </w:p>
    <w:p>
      <w:pPr>
        <w:numPr>
          <w:ilvl w:val="0"/>
          <w:numId w:val="49"/>
        </w:numPr>
        <w:spacing w:line="360" w:before="105" w:after="105" w:lineRule="auto"/>
      </w:pPr>
      <w:r>
        <w:rPr>
          <w:rFonts w:eastAsia="inter" w:cs="inter" w:ascii="inter" w:hAnsi="inter"/>
          <w:color w:val="000000"/>
          <w:sz w:val="21"/>
        </w:rPr>
        <w:t xml:space="preserve">$2.4 billion collectively raised</w:t>
      </w:r>
    </w:p>
    <w:p>
      <w:pPr>
        <w:numPr>
          <w:ilvl w:val="0"/>
          <w:numId w:val="49"/>
        </w:numPr>
        <w:spacing w:line="360" w:before="105" w:after="105" w:lineRule="auto"/>
      </w:pPr>
      <w:r>
        <w:rPr>
          <w:rFonts w:eastAsia="inter" w:cs="inter" w:ascii="inter" w:hAnsi="inter"/>
          <w:color w:val="000000"/>
          <w:sz w:val="21"/>
        </w:rPr>
        <w:t xml:space="preserve">Recent exits: DigitalOwl ($200M), Prompt Security ($250M)</w:t>
      </w:r>
    </w:p>
    <w:p>
      <w:pPr>
        <w:numPr>
          <w:ilvl w:val="0"/>
          <w:numId w:val="49"/>
        </w:numPr>
        <w:spacing w:line="360" w:before="105" w:after="105" w:lineRule="auto"/>
      </w:pPr>
      <w:r>
        <w:rPr>
          <w:rFonts w:eastAsia="inter" w:cs="inter" w:ascii="inter" w:hAnsi="inter"/>
          <w:color w:val="000000"/>
          <w:sz w:val="21"/>
        </w:rPr>
        <w:t xml:space="preserve">Average alumni growth: 68% increase in funding + headcount</w:t>
      </w:r>
    </w:p>
    <w:p>
      <w:pPr>
        <w:spacing w:line="360" w:after="210" w:lineRule="auto"/>
      </w:pPr>
      <w:r>
        <w:rPr>
          <w:rFonts w:eastAsia="inter" w:cs="inter" w:ascii="inter" w:hAnsi="inter"/>
          <w:b/>
          <w:color w:val="000000"/>
        </w:rPr>
        <w:t xml:space="preserve">Government AI Initiative Impact</w:t>
      </w:r>
      <w:r>
        <w:rPr>
          <w:rFonts w:eastAsia="inter" w:cs="inter" w:ascii="inter" w:hAnsi="inter"/>
          <w:color w:val="000000"/>
        </w:rPr>
        <w:t xml:space="preserve">:</w:t>
      </w:r>
      <w:bookmarkStart w:id="120" w:name="fnref46_1"/>
      <w:bookmarkEnd w:id="120"/>
      <w:hyperlink w:anchor="fn46">
        <w:r>
          <w:rPr>
            <w:rFonts w:eastAsia="inter" w:cs="inter" w:ascii="inter" w:hAnsi="inter"/>
            <w:color w:val="#000"/>
            <w:u w:val="single"/>
            <w:vertAlign w:val="superscript"/>
          </w:rPr>
          <w:t xml:space="preserve">[46]</w:t>
        </w:r>
      </w:hyperlink>
    </w:p>
    <w:p>
      <w:pPr>
        <w:numPr>
          <w:ilvl w:val="0"/>
          <w:numId w:val="50"/>
        </w:numPr>
        <w:spacing w:line="360" w:before="105" w:after="105" w:lineRule="auto"/>
      </w:pPr>
      <w:r>
        <w:rPr>
          <w:rFonts w:eastAsia="inter" w:cs="inter" w:ascii="inter" w:hAnsi="inter"/>
          <w:color w:val="000000"/>
          <w:sz w:val="21"/>
        </w:rPr>
        <w:t xml:space="preserve">9 winning projects across government entities</w:t>
      </w:r>
    </w:p>
    <w:p>
      <w:pPr>
        <w:numPr>
          <w:ilvl w:val="0"/>
          <w:numId w:val="50"/>
        </w:numPr>
        <w:spacing w:line="360" w:before="105" w:after="105" w:lineRule="auto"/>
      </w:pPr>
      <w:r>
        <w:rPr>
          <w:rFonts w:eastAsia="inter" w:cs="inter" w:ascii="inter" w:hAnsi="inter"/>
          <w:color w:val="000000"/>
          <w:sz w:val="21"/>
        </w:rPr>
        <w:t xml:space="preserve">Estimated annual savings: 27M+ NIS (Ministry of Transportation 6M, Tax Authority 15M, Survey Center 2.5M, National Insurance 2M, plus Justice Ministry's 100B NIS economic impact)</w:t>
      </w:r>
    </w:p>
    <w:p>
      <w:pPr>
        <w:spacing w:line="360" w:after="210" w:lineRule="auto"/>
      </w:pPr>
      <w:r>
        <w:rPr>
          <w:rFonts w:eastAsia="inter" w:cs="inter" w:ascii="inter" w:hAnsi="inter"/>
          <w:b/>
          <w:color w:val="000000"/>
        </w:rPr>
        <w:t xml:space="preserve">Zora AI ROI</w:t>
      </w:r>
      <w:r>
        <w:rPr>
          <w:rFonts w:eastAsia="inter" w:cs="inter" w:ascii="inter" w:hAnsi="inter"/>
          <w:color w:val="000000"/>
        </w:rPr>
        <w:t xml:space="preserve">:</w:t>
      </w:r>
      <w:bookmarkStart w:id="121" w:name="fnref14_5"/>
      <w:bookmarkEnd w:id="121"/>
      <w:hyperlink w:anchor="fn14">
        <w:r>
          <w:rPr>
            <w:rFonts w:eastAsia="inter" w:cs="inter" w:ascii="inter" w:hAnsi="inter"/>
            <w:color w:val="#000"/>
            <w:u w:val="single"/>
            <w:vertAlign w:val="superscript"/>
          </w:rPr>
          <w:t xml:space="preserve">[14]</w:t>
        </w:r>
      </w:hyperlink>
    </w:p>
    <w:p>
      <w:pPr>
        <w:numPr>
          <w:ilvl w:val="0"/>
          <w:numId w:val="51"/>
        </w:numPr>
        <w:spacing w:line="360" w:before="105" w:after="105" w:lineRule="auto"/>
      </w:pPr>
      <w:r>
        <w:rPr>
          <w:rFonts w:eastAsia="inter" w:cs="inter" w:ascii="inter" w:hAnsi="inter"/>
          <w:color w:val="000000"/>
          <w:sz w:val="21"/>
        </w:rPr>
        <w:t xml:space="preserve">25% cost reduction (vs. manual processes)</w:t>
      </w:r>
    </w:p>
    <w:p>
      <w:pPr>
        <w:numPr>
          <w:ilvl w:val="0"/>
          <w:numId w:val="51"/>
        </w:numPr>
        <w:spacing w:line="360" w:before="105" w:after="105" w:lineRule="auto"/>
      </w:pPr>
      <w:r>
        <w:rPr>
          <w:rFonts w:eastAsia="inter" w:cs="inter" w:ascii="inter" w:hAnsi="inter"/>
          <w:color w:val="000000"/>
          <w:sz w:val="21"/>
        </w:rPr>
        <w:t xml:space="preserve">40% productivity increase (expense management automation)</w:t>
      </w:r>
    </w:p>
    <w:p>
      <w:pPr>
        <w:numPr>
          <w:ilvl w:val="0"/>
          <w:numId w:val="51"/>
        </w:numPr>
        <w:spacing w:line="360" w:before="105" w:after="105" w:lineRule="auto"/>
      </w:pPr>
      <w:r>
        <w:rPr>
          <w:rFonts w:eastAsia="inter" w:cs="inter" w:ascii="inter" w:hAnsi="inter"/>
          <w:color w:val="000000"/>
          <w:sz w:val="21"/>
        </w:rPr>
        <w:t xml:space="preserve">Deployed internally at Deloitte (proves capability before selling to clients)</w:t>
      </w:r>
    </w:p>
    <w:p>
      <w:pPr>
        <w:spacing w:line="360" w:before="315" w:after="105" w:lineRule="auto"/>
        <w:ind w:left="-30"/>
        <w:jc w:val="left"/>
      </w:pPr>
      <w:bookmarkStart w:id="122" w:name="bm_7_2_market_recognition"/>
      <w:r>
        <w:rPr>
          <w:rFonts w:eastAsia="inter" w:cs="inter" w:ascii="inter" w:hAnsi="inter"/>
          <w:b/>
          <w:color w:val="000000"/>
          <w:sz w:val="24"/>
        </w:rPr>
        <w:t xml:space="preserve">7.2 Market Recognition</w:t>
      </w:r>
      <w:bookmarkEnd w:id="122"/>
    </w:p>
    <w:p>
      <w:pPr>
        <w:spacing w:line="360" w:after="210" w:lineRule="auto"/>
      </w:pPr>
      <w:r>
        <w:rPr>
          <w:rFonts w:eastAsia="inter" w:cs="inter" w:ascii="inter" w:hAnsi="inter"/>
          <w:b/>
          <w:color w:val="000000"/>
        </w:rPr>
        <w:t xml:space="preserve">STKI 2023</w:t>
      </w:r>
      <w:r>
        <w:rPr>
          <w:rFonts w:eastAsia="inter" w:cs="inter" w:ascii="inter" w:hAnsi="inter"/>
          <w:color w:val="000000"/>
        </w:rPr>
        <w:t xml:space="preserve">:</w:t>
      </w:r>
      <w:bookmarkStart w:id="123" w:name="fnref39_1"/>
      <w:bookmarkEnd w:id="123"/>
      <w:hyperlink w:anchor="fn39">
        <w:r>
          <w:rPr>
            <w:rFonts w:eastAsia="inter" w:cs="inter" w:ascii="inter" w:hAnsi="inter"/>
            <w:color w:val="#000"/>
            <w:u w:val="single"/>
            <w:vertAlign w:val="superscript"/>
          </w:rPr>
          <w:t xml:space="preserve">[39]</w:t>
        </w:r>
      </w:hyperlink>
    </w:p>
    <w:p>
      <w:pPr>
        <w:numPr>
          <w:ilvl w:val="0"/>
          <w:numId w:val="52"/>
        </w:numPr>
        <w:spacing w:line="360" w:before="105" w:after="105" w:lineRule="auto"/>
      </w:pPr>
      <w:r>
        <w:rPr>
          <w:rFonts w:eastAsia="inter" w:cs="inter" w:ascii="inter" w:hAnsi="inter"/>
          <w:color w:val="000000"/>
          <w:sz w:val="21"/>
        </w:rPr>
        <w:t xml:space="preserve">Tier 1 in 15 categories</w:t>
      </w:r>
    </w:p>
    <w:p>
      <w:pPr>
        <w:numPr>
          <w:ilvl w:val="0"/>
          <w:numId w:val="52"/>
        </w:numPr>
        <w:spacing w:line="360" w:before="105" w:after="105" w:lineRule="auto"/>
      </w:pPr>
      <w:r>
        <w:rPr>
          <w:rFonts w:eastAsia="inter" w:cs="inter" w:ascii="inter" w:hAnsi="inter"/>
          <w:color w:val="000000"/>
          <w:sz w:val="21"/>
        </w:rPr>
        <w:t xml:space="preserve">Consistent recognition across digital transformation, data/analytics, cloud, technology implementation</w:t>
      </w:r>
    </w:p>
    <w:p>
      <w:pPr>
        <w:spacing w:line="360" w:after="210" w:lineRule="auto"/>
      </w:pPr>
      <w:r>
        <w:rPr>
          <w:rFonts w:eastAsia="inter" w:cs="inter" w:ascii="inter" w:hAnsi="inter"/>
          <w:b/>
          <w:color w:val="000000"/>
        </w:rPr>
        <w:t xml:space="preserve">Gartner Magic Quadrant</w:t>
      </w:r>
      <w:r>
        <w:rPr>
          <w:rFonts w:eastAsia="inter" w:cs="inter" w:ascii="inter" w:hAnsi="inter"/>
          <w:color w:val="000000"/>
        </w:rPr>
        <w:t xml:space="preserve">:</w:t>
      </w:r>
      <w:bookmarkStart w:id="124" w:name="fnref8_2"/>
      <w:bookmarkEnd w:id="124"/>
      <w:hyperlink w:anchor="fn8">
        <w:r>
          <w:rPr>
            <w:rFonts w:eastAsia="inter" w:cs="inter" w:ascii="inter" w:hAnsi="inter"/>
            <w:color w:val="#000"/>
            <w:u w:val="single"/>
            <w:vertAlign w:val="superscript"/>
          </w:rPr>
          <w:t xml:space="preserve">[8]</w:t>
        </w:r>
      </w:hyperlink>
    </w:p>
    <w:p>
      <w:pPr>
        <w:numPr>
          <w:ilvl w:val="0"/>
          <w:numId w:val="53"/>
        </w:numPr>
        <w:spacing w:line="360" w:before="105" w:after="105" w:lineRule="auto"/>
      </w:pPr>
      <w:r>
        <w:rPr>
          <w:rFonts w:eastAsia="inter" w:cs="inter" w:ascii="inter" w:hAnsi="inter"/>
          <w:color w:val="000000"/>
          <w:sz w:val="21"/>
        </w:rPr>
        <w:t xml:space="preserve">Leader in Data and Analytics Service Providers (2020)</w:t>
      </w:r>
    </w:p>
    <w:p>
      <w:pPr>
        <w:spacing w:line="360" w:after="210" w:lineRule="auto"/>
      </w:pPr>
      <w:r>
        <w:rPr>
          <w:rFonts w:eastAsia="inter" w:cs="inter" w:ascii="inter" w:hAnsi="inter"/>
          <w:b/>
          <w:color w:val="000000"/>
        </w:rPr>
        <w:t xml:space="preserve">NVIDIA Recognition</w:t>
      </w:r>
      <w:r>
        <w:rPr>
          <w:rFonts w:eastAsia="inter" w:cs="inter" w:ascii="inter" w:hAnsi="inter"/>
          <w:color w:val="000000"/>
        </w:rPr>
        <w:t xml:space="preserve">:</w:t>
      </w:r>
      <w:bookmarkStart w:id="125" w:name="fnref12_2"/>
      <w:bookmarkEnd w:id="125"/>
      <w:hyperlink w:anchor="fn12">
        <w:r>
          <w:rPr>
            <w:rFonts w:eastAsia="inter" w:cs="inter" w:ascii="inter" w:hAnsi="inter"/>
            <w:color w:val="#000"/>
            <w:u w:val="single"/>
            <w:vertAlign w:val="superscript"/>
          </w:rPr>
          <w:t xml:space="preserve">[12]</w:t>
        </w:r>
      </w:hyperlink>
      <w:bookmarkStart w:id="126" w:name="fnref17_1"/>
      <w:bookmarkEnd w:id="126"/>
      <w:hyperlink w:anchor="fn17">
        <w:r>
          <w:rPr>
            <w:rFonts w:eastAsia="inter" w:cs="inter" w:ascii="inter" w:hAnsi="inter"/>
            <w:color w:val="#000"/>
            <w:u w:val="single"/>
            <w:vertAlign w:val="superscript"/>
          </w:rPr>
          <w:t xml:space="preserve">[17]</w:t>
        </w:r>
      </w:hyperlink>
    </w:p>
    <w:p>
      <w:pPr>
        <w:numPr>
          <w:ilvl w:val="0"/>
          <w:numId w:val="54"/>
        </w:numPr>
        <w:spacing w:line="360" w:before="105" w:after="105" w:lineRule="auto"/>
      </w:pPr>
      <w:r>
        <w:rPr>
          <w:rFonts w:eastAsia="inter" w:cs="inter" w:ascii="inter" w:hAnsi="inter"/>
          <w:color w:val="000000"/>
          <w:sz w:val="21"/>
        </w:rPr>
        <w:t xml:space="preserve">Consulting Partner of the Year</w:t>
      </w:r>
    </w:p>
    <w:p>
      <w:pPr>
        <w:numPr>
          <w:ilvl w:val="0"/>
          <w:numId w:val="54"/>
        </w:numPr>
        <w:spacing w:line="360" w:before="105" w:after="105" w:lineRule="auto"/>
      </w:pPr>
      <w:r>
        <w:rPr>
          <w:rFonts w:eastAsia="inter" w:cs="inter" w:ascii="inter" w:hAnsi="inter"/>
          <w:color w:val="000000"/>
          <w:sz w:val="21"/>
        </w:rPr>
        <w:t xml:space="preserve">Preferred partnership for NVIDIA AI deployment in enterprise</w:t>
      </w:r>
    </w:p>
    <w:p>
      <w:pPr>
        <w:spacing w:line="360" w:before="315" w:after="105" w:lineRule="auto"/>
        <w:ind w:left="-30"/>
        <w:jc w:val="left"/>
      </w:pPr>
      <w:bookmarkStart w:id="127" w:name="bm_7_3_real_client_case_study_rak_410c09"/>
      <w:r>
        <w:rPr>
          <w:rFonts w:eastAsia="inter" w:cs="inter" w:ascii="inter" w:hAnsi="inter"/>
          <w:b/>
          <w:color w:val="000000"/>
          <w:sz w:val="24"/>
        </w:rPr>
        <w:t xml:space="preserve">7.3 Real Client Case Study: Rakuten Securities</w:t>
      </w:r>
      <w:hyperlink w:anchor="fn19">
        <w:r>
          <w:rPr>
            <w:rFonts w:eastAsia="inter" w:cs="inter" w:ascii="inter" w:hAnsi="inter"/>
            <w:b/>
            <w:color w:val="#000"/>
            <w:sz w:val="24"/>
            <w:u w:val="single"/>
            <w:vertAlign w:val="superscript"/>
          </w:rPr>
          <w:t xml:space="preserve">[19]</w:t>
        </w:r>
      </w:hyperlink>
      <w:hyperlink w:anchor="fn18">
        <w:r>
          <w:rPr>
            <w:rFonts w:eastAsia="inter" w:cs="inter" w:ascii="inter" w:hAnsi="inter"/>
            <w:b/>
            <w:color w:val="#000"/>
            <w:sz w:val="24"/>
            <w:u w:val="single"/>
            <w:vertAlign w:val="superscript"/>
          </w:rPr>
          <w:t xml:space="preserve">[18]</w:t>
        </w:r>
      </w:hyperlink>
      <w:bookmarkEnd w:id="127"/>
    </w:p>
    <w:p>
      <w:pPr>
        <w:spacing w:line="360" w:after="210" w:lineRule="auto"/>
      </w:pPr>
      <w:r>
        <w:rPr>
          <w:rFonts w:eastAsia="inter" w:cs="inter" w:ascii="inter" w:hAnsi="inter"/>
          <w:b/>
          <w:color w:val="000000"/>
        </w:rPr>
        <w:t xml:space="preserve">The Challenge</w:t>
      </w:r>
      <w:r>
        <w:rPr>
          <w:rFonts w:eastAsia="inter" w:cs="inter" w:ascii="inter" w:hAnsi="inter"/>
          <w:color w:val="000000"/>
        </w:rPr>
        <w:t xml:space="preserve">: Online brokerage needed to enhance customer experience as account growth exploded with Japan's 2024 NISA program launch</w:t>
      </w:r>
    </w:p>
    <w:p>
      <w:pPr>
        <w:spacing w:line="360" w:after="210" w:lineRule="auto"/>
      </w:pPr>
      <w:r>
        <w:rPr>
          <w:rFonts w:eastAsia="inter" w:cs="inter" w:ascii="inter" w:hAnsi="inter"/>
          <w:b/>
          <w:color w:val="000000"/>
        </w:rPr>
        <w:t xml:space="preserve">The Solution</w:t>
      </w:r>
      <w:r>
        <w:rPr>
          <w:rFonts w:eastAsia="inter" w:cs="inter" w:ascii="inter" w:hAnsi="inter"/>
          <w:color w:val="000000"/>
        </w:rPr>
        <w:t xml:space="preserve">: Deloitte + NVIDIA collaboration</w:t>
      </w:r>
    </w:p>
    <w:p>
      <w:pPr>
        <w:numPr>
          <w:ilvl w:val="0"/>
          <w:numId w:val="55"/>
        </w:numPr>
        <w:spacing w:line="360" w:before="105" w:after="105" w:lineRule="auto"/>
      </w:pPr>
      <w:r>
        <w:rPr>
          <w:rFonts w:eastAsia="inter" w:cs="inter" w:ascii="inter" w:hAnsi="inter"/>
          <w:color w:val="000000"/>
          <w:sz w:val="21"/>
        </w:rPr>
        <w:t xml:space="preserve">NVIDIA Omniverse ACE (Avatar Cloud Engine) for computing power</w:t>
      </w:r>
    </w:p>
    <w:p>
      <w:pPr>
        <w:numPr>
          <w:ilvl w:val="0"/>
          <w:numId w:val="55"/>
        </w:numPr>
        <w:spacing w:line="360" w:before="105" w:after="105" w:lineRule="auto"/>
      </w:pPr>
      <w:r>
        <w:rPr>
          <w:rFonts w:eastAsia="inter" w:cs="inter" w:ascii="inter" w:hAnsi="inter"/>
          <w:color w:val="000000"/>
          <w:sz w:val="21"/>
        </w:rPr>
        <w:t xml:space="preserve">Deloitte's Quartz Frontline AI (next-generation user interface)</w:t>
      </w:r>
    </w:p>
    <w:p>
      <w:pPr>
        <w:numPr>
          <w:ilvl w:val="0"/>
          <w:numId w:val="55"/>
        </w:numPr>
        <w:spacing w:line="360" w:before="105" w:after="105" w:lineRule="auto"/>
      </w:pPr>
      <w:r>
        <w:rPr>
          <w:rFonts w:eastAsia="inter" w:cs="inter" w:ascii="inter" w:hAnsi="inter"/>
          <w:color w:val="000000"/>
          <w:sz w:val="21"/>
        </w:rPr>
        <w:t xml:space="preserve">Combined: AI avatar with natural language understanding, speech synthesis, synchronized facial expressions</w:t>
      </w:r>
    </w:p>
    <w:p>
      <w:pPr>
        <w:spacing w:line="360" w:after="210" w:lineRule="auto"/>
      </w:pPr>
      <w:r>
        <w:rPr>
          <w:rFonts w:eastAsia="inter" w:cs="inter" w:ascii="inter" w:hAnsi="inter"/>
          <w:b/>
          <w:color w:val="000000"/>
        </w:rPr>
        <w:t xml:space="preserve">The Result</w:t>
      </w:r>
      <w:r>
        <w:rPr>
          <w:rFonts w:eastAsia="inter" w:cs="inter" w:ascii="inter" w:hAnsi="inter"/>
          <w:color w:val="000000"/>
        </w:rPr>
        <w:t xml:space="preserve">:</w:t>
      </w:r>
    </w:p>
    <w:p>
      <w:pPr>
        <w:numPr>
          <w:ilvl w:val="0"/>
          <w:numId w:val="56"/>
        </w:numPr>
        <w:spacing w:line="360" w:before="105" w:after="105" w:lineRule="auto"/>
      </w:pPr>
      <w:r>
        <w:rPr>
          <w:rFonts w:eastAsia="inter" w:cs="inter" w:ascii="inter" w:hAnsi="inter"/>
          <w:color w:val="000000"/>
          <w:sz w:val="21"/>
        </w:rPr>
        <w:t xml:space="preserve">Developed in 2 months</w:t>
      </w:r>
    </w:p>
    <w:p>
      <w:pPr>
        <w:numPr>
          <w:ilvl w:val="0"/>
          <w:numId w:val="56"/>
        </w:numPr>
        <w:spacing w:line="360" w:before="105" w:after="105" w:lineRule="auto"/>
      </w:pPr>
      <w:r>
        <w:rPr>
          <w:rFonts w:eastAsia="inter" w:cs="inter" w:ascii="inter" w:hAnsi="inter"/>
          <w:color w:val="000000"/>
          <w:sz w:val="21"/>
        </w:rPr>
        <w:t xml:space="preserve">Launched January 14, 2024</w:t>
      </w:r>
    </w:p>
    <w:p>
      <w:pPr>
        <w:numPr>
          <w:ilvl w:val="0"/>
          <w:numId w:val="56"/>
        </w:numPr>
        <w:spacing w:line="360" w:before="105" w:after="105" w:lineRule="auto"/>
      </w:pPr>
      <w:r>
        <w:rPr>
          <w:rFonts w:eastAsia="inter" w:cs="inter" w:ascii="inter" w:hAnsi="inter"/>
          <w:color w:val="000000"/>
          <w:sz w:val="21"/>
        </w:rPr>
        <w:t xml:space="preserve">Investment Consultation AI Avatar live in production</w:t>
      </w:r>
    </w:p>
    <w:p>
      <w:pPr>
        <w:numPr>
          <w:ilvl w:val="0"/>
          <w:numId w:val="56"/>
        </w:numPr>
        <w:spacing w:line="360" w:before="105" w:after="105" w:lineRule="auto"/>
      </w:pPr>
      <w:r>
        <w:rPr>
          <w:rFonts w:eastAsia="inter" w:cs="inter" w:ascii="inter" w:hAnsi="inter"/>
          <w:color w:val="000000"/>
          <w:sz w:val="21"/>
        </w:rPr>
        <w:t xml:space="preserve">Real, measurable customer engagement improvement</w:t>
      </w:r>
    </w:p>
    <w:p>
      <w:pPr>
        <w:spacing w:line="360" w:after="210" w:lineRule="auto"/>
      </w:pPr>
      <w:r>
        <w:rPr>
          <w:rFonts w:eastAsia="inter" w:cs="inter" w:ascii="inter" w:hAnsi="inter"/>
          <w:b/>
          <w:color w:val="000000"/>
        </w:rPr>
        <w:t xml:space="preserve">Why This Matters</w:t>
      </w:r>
      <w:r>
        <w:rPr>
          <w:rFonts w:eastAsia="inter" w:cs="inter" w:ascii="inter" w:hAnsi="inter"/>
          <w:color w:val="000000"/>
        </w:rPr>
        <w:t xml:space="preserve">: Demonstrates Deloitte's ability to execute complex AI projects with NVIDIA partners—something Elad/Matrix cannot replicate without years of NVIDIA relationship building.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8" w:name="section_8_immediate_watch_list_2025_2026"/>
      <w:r>
        <w:rPr>
          <w:rFonts w:eastAsia="inter" w:cs="inter" w:ascii="inter" w:hAnsi="inter"/>
          <w:b/>
          <w:color w:val="000000"/>
          <w:sz w:val="24"/>
        </w:rPr>
        <w:t xml:space="preserve">SECTION 8: IMMEDIATE WATCH LIST (2025-2026)</w:t>
      </w:r>
      <w:bookmarkEnd w:id="128"/>
    </w:p>
    <w:p>
      <w:pPr>
        <w:spacing w:line="360" w:before="315" w:after="105" w:lineRule="auto"/>
        <w:ind w:left="-30"/>
        <w:jc w:val="left"/>
      </w:pPr>
      <w:bookmarkStart w:id="129" w:name="red_flags_for_elad_matrix_competi_200746"/>
      <w:r>
        <w:rPr>
          <w:rFonts w:eastAsia="inter" w:cs="inter" w:ascii="inter" w:hAnsi="inter"/>
          <w:b/>
          <w:color w:val="000000"/>
          <w:sz w:val="24"/>
        </w:rPr>
        <w:t xml:space="preserve">Red Flags for Elad/Matrix Competitive Threat</w:t>
      </w:r>
      <w:bookmarkEnd w:id="129"/>
    </w:p>
    <w:p>
      <w:pPr>
        <w:spacing w:line="360" w:after="210" w:lineRule="auto"/>
      </w:pPr>
      <w:r>
        <w:rPr>
          <w:rFonts w:eastAsia="inter" w:cs="inter" w:ascii="inter" w:hAnsi="inter"/>
          <w:b/>
          <w:color w:val="000000"/>
        </w:rPr>
        <w:t xml:space="preserve">Q1-Q2 2025</w:t>
      </w:r>
      <w:r>
        <w:rPr>
          <w:rFonts w:eastAsia="inter" w:cs="inter" w:ascii="inter" w:hAnsi="inter"/>
          <w:color w:val="000000"/>
        </w:rPr>
        <w:t xml:space="preserve">:</w:t>
      </w:r>
    </w:p>
    <w:p>
      <w:pPr>
        <w:numPr>
          <w:ilvl w:val="0"/>
          <w:numId w:val="57"/>
        </w:numPr>
        <w:spacing w:line="360" w:before="105" w:after="105" w:lineRule="auto"/>
      </w:pPr>
      <w:r>
        <w:rPr>
          <w:rFonts w:eastAsia="inter" w:cs="inter" w:ascii="inter" w:hAnsi="inter"/>
          <w:color w:val="000000"/>
          <w:sz w:val="21"/>
        </w:rPr>
        <w:t xml:space="preserve">[ ] Zora AI client win announcement with Israeli enterprise (Bank Hapoalim, Bank Leumi, major telecom, insurance company)</w:t>
      </w:r>
    </w:p>
    <w:p>
      <w:pPr>
        <w:numPr>
          <w:ilvl w:val="0"/>
          <w:numId w:val="57"/>
        </w:numPr>
        <w:spacing w:line="360" w:before="105" w:after="105" w:lineRule="auto"/>
      </w:pPr>
      <w:r>
        <w:rPr>
          <w:rFonts w:eastAsia="inter" w:cs="inter" w:ascii="inter" w:hAnsi="inter"/>
          <w:color w:val="000000"/>
          <w:sz w:val="21"/>
        </w:rPr>
        <w:t xml:space="preserve">[ ] OpTeamizer NVIDIA AI project deployment with Israeli company</w:t>
      </w:r>
    </w:p>
    <w:p>
      <w:pPr>
        <w:numPr>
          <w:ilvl w:val="0"/>
          <w:numId w:val="57"/>
        </w:numPr>
        <w:spacing w:line="360" w:before="105" w:after="105" w:lineRule="auto"/>
      </w:pPr>
      <w:r>
        <w:rPr>
          <w:rFonts w:eastAsia="inter" w:cs="inter" w:ascii="inter" w:hAnsi="inter"/>
          <w:color w:val="000000"/>
          <w:sz w:val="21"/>
        </w:rPr>
        <w:t xml:space="preserve">[ ] Launchpad alumni integration into large enterprise deal</w:t>
      </w:r>
    </w:p>
    <w:p>
      <w:pPr>
        <w:spacing w:line="360" w:after="210" w:lineRule="auto"/>
      </w:pPr>
      <w:r>
        <w:rPr>
          <w:rFonts w:eastAsia="inter" w:cs="inter" w:ascii="inter" w:hAnsi="inter"/>
          <w:b/>
          <w:color w:val="000000"/>
        </w:rPr>
        <w:t xml:space="preserve">Q2-Q3 2025</w:t>
      </w:r>
      <w:r>
        <w:rPr>
          <w:rFonts w:eastAsia="inter" w:cs="inter" w:ascii="inter" w:hAnsi="inter"/>
          <w:color w:val="000000"/>
        </w:rPr>
        <w:t xml:space="preserve">:</w:t>
      </w:r>
    </w:p>
    <w:p>
      <w:pPr>
        <w:numPr>
          <w:ilvl w:val="0"/>
          <w:numId w:val="58"/>
        </w:numPr>
        <w:spacing w:line="360" w:before="105" w:after="105" w:lineRule="auto"/>
      </w:pPr>
      <w:r>
        <w:rPr>
          <w:rFonts w:eastAsia="inter" w:cs="inter" w:ascii="inter" w:hAnsi="inter"/>
          <w:color w:val="000000"/>
          <w:sz w:val="21"/>
        </w:rPr>
        <w:t xml:space="preserve">[ ] Deloitte selected as integrator for 2+ government AI projects (of the 9 approved initiatives)</w:t>
      </w:r>
    </w:p>
    <w:p>
      <w:pPr>
        <w:numPr>
          <w:ilvl w:val="0"/>
          <w:numId w:val="58"/>
        </w:numPr>
        <w:spacing w:line="360" w:before="105" w:after="105" w:lineRule="auto"/>
      </w:pPr>
      <w:r>
        <w:rPr>
          <w:rFonts w:eastAsia="inter" w:cs="inter" w:ascii="inter" w:hAnsi="inter"/>
          <w:color w:val="000000"/>
          <w:sz w:val="21"/>
        </w:rPr>
        <w:t xml:space="preserve">[ ] New Israeli startup acquisition (boutique or specialist)</w:t>
      </w:r>
    </w:p>
    <w:p>
      <w:pPr>
        <w:numPr>
          <w:ilvl w:val="0"/>
          <w:numId w:val="58"/>
        </w:numPr>
        <w:spacing w:line="360" w:before="105" w:after="105" w:lineRule="auto"/>
      </w:pPr>
      <w:r>
        <w:rPr>
          <w:rFonts w:eastAsia="inter" w:cs="inter" w:ascii="inter" w:hAnsi="inter"/>
          <w:color w:val="000000"/>
          <w:sz w:val="21"/>
        </w:rPr>
        <w:t xml:space="preserve">[ ] Hiring announcement: data scientists, AI engineers, cloud architects</w:t>
      </w:r>
    </w:p>
    <w:p>
      <w:pPr>
        <w:spacing w:line="360" w:after="210" w:lineRule="auto"/>
      </w:pPr>
      <w:r>
        <w:rPr>
          <w:rFonts w:eastAsia="inter" w:cs="inter" w:ascii="inter" w:hAnsi="inter"/>
          <w:b/>
          <w:color w:val="000000"/>
        </w:rPr>
        <w:t xml:space="preserve">Q3-Q4 2025</w:t>
      </w:r>
      <w:r>
        <w:rPr>
          <w:rFonts w:eastAsia="inter" w:cs="inter" w:ascii="inter" w:hAnsi="inter"/>
          <w:color w:val="000000"/>
        </w:rPr>
        <w:t xml:space="preserve">:</w:t>
      </w:r>
    </w:p>
    <w:p>
      <w:pPr>
        <w:numPr>
          <w:ilvl w:val="0"/>
          <w:numId w:val="59"/>
        </w:numPr>
        <w:spacing w:line="360" w:before="105" w:after="105" w:lineRule="auto"/>
      </w:pPr>
      <w:r>
        <w:rPr>
          <w:rFonts w:eastAsia="inter" w:cs="inter" w:ascii="inter" w:hAnsi="inter"/>
          <w:color w:val="000000"/>
          <w:sz w:val="21"/>
        </w:rPr>
        <w:t xml:space="preserve">[ ] Deloitte + Catalyst startup case study (publicly announced integration)</w:t>
      </w:r>
    </w:p>
    <w:p>
      <w:pPr>
        <w:numPr>
          <w:ilvl w:val="0"/>
          <w:numId w:val="59"/>
        </w:numPr>
        <w:spacing w:line="360" w:before="105" w:after="105" w:lineRule="auto"/>
      </w:pPr>
      <w:r>
        <w:rPr>
          <w:rFonts w:eastAsia="inter" w:cs="inter" w:ascii="inter" w:hAnsi="inter"/>
          <w:color w:val="000000"/>
          <w:sz w:val="21"/>
        </w:rPr>
        <w:t xml:space="preserve">[ ] Major client migration announcement (from Elad/Matrix to Deloitte for digital transformation)</w:t>
      </w:r>
    </w:p>
    <w:p>
      <w:pPr>
        <w:numPr>
          <w:ilvl w:val="0"/>
          <w:numId w:val="59"/>
        </w:numPr>
        <w:spacing w:line="360" w:before="105" w:after="105" w:lineRule="auto"/>
      </w:pPr>
      <w:r>
        <w:rPr>
          <w:rFonts w:eastAsia="inter" w:cs="inter" w:ascii="inter" w:hAnsi="inter"/>
          <w:color w:val="000000"/>
          <w:sz w:val="21"/>
        </w:rPr>
        <w:t xml:space="preserve">[ ] NVIDIA + Deloitte joint statement on Israel market expansion</w:t>
      </w:r>
    </w:p>
    <w:p>
      <w:pPr>
        <w:spacing w:line="360" w:before="315" w:after="105" w:lineRule="auto"/>
        <w:ind w:left="-30"/>
        <w:jc w:val="left"/>
      </w:pPr>
      <w:bookmarkStart w:id="130" w:name="positive_signals_for_deloitte_thr_55ac80"/>
      <w:r>
        <w:rPr>
          <w:rFonts w:eastAsia="inter" w:cs="inter" w:ascii="inter" w:hAnsi="inter"/>
          <w:b/>
          <w:color w:val="000000"/>
          <w:sz w:val="24"/>
        </w:rPr>
        <w:t xml:space="preserve">Positive Signals for Deloitte (= Threat to Competitors)</w:t>
      </w:r>
      <w:bookmarkEnd w:id="130"/>
    </w:p>
    <w:p>
      <w:pPr>
        <w:numPr>
          <w:ilvl w:val="0"/>
          <w:numId w:val="60"/>
        </w:numPr>
        <w:spacing w:line="360" w:before="105" w:after="105" w:lineRule="auto"/>
      </w:pPr>
      <w:r>
        <w:rPr>
          <w:rFonts w:eastAsia="inter" w:cs="inter" w:ascii="inter" w:hAnsi="inter"/>
          <w:b/>
          <w:color w:val="000000"/>
          <w:sz w:val="21"/>
        </w:rPr>
        <w:t xml:space="preserve">Launchpad Alumni Exits</w:t>
      </w:r>
      <w:r>
        <w:rPr>
          <w:rFonts w:eastAsia="inter" w:cs="inter" w:ascii="inter" w:hAnsi="inter"/>
          <w:color w:val="000000"/>
          <w:sz w:val="21"/>
        </w:rPr>
        <w:t xml:space="preserve">: Track acquisition prices and acquirers (signals ecosystem strength)</w:t>
      </w:r>
    </w:p>
    <w:p>
      <w:pPr>
        <w:numPr>
          <w:ilvl w:val="0"/>
          <w:numId w:val="60"/>
        </w:numPr>
        <w:spacing w:line="360" w:before="105" w:after="105" w:lineRule="auto"/>
      </w:pPr>
      <w:r>
        <w:rPr>
          <w:rFonts w:eastAsia="inter" w:cs="inter" w:ascii="inter" w:hAnsi="inter"/>
          <w:b/>
          <w:color w:val="000000"/>
          <w:sz w:val="21"/>
        </w:rPr>
        <w:t xml:space="preserve">Government Project Wins</w:t>
      </w:r>
      <w:r>
        <w:rPr>
          <w:rFonts w:eastAsia="inter" w:cs="inter" w:ascii="inter" w:hAnsi="inter"/>
          <w:color w:val="000000"/>
          <w:sz w:val="21"/>
        </w:rPr>
        <w:t xml:space="preserve">: Monitor Israel's government AI portal for Deloitte as consulting/integration partner</w:t>
      </w:r>
    </w:p>
    <w:p>
      <w:pPr>
        <w:numPr>
          <w:ilvl w:val="0"/>
          <w:numId w:val="60"/>
        </w:numPr>
        <w:spacing w:line="360" w:before="105" w:after="105" w:lineRule="auto"/>
      </w:pPr>
      <w:r>
        <w:rPr>
          <w:rFonts w:eastAsia="inter" w:cs="inter" w:ascii="inter" w:hAnsi="inter"/>
          <w:b/>
          <w:color w:val="000000"/>
          <w:sz w:val="21"/>
        </w:rPr>
        <w:t xml:space="preserve">Headcount Growth</w:t>
      </w:r>
      <w:r>
        <w:rPr>
          <w:rFonts w:eastAsia="inter" w:cs="inter" w:ascii="inter" w:hAnsi="inter"/>
          <w:color w:val="000000"/>
          <w:sz w:val="21"/>
        </w:rPr>
        <w:t xml:space="preserve">: Deloitte Israel hiring announcements (hiring = confidence in pipeline)</w:t>
      </w:r>
    </w:p>
    <w:p>
      <w:pPr>
        <w:numPr>
          <w:ilvl w:val="0"/>
          <w:numId w:val="60"/>
        </w:numPr>
        <w:spacing w:line="360" w:before="105" w:after="105" w:lineRule="auto"/>
      </w:pPr>
      <w:r>
        <w:rPr>
          <w:rFonts w:eastAsia="inter" w:cs="inter" w:ascii="inter" w:hAnsi="inter"/>
          <w:b/>
          <w:color w:val="000000"/>
          <w:sz w:val="21"/>
        </w:rPr>
        <w:t xml:space="preserve">Partnership Announcements</w:t>
      </w:r>
      <w:r>
        <w:rPr>
          <w:rFonts w:eastAsia="inter" w:cs="inter" w:ascii="inter" w:hAnsi="inter"/>
          <w:color w:val="000000"/>
          <w:sz w:val="21"/>
        </w:rPr>
        <w:t xml:space="preserve">: New Oracle, SAP, or Google Cloud strategic wins</w:t>
      </w:r>
    </w:p>
    <w:p>
      <w:pPr>
        <w:numPr>
          <w:ilvl w:val="0"/>
          <w:numId w:val="60"/>
        </w:numPr>
        <w:spacing w:line="360" w:before="105" w:after="105" w:lineRule="auto"/>
      </w:pPr>
      <w:r>
        <w:rPr>
          <w:rFonts w:eastAsia="inter" w:cs="inter" w:ascii="inter" w:hAnsi="inter"/>
          <w:b/>
          <w:color w:val="000000"/>
          <w:sz w:val="21"/>
        </w:rPr>
        <w:t xml:space="preserve">Media Coverage</w:t>
      </w:r>
      <w:r>
        <w:rPr>
          <w:rFonts w:eastAsia="inter" w:cs="inter" w:ascii="inter" w:hAnsi="inter"/>
          <w:color w:val="000000"/>
          <w:sz w:val="21"/>
        </w:rPr>
        <w:t xml:space="preserve">: Deloitte Israel case studies, webinars, thought leadership on AI in Israeli market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1" w:name="section_9_the_gold_mine_what_make_7c8e38"/>
      <w:r>
        <w:rPr>
          <w:rFonts w:eastAsia="inter" w:cs="inter" w:ascii="inter" w:hAnsi="inter"/>
          <w:b/>
          <w:color w:val="000000"/>
          <w:sz w:val="24"/>
        </w:rPr>
        <w:t xml:space="preserve">SECTION 9: THE "GOLD MINE" – WHAT MAKES THIS A DIRECT THREAT</w:t>
      </w:r>
      <w:bookmarkEnd w:id="131"/>
    </w:p>
    <w:p>
      <w:pPr>
        <w:spacing w:line="360" w:before="315" w:after="105" w:lineRule="auto"/>
        <w:ind w:left="-30"/>
        <w:jc w:val="left"/>
      </w:pPr>
      <w:bookmarkStart w:id="132" w:name="bm_9_1_the_four_assets_elad_matri_f41299"/>
      <w:r>
        <w:rPr>
          <w:rFonts w:eastAsia="inter" w:cs="inter" w:ascii="inter" w:hAnsi="inter"/>
          <w:b/>
          <w:color w:val="000000"/>
          <w:sz w:val="24"/>
        </w:rPr>
        <w:t xml:space="preserve">9.1 The Four Assets Elad/Matrix Cannot Quickly Replicate</w:t>
      </w:r>
      <w:bookmarkEnd w:id="132"/>
    </w:p>
    <w:p>
      <w:pPr>
        <w:spacing w:line="360" w:after="210" w:lineRule="auto"/>
      </w:pPr>
      <w:r>
        <w:rPr>
          <w:rFonts w:eastAsia="inter" w:cs="inter" w:ascii="inter" w:hAnsi="inter"/>
          <w:b/>
          <w:color w:val="000000"/>
        </w:rPr>
        <w:t xml:space="preserve">Asset 1: OpTeamizer (NVIDIA Preferred Partner Status)</w:t>
      </w:r>
    </w:p>
    <w:p>
      <w:pPr>
        <w:numPr>
          <w:ilvl w:val="0"/>
          <w:numId w:val="61"/>
        </w:numPr>
        <w:spacing w:line="360" w:before="105" w:after="105" w:lineRule="auto"/>
      </w:pPr>
      <w:r>
        <w:rPr>
          <w:rFonts w:eastAsia="inter" w:cs="inter" w:ascii="inter" w:hAnsi="inter"/>
          <w:color w:val="000000"/>
          <w:sz w:val="21"/>
        </w:rPr>
        <w:t xml:space="preserve">Took Deloitte 1 acquisition to lock in NVIDIA's Preferred Partner status</w:t>
      </w:r>
    </w:p>
    <w:p>
      <w:pPr>
        <w:numPr>
          <w:ilvl w:val="0"/>
          <w:numId w:val="61"/>
        </w:numPr>
        <w:spacing w:line="360" w:before="105" w:after="105" w:lineRule="auto"/>
      </w:pPr>
      <w:r>
        <w:rPr>
          <w:rFonts w:eastAsia="inter" w:cs="inter" w:ascii="inter" w:hAnsi="inter"/>
          <w:color w:val="000000"/>
          <w:sz w:val="21"/>
        </w:rPr>
        <w:t xml:space="preserve">Elad/Matrix would need to build relationships, prove expertise, then gain status</w:t>
      </w:r>
    </w:p>
    <w:p>
      <w:pPr>
        <w:numPr>
          <w:ilvl w:val="0"/>
          <w:numId w:val="61"/>
        </w:numPr>
        <w:spacing w:line="360" w:before="105" w:after="105" w:lineRule="auto"/>
      </w:pPr>
      <w:r>
        <w:rPr>
          <w:rFonts w:eastAsia="inter" w:cs="inter" w:ascii="inter" w:hAnsi="inter"/>
          <w:b/>
          <w:color w:val="000000"/>
          <w:sz w:val="21"/>
        </w:rPr>
        <w:t xml:space="preserve">Timeline to Replicate</w:t>
      </w:r>
      <w:r>
        <w:rPr>
          <w:rFonts w:eastAsia="inter" w:cs="inter" w:ascii="inter" w:hAnsi="inter"/>
          <w:color w:val="000000"/>
          <w:sz w:val="21"/>
        </w:rPr>
        <w:t xml:space="preserve">: 2-3 years minimum</w:t>
      </w:r>
    </w:p>
    <w:p>
      <w:pPr>
        <w:numPr>
          <w:ilvl w:val="0"/>
          <w:numId w:val="61"/>
        </w:numPr>
        <w:spacing w:line="360" w:before="105" w:after="105" w:lineRule="auto"/>
      </w:pPr>
      <w:r>
        <w:rPr>
          <w:rFonts w:eastAsia="inter" w:cs="inter" w:ascii="inter" w:hAnsi="inter"/>
          <w:b/>
          <w:color w:val="000000"/>
          <w:sz w:val="21"/>
        </w:rPr>
        <w:t xml:space="preserve">Cost</w:t>
      </w:r>
      <w:r>
        <w:rPr>
          <w:rFonts w:eastAsia="inter" w:cs="inter" w:ascii="inter" w:hAnsi="inter"/>
          <w:color w:val="000000"/>
          <w:sz w:val="21"/>
        </w:rPr>
        <w:t xml:space="preserve">: Would require acquiring or building equivalent team</w:t>
      </w:r>
    </w:p>
    <w:p>
      <w:pPr>
        <w:spacing w:line="360" w:after="210" w:lineRule="auto"/>
      </w:pPr>
      <w:r>
        <w:rPr>
          <w:rFonts w:eastAsia="inter" w:cs="inter" w:ascii="inter" w:hAnsi="inter"/>
          <w:b/>
          <w:color w:val="000000"/>
        </w:rPr>
        <w:t xml:space="preserve">Asset 2: Zora AI (Proprietary Agentic Platform)</w:t>
      </w:r>
    </w:p>
    <w:p>
      <w:pPr>
        <w:numPr>
          <w:ilvl w:val="0"/>
          <w:numId w:val="62"/>
        </w:numPr>
        <w:spacing w:line="360" w:before="105" w:after="105" w:lineRule="auto"/>
      </w:pPr>
      <w:r>
        <w:rPr>
          <w:rFonts w:eastAsia="inter" w:cs="inter" w:ascii="inter" w:hAnsi="inter"/>
          <w:color w:val="000000"/>
          <w:sz w:val="21"/>
        </w:rPr>
        <w:t xml:space="preserve">Production-ready AI agents across finance, HR, supply chain, sales, customer service</w:t>
      </w:r>
    </w:p>
    <w:p>
      <w:pPr>
        <w:numPr>
          <w:ilvl w:val="0"/>
          <w:numId w:val="62"/>
        </w:numPr>
        <w:spacing w:line="360" w:before="105" w:after="105" w:lineRule="auto"/>
      </w:pPr>
      <w:r>
        <w:rPr>
          <w:rFonts w:eastAsia="inter" w:cs="inter" w:ascii="inter" w:hAnsi="inter"/>
          <w:color w:val="000000"/>
          <w:sz w:val="21"/>
        </w:rPr>
        <w:t xml:space="preserve">Built on Deloitte's 175 years of industry expertise and thousands of engagements</w:t>
      </w:r>
    </w:p>
    <w:p>
      <w:pPr>
        <w:numPr>
          <w:ilvl w:val="0"/>
          <w:numId w:val="62"/>
        </w:numPr>
        <w:spacing w:line="360" w:before="105" w:after="105" w:lineRule="auto"/>
      </w:pPr>
      <w:r>
        <w:rPr>
          <w:rFonts w:eastAsia="inter" w:cs="inter" w:ascii="inter" w:hAnsi="inter"/>
          <w:color w:val="000000"/>
          <w:sz w:val="21"/>
        </w:rPr>
        <w:t xml:space="preserve">Trained on proprietary consulting knowledge</w:t>
      </w:r>
    </w:p>
    <w:p>
      <w:pPr>
        <w:numPr>
          <w:ilvl w:val="0"/>
          <w:numId w:val="62"/>
        </w:numPr>
        <w:spacing w:line="360" w:before="105" w:after="105" w:lineRule="auto"/>
      </w:pPr>
      <w:r>
        <w:rPr>
          <w:rFonts w:eastAsia="inter" w:cs="inter" w:ascii="inter" w:hAnsi="inter"/>
          <w:b/>
          <w:color w:val="000000"/>
          <w:sz w:val="21"/>
        </w:rPr>
        <w:t xml:space="preserve">Timeline to Replicate</w:t>
      </w:r>
      <w:r>
        <w:rPr>
          <w:rFonts w:eastAsia="inter" w:cs="inter" w:ascii="inter" w:hAnsi="inter"/>
          <w:color w:val="000000"/>
          <w:sz w:val="21"/>
        </w:rPr>
        <w:t xml:space="preserve">: 3-5 years minimum</w:t>
      </w:r>
    </w:p>
    <w:p>
      <w:pPr>
        <w:numPr>
          <w:ilvl w:val="0"/>
          <w:numId w:val="62"/>
        </w:numPr>
        <w:spacing w:line="360" w:before="105" w:after="105" w:lineRule="auto"/>
      </w:pPr>
      <w:r>
        <w:rPr>
          <w:rFonts w:eastAsia="inter" w:cs="inter" w:ascii="inter" w:hAnsi="inter"/>
          <w:b/>
          <w:color w:val="000000"/>
          <w:sz w:val="21"/>
        </w:rPr>
        <w:t xml:space="preserve">Cost</w:t>
      </w:r>
      <w:r>
        <w:rPr>
          <w:rFonts w:eastAsia="inter" w:cs="inter" w:ascii="inter" w:hAnsi="inter"/>
          <w:color w:val="000000"/>
          <w:sz w:val="21"/>
        </w:rPr>
        <w:t xml:space="preserve">: Hundreds of millions in R&amp;D</w:t>
      </w:r>
    </w:p>
    <w:p>
      <w:pPr>
        <w:spacing w:line="360" w:after="210" w:lineRule="auto"/>
      </w:pPr>
      <w:r>
        <w:rPr>
          <w:rFonts w:eastAsia="inter" w:cs="inter" w:ascii="inter" w:hAnsi="inter"/>
          <w:b/>
          <w:color w:val="000000"/>
        </w:rPr>
        <w:t xml:space="preserve">Asset 3: Catalyst/Launchpad (Israeli Startup Ecosystem Access)</w:t>
      </w:r>
    </w:p>
    <w:p>
      <w:pPr>
        <w:numPr>
          <w:ilvl w:val="0"/>
          <w:numId w:val="63"/>
        </w:numPr>
        <w:spacing w:line="360" w:before="105" w:after="105" w:lineRule="auto"/>
      </w:pPr>
      <w:r>
        <w:rPr>
          <w:rFonts w:eastAsia="inter" w:cs="inter" w:ascii="inter" w:hAnsi="inter"/>
          <w:color w:val="000000"/>
          <w:sz w:val="21"/>
        </w:rPr>
        <w:t xml:space="preserve">93 companies, $2.4B raised, systematic pipeline</w:t>
      </w:r>
    </w:p>
    <w:p>
      <w:pPr>
        <w:numPr>
          <w:ilvl w:val="0"/>
          <w:numId w:val="63"/>
        </w:numPr>
        <w:spacing w:line="360" w:before="105" w:after="105" w:lineRule="auto"/>
      </w:pPr>
      <w:r>
        <w:rPr>
          <w:rFonts w:eastAsia="inter" w:cs="inter" w:ascii="inter" w:hAnsi="inter"/>
          <w:color w:val="000000"/>
          <w:sz w:val="21"/>
        </w:rPr>
        <w:t xml:space="preserve">5+ years of relationship building, trust, and mentorship</w:t>
      </w:r>
    </w:p>
    <w:p>
      <w:pPr>
        <w:numPr>
          <w:ilvl w:val="0"/>
          <w:numId w:val="63"/>
        </w:numPr>
        <w:spacing w:line="360" w:before="105" w:after="105" w:lineRule="auto"/>
      </w:pPr>
      <w:r>
        <w:rPr>
          <w:rFonts w:eastAsia="inter" w:cs="inter" w:ascii="inter" w:hAnsi="inter"/>
          <w:color w:val="000000"/>
          <w:sz w:val="21"/>
        </w:rPr>
        <w:t xml:space="preserve">Direct distribution channel to Israeli innovation</w:t>
      </w:r>
    </w:p>
    <w:p>
      <w:pPr>
        <w:numPr>
          <w:ilvl w:val="0"/>
          <w:numId w:val="63"/>
        </w:numPr>
        <w:spacing w:line="360" w:before="105" w:after="105" w:lineRule="auto"/>
      </w:pPr>
      <w:r>
        <w:rPr>
          <w:rFonts w:eastAsia="inter" w:cs="inter" w:ascii="inter" w:hAnsi="inter"/>
          <w:b/>
          <w:color w:val="000000"/>
          <w:sz w:val="21"/>
        </w:rPr>
        <w:t xml:space="preserve">Timeline to Replicate</w:t>
      </w:r>
      <w:r>
        <w:rPr>
          <w:rFonts w:eastAsia="inter" w:cs="inter" w:ascii="inter" w:hAnsi="inter"/>
          <w:color w:val="000000"/>
          <w:sz w:val="21"/>
        </w:rPr>
        <w:t xml:space="preserve">: Cannot replicate overnight; requires years of ecosystem building</w:t>
      </w:r>
    </w:p>
    <w:p>
      <w:pPr>
        <w:numPr>
          <w:ilvl w:val="0"/>
          <w:numId w:val="63"/>
        </w:numPr>
        <w:spacing w:line="360" w:before="105" w:after="105" w:lineRule="auto"/>
      </w:pPr>
      <w:r>
        <w:rPr>
          <w:rFonts w:eastAsia="inter" w:cs="inter" w:ascii="inter" w:hAnsi="inter"/>
          <w:b/>
          <w:color w:val="000000"/>
          <w:sz w:val="21"/>
        </w:rPr>
        <w:t xml:space="preserve">Cost</w:t>
      </w:r>
      <w:r>
        <w:rPr>
          <w:rFonts w:eastAsia="inter" w:cs="inter" w:ascii="inter" w:hAnsi="inter"/>
          <w:color w:val="000000"/>
          <w:sz w:val="21"/>
        </w:rPr>
        <w:t xml:space="preserve">: Ongoing investment in mentorship, capital, and relationship management</w:t>
      </w:r>
    </w:p>
    <w:p>
      <w:pPr>
        <w:spacing w:line="360" w:after="210" w:lineRule="auto"/>
      </w:pPr>
      <w:r>
        <w:rPr>
          <w:rFonts w:eastAsia="inter" w:cs="inter" w:ascii="inter" w:hAnsi="inter"/>
          <w:b/>
          <w:color w:val="000000"/>
        </w:rPr>
        <w:t xml:space="preserve">Asset 4: Government Advisory Position</w:t>
      </w:r>
    </w:p>
    <w:p>
      <w:pPr>
        <w:numPr>
          <w:ilvl w:val="0"/>
          <w:numId w:val="64"/>
        </w:numPr>
        <w:spacing w:line="360" w:before="105" w:after="105" w:lineRule="auto"/>
      </w:pPr>
      <w:r>
        <w:rPr>
          <w:rFonts w:eastAsia="inter" w:cs="inter" w:ascii="inter" w:hAnsi="inter"/>
          <w:color w:val="000000"/>
          <w:sz w:val="21"/>
        </w:rPr>
        <w:t xml:space="preserve">Embedded in Israeli government's cloud transformation roadmap</w:t>
      </w:r>
    </w:p>
    <w:p>
      <w:pPr>
        <w:numPr>
          <w:ilvl w:val="0"/>
          <w:numId w:val="64"/>
        </w:numPr>
        <w:spacing w:line="360" w:before="105" w:after="105" w:lineRule="auto"/>
      </w:pPr>
      <w:r>
        <w:rPr>
          <w:rFonts w:eastAsia="inter" w:cs="inter" w:ascii="inter" w:hAnsi="inter"/>
          <w:color w:val="000000"/>
          <w:sz w:val="21"/>
        </w:rPr>
        <w:t xml:space="preserve">Advisory role across multiple ministries</w:t>
      </w:r>
    </w:p>
    <w:p>
      <w:pPr>
        <w:numPr>
          <w:ilvl w:val="0"/>
          <w:numId w:val="64"/>
        </w:numPr>
        <w:spacing w:line="360" w:before="105" w:after="105" w:lineRule="auto"/>
      </w:pPr>
      <w:r>
        <w:rPr>
          <w:rFonts w:eastAsia="inter" w:cs="inter" w:ascii="inter" w:hAnsi="inter"/>
          <w:color w:val="000000"/>
          <w:sz w:val="21"/>
        </w:rPr>
        <w:t xml:space="preserve">Trusted partner for digital strategy</w:t>
      </w:r>
    </w:p>
    <w:p>
      <w:pPr>
        <w:numPr>
          <w:ilvl w:val="0"/>
          <w:numId w:val="64"/>
        </w:numPr>
        <w:spacing w:line="360" w:before="105" w:after="105" w:lineRule="auto"/>
      </w:pPr>
      <w:r>
        <w:rPr>
          <w:rFonts w:eastAsia="inter" w:cs="inter" w:ascii="inter" w:hAnsi="inter"/>
          <w:b/>
          <w:color w:val="000000"/>
          <w:sz w:val="21"/>
        </w:rPr>
        <w:t xml:space="preserve">Timeline to Replicate</w:t>
      </w:r>
      <w:r>
        <w:rPr>
          <w:rFonts w:eastAsia="inter" w:cs="inter" w:ascii="inter" w:hAnsi="inter"/>
          <w:color w:val="000000"/>
          <w:sz w:val="21"/>
        </w:rPr>
        <w:t xml:space="preserve">: Cannot buy this; requires trust and demonstrated expertise</w:t>
      </w:r>
    </w:p>
    <w:p>
      <w:pPr>
        <w:numPr>
          <w:ilvl w:val="0"/>
          <w:numId w:val="64"/>
        </w:numPr>
        <w:spacing w:line="360" w:before="105" w:after="105" w:lineRule="auto"/>
      </w:pPr>
      <w:r>
        <w:rPr>
          <w:rFonts w:eastAsia="inter" w:cs="inter" w:ascii="inter" w:hAnsi="inter"/>
          <w:b/>
          <w:color w:val="000000"/>
          <w:sz w:val="21"/>
        </w:rPr>
        <w:t xml:space="preserve">Cost</w:t>
      </w:r>
      <w:r>
        <w:rPr>
          <w:rFonts w:eastAsia="inter" w:cs="inter" w:ascii="inter" w:hAnsi="inter"/>
          <w:color w:val="000000"/>
          <w:sz w:val="21"/>
        </w:rPr>
        <w:t xml:space="preserve">: Long-term government relationship building</w:t>
      </w:r>
    </w:p>
    <w:p>
      <w:pPr>
        <w:spacing w:line="360" w:before="315" w:after="105" w:lineRule="auto"/>
        <w:ind w:left="-30"/>
        <w:jc w:val="left"/>
      </w:pPr>
      <w:bookmarkStart w:id="133" w:name="bm_9_2_the_cumulative_effect"/>
      <w:r>
        <w:rPr>
          <w:rFonts w:eastAsia="inter" w:cs="inter" w:ascii="inter" w:hAnsi="inter"/>
          <w:b/>
          <w:color w:val="000000"/>
          <w:sz w:val="24"/>
        </w:rPr>
        <w:t xml:space="preserve">9.2 The Cumulative Effect</w:t>
      </w:r>
      <w:bookmarkEnd w:id="133"/>
    </w:p>
    <w:p>
      <w:pPr>
        <w:spacing w:line="360" w:after="210" w:lineRule="auto"/>
      </w:pPr>
      <w:r>
        <w:rPr>
          <w:rFonts w:eastAsia="inter" w:cs="inter" w:ascii="inter" w:hAnsi="inter"/>
          <w:b/>
          <w:color w:val="000000"/>
        </w:rPr>
        <w:t xml:space="preserve">If Deloitte wins just ONE major Israeli enterprise transformation deal involving</w:t>
      </w:r>
      <w:r>
        <w:rPr>
          <w:rFonts w:eastAsia="inter" w:cs="inter" w:ascii="inter" w:hAnsi="inter"/>
          <w:color w:val="000000"/>
        </w:rPr>
        <w:t xml:space="preserve">:</w:t>
      </w:r>
    </w:p>
    <w:p>
      <w:pPr>
        <w:numPr>
          <w:ilvl w:val="0"/>
          <w:numId w:val="65"/>
        </w:numPr>
        <w:spacing w:line="360" w:before="105" w:after="105" w:lineRule="auto"/>
      </w:pPr>
      <w:r>
        <w:rPr>
          <w:rFonts w:eastAsia="inter" w:cs="inter" w:ascii="inter" w:hAnsi="inter"/>
          <w:color w:val="000000"/>
          <w:sz w:val="21"/>
        </w:rPr>
        <w:t xml:space="preserve">Zora AI deployment</w:t>
      </w:r>
    </w:p>
    <w:p>
      <w:pPr>
        <w:numPr>
          <w:ilvl w:val="0"/>
          <w:numId w:val="65"/>
        </w:numPr>
        <w:spacing w:line="360" w:before="105" w:after="105" w:lineRule="auto"/>
      </w:pPr>
      <w:r>
        <w:rPr>
          <w:rFonts w:eastAsia="inter" w:cs="inter" w:ascii="inter" w:hAnsi="inter"/>
          <w:color w:val="000000"/>
          <w:sz w:val="21"/>
        </w:rPr>
        <w:t xml:space="preserve">OpTeamizer AI infrastructure optimization</w:t>
      </w:r>
    </w:p>
    <w:p>
      <w:pPr>
        <w:numPr>
          <w:ilvl w:val="0"/>
          <w:numId w:val="65"/>
        </w:numPr>
        <w:spacing w:line="360" w:before="105" w:after="105" w:lineRule="auto"/>
      </w:pPr>
      <w:r>
        <w:rPr>
          <w:rFonts w:eastAsia="inter" w:cs="inter" w:ascii="inter" w:hAnsi="inter"/>
          <w:color w:val="000000"/>
          <w:sz w:val="21"/>
        </w:rPr>
        <w:t xml:space="preserve">Awesome creative redesign</w:t>
      </w:r>
    </w:p>
    <w:p>
      <w:pPr>
        <w:numPr>
          <w:ilvl w:val="0"/>
          <w:numId w:val="65"/>
        </w:numPr>
        <w:spacing w:line="360" w:before="105" w:after="105" w:lineRule="auto"/>
      </w:pPr>
      <w:r>
        <w:rPr>
          <w:rFonts w:eastAsia="inter" w:cs="inter" w:ascii="inter" w:hAnsi="inter"/>
          <w:color w:val="000000"/>
          <w:sz w:val="21"/>
        </w:rPr>
        <w:t xml:space="preserve">HashedIn execution</w:t>
      </w:r>
    </w:p>
    <w:p>
      <w:pPr>
        <w:numPr>
          <w:ilvl w:val="0"/>
          <w:numId w:val="65"/>
        </w:numPr>
        <w:spacing w:line="360" w:before="105" w:after="105" w:lineRule="auto"/>
      </w:pPr>
      <w:r>
        <w:rPr>
          <w:rFonts w:eastAsia="inter" w:cs="inter" w:ascii="inter" w:hAnsi="inter"/>
          <w:color w:val="000000"/>
          <w:sz w:val="21"/>
        </w:rPr>
        <w:t xml:space="preserve">Catalyst startup integration</w:t>
      </w:r>
    </w:p>
    <w:p>
      <w:pPr>
        <w:numPr>
          <w:ilvl w:val="0"/>
          <w:numId w:val="65"/>
        </w:numPr>
        <w:spacing w:line="360" w:before="105" w:after="105" w:lineRule="auto"/>
      </w:pPr>
      <w:r>
        <w:rPr>
          <w:rFonts w:eastAsia="inter" w:cs="inter" w:ascii="inter" w:hAnsi="inter"/>
          <w:color w:val="000000"/>
          <w:sz w:val="21"/>
        </w:rPr>
        <w:t xml:space="preserve">Government advisory component</w:t>
      </w:r>
    </w:p>
    <w:p>
      <w:pPr>
        <w:spacing w:line="360" w:after="210" w:lineRule="auto"/>
      </w:pPr>
      <w:r>
        <w:rPr>
          <w:rFonts w:eastAsia="inter" w:cs="inter" w:ascii="inter" w:hAnsi="inter"/>
          <w:b/>
          <w:color w:val="000000"/>
        </w:rPr>
        <w:t xml:space="preserve">The pricing power is completely different from a traditional IT services firm.</w:t>
      </w:r>
      <w:r>
        <w:rPr>
          <w:rFonts w:eastAsia="inter" w:cs="inter" w:ascii="inter" w:hAnsi="inter"/>
          <w:color w:val="000000"/>
        </w:rPr>
        <w:t xml:space="preserve"> Deloitte can command consulting rates (3-5x typical IT services rates) because they're selling </w:t>
      </w:r>
      <w:r>
        <w:rPr>
          <w:rFonts w:eastAsia="inter" w:cs="inter" w:ascii="inter" w:hAnsi="inter"/>
          <w:b/>
          <w:color w:val="000000"/>
        </w:rPr>
        <w:t xml:space="preserve">transformation and business outcomes</w:t>
      </w:r>
      <w:r>
        <w:rPr>
          <w:rFonts w:eastAsia="inter" w:cs="inter" w:ascii="inter" w:hAnsi="inter"/>
          <w:color w:val="000000"/>
        </w:rPr>
        <w:t xml:space="preserve">, not just development hours.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4" w:name="final_assessment"/>
      <w:r>
        <w:rPr>
          <w:rFonts w:eastAsia="inter" w:cs="inter" w:ascii="inter" w:hAnsi="inter"/>
          <w:b/>
          <w:color w:val="000000"/>
          <w:sz w:val="24"/>
        </w:rPr>
        <w:t xml:space="preserve">FINAL ASSESSMENT</w:t>
      </w:r>
      <w:bookmarkEnd w:id="134"/>
    </w:p>
    <w:p>
      <w:pPr>
        <w:spacing w:line="360" w:before="315" w:after="105" w:lineRule="auto"/>
        <w:ind w:left="-30"/>
        <w:jc w:val="left"/>
      </w:pPr>
      <w:bookmarkStart w:id="135" w:name="the_transformation_is_complete"/>
      <w:r>
        <w:rPr>
          <w:rFonts w:eastAsia="inter" w:cs="inter" w:ascii="inter" w:hAnsi="inter"/>
          <w:b/>
          <w:color w:val="000000"/>
          <w:sz w:val="24"/>
        </w:rPr>
        <w:t xml:space="preserve">The Transformation Is Complete</w:t>
      </w:r>
      <w:bookmarkEnd w:id="135"/>
    </w:p>
    <w:p>
      <w:pPr>
        <w:spacing w:line="360" w:after="210" w:lineRule="auto"/>
      </w:pPr>
      <w:r>
        <w:rPr>
          <w:rFonts w:eastAsia="inter" w:cs="inter" w:ascii="inter" w:hAnsi="inter"/>
          <w:color w:val="000000"/>
        </w:rPr>
        <w:t xml:space="preserve">Deloitte Israel has systematically transformed from a pure consulting house into a </w:t>
      </w:r>
      <w:r>
        <w:rPr>
          <w:rFonts w:eastAsia="inter" w:cs="inter" w:ascii="inter" w:hAnsi="inter"/>
          <w:b/>
          <w:color w:val="000000"/>
        </w:rPr>
        <w:t xml:space="preserve">full-stack transformation platform</w:t>
      </w:r>
      <w:r>
        <w:rPr>
          <w:rFonts w:eastAsia="inter" w:cs="inter" w:ascii="inter" w:hAnsi="inter"/>
          <w:color w:val="000000"/>
        </w:rPr>
        <w:t xml:space="preserve"> that directly competes with—and in many ways outcompetes—traditional Israeli IT services firms.</w:t>
      </w:r>
    </w:p>
    <w:p>
      <w:pPr>
        <w:spacing w:line="360" w:after="210" w:lineRule="auto"/>
      </w:pPr>
      <w:r>
        <w:rPr>
          <w:rFonts w:eastAsia="inter" w:cs="inter" w:ascii="inter" w:hAnsi="inter"/>
          <w:b/>
          <w:color w:val="000000"/>
        </w:rPr>
        <w:t xml:space="preserve">Evidence Collected</w:t>
      </w:r>
      <w:r>
        <w:rPr>
          <w:rFonts w:eastAsia="inter" w:cs="inter" w:ascii="inter" w:hAnsi="inter"/>
          <w:color w:val="000000"/>
        </w:rPr>
        <w:t xml:space="preserve">:</w:t>
      </w:r>
    </w:p>
    <w:p>
      <w:pPr>
        <w:numPr>
          <w:ilvl w:val="0"/>
          <w:numId w:val="66"/>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Acquisition Machine</w:t>
      </w:r>
      <w:r>
        <w:rPr>
          <w:rFonts w:eastAsia="inter" w:cs="inter" w:ascii="inter" w:hAnsi="inter"/>
          <w:color w:val="000000"/>
          <w:sz w:val="21"/>
        </w:rPr>
        <w:t xml:space="preserve">: OpTeamizer, HashedIn, Awesome (proven execution capability)</w:t>
      </w:r>
    </w:p>
    <w:p>
      <w:pPr>
        <w:numPr>
          <w:ilvl w:val="0"/>
          <w:numId w:val="66"/>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AI Platforms</w:t>
      </w:r>
      <w:r>
        <w:rPr>
          <w:rFonts w:eastAsia="inter" w:cs="inter" w:ascii="inter" w:hAnsi="inter"/>
          <w:color w:val="000000"/>
          <w:sz w:val="21"/>
        </w:rPr>
        <w:t xml:space="preserve">: Zora AI (production-ready agentic platform), CortexAI (enterprise deployment), Quartz (customer-facing AI), S2S (infrastructure)</w:t>
      </w:r>
    </w:p>
    <w:p>
      <w:pPr>
        <w:numPr>
          <w:ilvl w:val="0"/>
          <w:numId w:val="66"/>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Startup Ecosystem</w:t>
      </w:r>
      <w:r>
        <w:rPr>
          <w:rFonts w:eastAsia="inter" w:cs="inter" w:ascii="inter" w:hAnsi="inter"/>
          <w:color w:val="000000"/>
          <w:sz w:val="21"/>
        </w:rPr>
        <w:t xml:space="preserve">: 93 Launchpad companies, $2.4B raised, systematic broker model</w:t>
      </w:r>
    </w:p>
    <w:p>
      <w:pPr>
        <w:numPr>
          <w:ilvl w:val="0"/>
          <w:numId w:val="66"/>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Government Play</w:t>
      </w:r>
      <w:r>
        <w:rPr>
          <w:rFonts w:eastAsia="inter" w:cs="inter" w:ascii="inter" w:hAnsi="inter"/>
          <w:color w:val="000000"/>
          <w:sz w:val="21"/>
        </w:rPr>
        <w:t xml:space="preserve">: Advisory, infrastructure, integration, startup pipeline</w:t>
      </w:r>
    </w:p>
    <w:p>
      <w:pPr>
        <w:numPr>
          <w:ilvl w:val="0"/>
          <w:numId w:val="66"/>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Local Leadership</w:t>
      </w:r>
      <w:r>
        <w:rPr>
          <w:rFonts w:eastAsia="inter" w:cs="inter" w:ascii="inter" w:hAnsi="inter"/>
          <w:color w:val="000000"/>
          <w:sz w:val="21"/>
        </w:rPr>
        <w:t xml:space="preserve">: Argov, Laron, Gal, Kochav embedded in Israeli ecosystem</w:t>
      </w:r>
    </w:p>
    <w:p>
      <w:pPr>
        <w:numPr>
          <w:ilvl w:val="0"/>
          <w:numId w:val="66"/>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Market Recognition</w:t>
      </w:r>
      <w:r>
        <w:rPr>
          <w:rFonts w:eastAsia="inter" w:cs="inter" w:ascii="inter" w:hAnsi="inter"/>
          <w:color w:val="000000"/>
          <w:sz w:val="21"/>
        </w:rPr>
        <w:t xml:space="preserve">: STKI Tier 1 (15 categories), Gartner leader, NVIDIA Partner of Year</w:t>
      </w:r>
    </w:p>
    <w:p>
      <w:pPr>
        <w:numPr>
          <w:ilvl w:val="0"/>
          <w:numId w:val="66"/>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Proven ROI</w:t>
      </w:r>
      <w:r>
        <w:rPr>
          <w:rFonts w:eastAsia="inter" w:cs="inter" w:ascii="inter" w:hAnsi="inter"/>
          <w:color w:val="000000"/>
          <w:sz w:val="21"/>
        </w:rPr>
        <w:t xml:space="preserve">: Zora AI (25-40% productivity gains), Rakuten Securities case study, government AI impact</w:t>
      </w:r>
    </w:p>
    <w:p>
      <w:pPr>
        <w:spacing w:line="360" w:before="315" w:after="105" w:lineRule="auto"/>
        <w:ind w:left="-30"/>
        <w:jc w:val="left"/>
      </w:pPr>
      <w:bookmarkStart w:id="136" w:name="why_this_is_the_beef_the_competit_766376"/>
      <w:r>
        <w:rPr>
          <w:rFonts w:eastAsia="inter" w:cs="inter" w:ascii="inter" w:hAnsi="inter"/>
          <w:b/>
          <w:color w:val="000000"/>
          <w:sz w:val="24"/>
        </w:rPr>
        <w:t xml:space="preserve">Why This Is "The Beef" (The Competitive Threat)</w:t>
      </w:r>
      <w:bookmarkEnd w:id="136"/>
    </w:p>
    <w:p>
      <w:pPr>
        <w:spacing w:line="360" w:after="210" w:lineRule="auto"/>
      </w:pPr>
      <w:r>
        <w:rPr>
          <w:rFonts w:eastAsia="inter" w:cs="inter" w:ascii="inter" w:hAnsi="inter"/>
          <w:b/>
          <w:color w:val="000000"/>
        </w:rPr>
        <w:t xml:space="preserve">Daily Competitive Threat to Elad/Matrix</w:t>
      </w:r>
      <w:r>
        <w:rPr>
          <w:rFonts w:eastAsia="inter" w:cs="inter" w:ascii="inter" w:hAnsi="inter"/>
          <w:color w:val="000000"/>
        </w:rPr>
        <w:t xml:space="preserve">:</w:t>
      </w:r>
    </w:p>
    <w:p>
      <w:pPr>
        <w:numPr>
          <w:ilvl w:val="0"/>
          <w:numId w:val="67"/>
        </w:numPr>
        <w:spacing w:line="360" w:before="105" w:after="105" w:lineRule="auto"/>
      </w:pPr>
      <w:r>
        <w:rPr>
          <w:rFonts w:eastAsia="inter" w:cs="inter" w:ascii="inter" w:hAnsi="inter"/>
          <w:color w:val="000000"/>
          <w:sz w:val="21"/>
        </w:rPr>
        <w:t xml:space="preserve">Cannot match Deloitte's consulting pricing power (Deloitte sells transformation; Elad/Matrix sell development hours)</w:t>
      </w:r>
    </w:p>
    <w:p>
      <w:pPr>
        <w:numPr>
          <w:ilvl w:val="0"/>
          <w:numId w:val="67"/>
        </w:numPr>
        <w:spacing w:line="360" w:before="105" w:after="105" w:lineRule="auto"/>
      </w:pPr>
      <w:r>
        <w:rPr>
          <w:rFonts w:eastAsia="inter" w:cs="inter" w:ascii="inter" w:hAnsi="inter"/>
          <w:color w:val="000000"/>
          <w:sz w:val="21"/>
        </w:rPr>
        <w:t xml:space="preserve">Cannot compete on AI platform differentiation (Zora AI is proprietary and proven)</w:t>
      </w:r>
    </w:p>
    <w:p>
      <w:pPr>
        <w:numPr>
          <w:ilvl w:val="0"/>
          <w:numId w:val="67"/>
        </w:numPr>
        <w:spacing w:line="360" w:before="105" w:after="105" w:lineRule="auto"/>
      </w:pPr>
      <w:r>
        <w:rPr>
          <w:rFonts w:eastAsia="inter" w:cs="inter" w:ascii="inter" w:hAnsi="inter"/>
          <w:color w:val="000000"/>
          <w:sz w:val="21"/>
        </w:rPr>
        <w:t xml:space="preserve">Cannot access Israeli startup ecosystem (Launchpad is locked in to Deloitte)</w:t>
      </w:r>
    </w:p>
    <w:p>
      <w:pPr>
        <w:numPr>
          <w:ilvl w:val="0"/>
          <w:numId w:val="67"/>
        </w:numPr>
        <w:spacing w:line="360" w:before="105" w:after="105" w:lineRule="auto"/>
      </w:pPr>
      <w:r>
        <w:rPr>
          <w:rFonts w:eastAsia="inter" w:cs="inter" w:ascii="inter" w:hAnsi="inter"/>
          <w:color w:val="000000"/>
          <w:sz w:val="21"/>
        </w:rPr>
        <w:t xml:space="preserve">Cannot match government advisory position (Deloitte is embedded in transformation roadmap)</w:t>
      </w:r>
    </w:p>
    <w:p>
      <w:pPr>
        <w:numPr>
          <w:ilvl w:val="0"/>
          <w:numId w:val="67"/>
        </w:numPr>
        <w:spacing w:line="360" w:before="105" w:after="105" w:lineRule="auto"/>
      </w:pPr>
      <w:r>
        <w:rPr>
          <w:rFonts w:eastAsia="inter" w:cs="inter" w:ascii="inter" w:hAnsi="inter"/>
          <w:color w:val="000000"/>
          <w:sz w:val="21"/>
        </w:rPr>
        <w:t xml:space="preserve">Cannot offer end-to-end integration (creative + consulting + execution)</w:t>
      </w:r>
    </w:p>
    <w:p>
      <w:pPr>
        <w:spacing w:line="360" w:after="210" w:lineRule="auto"/>
      </w:pPr>
      <w:r>
        <w:rPr>
          <w:rFonts w:eastAsia="inter" w:cs="inter" w:ascii="inter" w:hAnsi="inter"/>
          <w:b/>
          <w:color w:val="000000"/>
        </w:rPr>
        <w:t xml:space="preserve">Why Deloitte Is More Threatening Than Accenture</w:t>
      </w:r>
      <w:r>
        <w:rPr>
          <w:rFonts w:eastAsia="inter" w:cs="inter" w:ascii="inter" w:hAnsi="inter"/>
          <w:color w:val="000000"/>
        </w:rPr>
        <w:t xml:space="preserve">:</w:t>
      </w:r>
    </w:p>
    <w:p>
      <w:pPr>
        <w:numPr>
          <w:ilvl w:val="0"/>
          <w:numId w:val="68"/>
        </w:numPr>
        <w:spacing w:line="360" w:before="105" w:after="105" w:lineRule="auto"/>
      </w:pPr>
      <w:r>
        <w:rPr>
          <w:rFonts w:eastAsia="inter" w:cs="inter" w:ascii="inter" w:hAnsi="inter"/>
          <w:color w:val="000000"/>
          <w:sz w:val="21"/>
        </w:rPr>
        <w:t xml:space="preserve">Accenture: Global consulting firm that might acquire them or compete on strategy</w:t>
      </w:r>
    </w:p>
    <w:p>
      <w:pPr>
        <w:numPr>
          <w:ilvl w:val="0"/>
          <w:numId w:val="68"/>
        </w:numPr>
        <w:spacing w:line="360" w:before="105" w:after="105" w:lineRule="auto"/>
      </w:pPr>
      <w:r>
        <w:rPr>
          <w:rFonts w:eastAsia="inter" w:cs="inter" w:ascii="inter" w:hAnsi="inter"/>
          <w:color w:val="000000"/>
          <w:sz w:val="21"/>
        </w:rPr>
        <w:t xml:space="preserve">Deloitte: Global consulting firm that has ALREADY acquired execution capacity and is winning deals today</w:t>
      </w:r>
    </w:p>
    <w:p>
      <w:pPr>
        <w:spacing w:line="360" w:before="315" w:after="105" w:lineRule="auto"/>
        <w:ind w:left="-30"/>
        <w:jc w:val="left"/>
      </w:pPr>
      <w:bookmarkStart w:id="137" w:name="the_bottom_line"/>
      <w:r>
        <w:rPr>
          <w:rFonts w:eastAsia="inter" w:cs="inter" w:ascii="inter" w:hAnsi="inter"/>
          <w:b/>
          <w:color w:val="000000"/>
          <w:sz w:val="24"/>
        </w:rPr>
        <w:t xml:space="preserve">The Bottom Line</w:t>
      </w:r>
      <w:bookmarkEnd w:id="137"/>
    </w:p>
    <w:p>
      <w:pPr>
        <w:spacing w:line="360" w:after="210" w:lineRule="auto"/>
      </w:pPr>
      <w:r>
        <w:rPr>
          <w:rFonts w:eastAsia="inter" w:cs="inter" w:ascii="inter" w:hAnsi="inter"/>
          <w:b/>
          <w:color w:val="000000"/>
        </w:rPr>
        <w:t xml:space="preserve">Deloitte Israel is not a future competitor. It is the primary daily threat to Elad and Matrix in 2025 and beyond for enterprise transformation, government modernization, and AI implementation projects.</w:t>
      </w:r>
    </w:p>
    <w:p>
      <w:pPr>
        <w:spacing w:line="360" w:after="210" w:lineRule="auto"/>
      </w:pPr>
      <w:r>
        <w:rPr>
          <w:rFonts w:eastAsia="inter" w:cs="inter" w:ascii="inter" w:hAnsi="inter"/>
          <w:color w:val="000000"/>
        </w:rPr>
        <w:t xml:space="preserve">The "acquisition machine" is working. The AI platform is production-ready. The startup broker model is generating competitive advantage. The government position is embedded. And the local leadership is credible and committed.</w:t>
      </w:r>
    </w:p>
    <w:p>
      <w:pPr>
        <w:spacing w:line="360" w:after="210" w:lineRule="auto"/>
      </w:pPr>
      <w:r>
        <w:rPr>
          <w:rFonts w:eastAsia="inter" w:cs="inter" w:ascii="inter" w:hAnsi="inter"/>
          <w:color w:val="000000"/>
        </w:rPr>
        <w:t xml:space="preserve">This is not about consulting reports or thought leadership. This is about actual deals, actual projects, actual client wins—happening now.</w:t>
      </w:r>
    </w:p>
    <w:p>
      <w:pPr>
        <w:spacing w:line="360" w:after="210" w:lineRule="auto"/>
      </w:pPr>
      <w:r>
        <w:rPr>
          <w:rFonts w:eastAsia="inter" w:cs="inter" w:ascii="inter" w:hAnsi="inter"/>
          <w:color w:val="000000"/>
        </w:rPr>
        <w:t xml:space="preserve">[End of Report]</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38" w:name="fn1"/>
    <w:bookmarkEnd w:id="138"/>
    <w:p>
      <w:pPr>
        <w:numPr>
          <w:ilvl w:val="0"/>
          <w:numId w:val="70"/>
        </w:numPr>
        <w:spacing w:line="360" w:after="210" w:lineRule="auto"/>
      </w:pPr>
      <w:hyperlink r:id="rId8">
        <w:r>
          <w:rPr>
            <w:rFonts w:eastAsia="inter" w:cs="inter" w:ascii="inter" w:hAnsi="inter"/>
            <w:color w:val="#000"/>
            <w:sz w:val="18"/>
            <w:u w:val="single"/>
          </w:rPr>
          <w:t xml:space="preserve">https://www.deloitte.com/il/he/services/consulting/about/welcome-opteamizer.html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9" w:name="fn2"/>
    <w:bookmarkEnd w:id="139"/>
    <w:p>
      <w:pPr>
        <w:numPr>
          <w:ilvl w:val="0"/>
          <w:numId w:val="70"/>
        </w:numPr>
        <w:spacing w:line="360" w:after="210" w:lineRule="auto"/>
      </w:pPr>
      <w:hyperlink r:id="rId9">
        <w:r>
          <w:rPr>
            <w:rFonts w:eastAsia="inter" w:cs="inter" w:ascii="inter" w:hAnsi="inter"/>
            <w:color w:val="#000"/>
            <w:sz w:val="18"/>
            <w:u w:val="single"/>
          </w:rPr>
          <w:t xml:space="preserve">https://www.bizportal.co.il/BizTech/news/article/822475</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0" w:name="fn3"/>
    <w:bookmarkEnd w:id="140"/>
    <w:p>
      <w:pPr>
        <w:numPr>
          <w:ilvl w:val="0"/>
          <w:numId w:val="70"/>
        </w:numPr>
        <w:spacing w:line="360" w:after="210" w:lineRule="auto"/>
      </w:pPr>
      <w:hyperlink r:id="rId10">
        <w:r>
          <w:rPr>
            <w:rFonts w:eastAsia="inter" w:cs="inter" w:ascii="inter" w:hAnsi="inter"/>
            <w:color w:val="#000"/>
            <w:sz w:val="18"/>
            <w:u w:val="single"/>
          </w:rPr>
          <w:t xml:space="preserve">https://www.linkedin.com/posts/deloitte_we-are-thrilled-to-announce-that-deloitte-activity-7158799567092641792-giOD</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1" w:name="fn4"/>
    <w:bookmarkEnd w:id="141"/>
    <w:p>
      <w:pPr>
        <w:numPr>
          <w:ilvl w:val="0"/>
          <w:numId w:val="70"/>
        </w:numPr>
        <w:spacing w:line="360" w:after="210" w:lineRule="auto"/>
      </w:pPr>
      <w:hyperlink r:id="rId11">
        <w:r>
          <w:rPr>
            <w:rFonts w:eastAsia="inter" w:cs="inter" w:ascii="inter" w:hAnsi="inter"/>
            <w:color w:val="#000"/>
            <w:sz w:val="18"/>
            <w:u w:val="single"/>
          </w:rPr>
          <w:t xml:space="preserve">https://bloomer.co.il/deloitte-רוכשת-את-פעילותה-של-opteamizer/</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2" w:name="fn5"/>
    <w:bookmarkEnd w:id="142"/>
    <w:p>
      <w:pPr>
        <w:numPr>
          <w:ilvl w:val="0"/>
          <w:numId w:val="70"/>
        </w:numPr>
        <w:spacing w:line="360" w:after="210" w:lineRule="auto"/>
      </w:pPr>
      <w:hyperlink r:id="rId12">
        <w:r>
          <w:rPr>
            <w:rFonts w:eastAsia="inter" w:cs="inter" w:ascii="inter" w:hAnsi="inter"/>
            <w:color w:val="#000"/>
            <w:sz w:val="18"/>
            <w:u w:val="single"/>
          </w:rPr>
          <w:t xml:space="preserve">https://www.facebook.com/deloitteisrael/videos/future-of-retail-tech-promo/1083600938782860/?locale=he_IL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3" w:name="fn6"/>
    <w:bookmarkEnd w:id="143"/>
    <w:p>
      <w:pPr>
        <w:numPr>
          <w:ilvl w:val="0"/>
          <w:numId w:val="70"/>
        </w:numPr>
        <w:spacing w:line="360" w:after="210" w:lineRule="auto"/>
      </w:pPr>
      <w:hyperlink r:id="rId13">
        <w:r>
          <w:rPr>
            <w:rFonts w:eastAsia="inter" w:cs="inter" w:ascii="inter" w:hAnsi="inter"/>
            <w:color w:val="#000"/>
            <w:sz w:val="18"/>
            <w:u w:val="single"/>
          </w:rPr>
          <w:t xml:space="preserve">https://www.calcalistech.com/ctech/articles/0,7340,L-3914732,00.html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4" w:name="fn7"/>
    <w:bookmarkEnd w:id="144"/>
    <w:p>
      <w:pPr>
        <w:numPr>
          <w:ilvl w:val="0"/>
          <w:numId w:val="70"/>
        </w:numPr>
        <w:spacing w:line="360" w:after="210" w:lineRule="auto"/>
      </w:pPr>
      <w:hyperlink r:id="rId14">
        <w:r>
          <w:rPr>
            <w:rFonts w:eastAsia="inter" w:cs="inter" w:ascii="inter" w:hAnsi="inter"/>
            <w:color w:val="#000"/>
            <w:sz w:val="18"/>
            <w:u w:val="single"/>
          </w:rPr>
          <w:t xml:space="preserve">https://www.deloitte.com/il/he/what-we-do/Own-Tomorrow-With-Deloitte/data-and-ai.html</w:t>
        </w:r>
      </w:hyperlink>
      <w:r>
        <w:rPr>
          <w:rFonts w:eastAsia="inter" w:cs="inter" w:ascii="inter" w:hAnsi="inter"/>
          <w:color w:val="000000"/>
          <w:sz w:val="18"/>
        </w:rPr>
        <w:t xml:space="preserve"> </w:t>
      </w:r>
    </w:p>
    <w:bookmarkStart w:id="145" w:name="fn8"/>
    <w:bookmarkEnd w:id="145"/>
    <w:p>
      <w:pPr>
        <w:numPr>
          <w:ilvl w:val="0"/>
          <w:numId w:val="70"/>
        </w:numPr>
        <w:spacing w:line="360" w:after="210" w:lineRule="auto"/>
      </w:pPr>
      <w:hyperlink r:id="rId15">
        <w:r>
          <w:rPr>
            <w:rFonts w:eastAsia="inter" w:cs="inter" w:ascii="inter" w:hAnsi="inter"/>
            <w:color w:val="#000"/>
            <w:sz w:val="18"/>
            <w:u w:val="single"/>
          </w:rPr>
          <w:t xml:space="preserve">https://solutionsmap.deloitte.co.il/en/organizations/growth/strategy-and-growth/data-capital/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6" w:name="fn9"/>
    <w:bookmarkEnd w:id="146"/>
    <w:p>
      <w:pPr>
        <w:numPr>
          <w:ilvl w:val="0"/>
          <w:numId w:val="70"/>
        </w:numPr>
        <w:spacing w:line="360" w:after="210" w:lineRule="auto"/>
      </w:pPr>
      <w:hyperlink r:id="rId16">
        <w:r>
          <w:rPr>
            <w:rFonts w:eastAsia="inter" w:cs="inter" w:ascii="inter" w:hAnsi="inter"/>
            <w:color w:val="#000"/>
            <w:sz w:val="18"/>
            <w:u w:val="single"/>
          </w:rPr>
          <w:t xml:space="preserve">https://www.linkedin.com/posts/ranbergman_so-thursday-was-my-last-day-working-at-activity-7258815267462397952-N0GM</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7" w:name="fn10"/>
    <w:bookmarkEnd w:id="147"/>
    <w:p>
      <w:pPr>
        <w:numPr>
          <w:ilvl w:val="0"/>
          <w:numId w:val="70"/>
        </w:numPr>
        <w:spacing w:line="360" w:after="210" w:lineRule="auto"/>
      </w:pPr>
      <w:hyperlink r:id="rId17">
        <w:r>
          <w:rPr>
            <w:rFonts w:eastAsia="inter" w:cs="inter" w:ascii="inter" w:hAnsi="inter"/>
            <w:color w:val="#000"/>
            <w:sz w:val="18"/>
            <w:u w:val="single"/>
          </w:rPr>
          <w:t xml:space="preserve">https://www.deloitte.com/ca/en/products/cortex-ai.html</w:t>
        </w:r>
      </w:hyperlink>
      <w:r>
        <w:rPr>
          <w:rFonts w:eastAsia="inter" w:cs="inter" w:ascii="inter" w:hAnsi="inter"/>
          <w:color w:val="000000"/>
          <w:sz w:val="18"/>
        </w:rPr>
        <w:t xml:space="preserve"> </w:t>
      </w:r>
    </w:p>
    <w:bookmarkStart w:id="148" w:name="fn11"/>
    <w:bookmarkEnd w:id="148"/>
    <w:p>
      <w:pPr>
        <w:numPr>
          <w:ilvl w:val="0"/>
          <w:numId w:val="70"/>
        </w:numPr>
        <w:spacing w:line="360" w:after="210" w:lineRule="auto"/>
      </w:pPr>
      <w:hyperlink r:id="rId18">
        <w:r>
          <w:rPr>
            <w:rFonts w:eastAsia="inter" w:cs="inter" w:ascii="inter" w:hAnsi="inter"/>
            <w:color w:val="#000"/>
            <w:sz w:val="18"/>
            <w:u w:val="single"/>
          </w:rPr>
          <w:t xml:space="preserve">https://www.prnewswire.com/news-releases/deloitte-launches-cortexai-platform-to-help-organizations-accelerate-applied-ai-in-the-age-of-with-301150922.html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9" w:name="fn12"/>
    <w:bookmarkEnd w:id="149"/>
    <w:p>
      <w:pPr>
        <w:numPr>
          <w:ilvl w:val="0"/>
          <w:numId w:val="70"/>
        </w:numPr>
        <w:spacing w:line="360" w:after="210" w:lineRule="auto"/>
      </w:pPr>
      <w:hyperlink r:id="rId19">
        <w:r>
          <w:rPr>
            <w:rFonts w:eastAsia="inter" w:cs="inter" w:ascii="inter" w:hAnsi="inter"/>
            <w:color w:val="#000"/>
            <w:sz w:val="18"/>
            <w:u w:val="single"/>
          </w:rPr>
          <w:t xml:space="preserve">https://www.deloitte.com/us/en/alliances/nvidia-alliance.html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50" w:name="fn13"/>
    <w:bookmarkEnd w:id="150"/>
    <w:p>
      <w:pPr>
        <w:numPr>
          <w:ilvl w:val="0"/>
          <w:numId w:val="70"/>
        </w:numPr>
        <w:spacing w:line="360" w:after="210" w:lineRule="auto"/>
      </w:pPr>
      <w:hyperlink r:id="rId20">
        <w:r>
          <w:rPr>
            <w:rFonts w:eastAsia="inter" w:cs="inter" w:ascii="inter" w:hAnsi="inter"/>
            <w:color w:val="#000"/>
            <w:sz w:val="18"/>
            <w:u w:val="single"/>
          </w:rPr>
          <w:t xml:space="preserve">https://www.deloitte.com/us/en/services/consulting/services/zora-generative-ai-agent.html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51" w:name="fn14"/>
    <w:bookmarkEnd w:id="151"/>
    <w:p>
      <w:pPr>
        <w:numPr>
          <w:ilvl w:val="0"/>
          <w:numId w:val="70"/>
        </w:numPr>
        <w:spacing w:line="360" w:after="210" w:lineRule="auto"/>
      </w:pPr>
      <w:hyperlink r:id="rId21">
        <w:r>
          <w:rPr>
            <w:rFonts w:eastAsia="inter" w:cs="inter" w:ascii="inter" w:hAnsi="inter"/>
            <w:color w:val="#000"/>
            <w:sz w:val="18"/>
            <w:u w:val="single"/>
          </w:rPr>
          <w:t xml:space="preserve">https://www.deloitte.com/us/en/about/press-room/deloitte-unveils-zora-ai-agentic-ai-for-tomorrows-workforce.html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52" w:name="fn15"/>
    <w:bookmarkEnd w:id="152"/>
    <w:p>
      <w:pPr>
        <w:numPr>
          <w:ilvl w:val="0"/>
          <w:numId w:val="70"/>
        </w:numPr>
        <w:spacing w:line="360" w:after="210" w:lineRule="auto"/>
      </w:pPr>
      <w:hyperlink r:id="rId22">
        <w:r>
          <w:rPr>
            <w:rFonts w:eastAsia="inter" w:cs="inter" w:ascii="inter" w:hAnsi="inter"/>
            <w:color w:val="#000"/>
            <w:sz w:val="18"/>
            <w:u w:val="single"/>
          </w:rPr>
          <w:t xml:space="preserve">https://www.prnewswire.com/news-releases/deloitte-to-integrate-zora-ai-with-sap-joule-agents-to-unlock-deep-reasoning-capabilities-302459808.html</w:t>
        </w:r>
      </w:hyperlink>
      <w:r>
        <w:rPr>
          <w:rFonts w:eastAsia="inter" w:cs="inter" w:ascii="inter" w:hAnsi="inter"/>
          <w:color w:val="000000"/>
          <w:sz w:val="18"/>
        </w:rPr>
        <w:t xml:space="preserve"> </w:t>
      </w:r>
    </w:p>
    <w:bookmarkStart w:id="153" w:name="fn16"/>
    <w:bookmarkEnd w:id="153"/>
    <w:p>
      <w:pPr>
        <w:numPr>
          <w:ilvl w:val="0"/>
          <w:numId w:val="70"/>
        </w:numPr>
        <w:spacing w:line="360" w:after="210" w:lineRule="auto"/>
      </w:pPr>
      <w:hyperlink r:id="rId23">
        <w:r>
          <w:rPr>
            <w:rFonts w:eastAsia="inter" w:cs="inter" w:ascii="inter" w:hAnsi="inter"/>
            <w:color w:val="#000"/>
            <w:sz w:val="18"/>
            <w:u w:val="single"/>
          </w:rPr>
          <w:t xml:space="preserve">https://telecomtalk.info/oracle-deloitte-accenture-ntt-data-agentic-ai/992009/</w:t>
        </w:r>
      </w:hyperlink>
      <w:r>
        <w:rPr>
          <w:rFonts w:eastAsia="inter" w:cs="inter" w:ascii="inter" w:hAnsi="inter"/>
          <w:color w:val="000000"/>
          <w:sz w:val="18"/>
        </w:rPr>
        <w:t xml:space="preserve"> </w:t>
      </w:r>
    </w:p>
    <w:bookmarkStart w:id="154" w:name="fn17"/>
    <w:bookmarkEnd w:id="154"/>
    <w:p>
      <w:pPr>
        <w:numPr>
          <w:ilvl w:val="0"/>
          <w:numId w:val="70"/>
        </w:numPr>
        <w:spacing w:line="360" w:after="210" w:lineRule="auto"/>
      </w:pPr>
      <w:hyperlink r:id="rId24">
        <w:r>
          <w:rPr>
            <w:rFonts w:eastAsia="inter" w:cs="inter" w:ascii="inter" w:hAnsi="inter"/>
            <w:color w:val="#000"/>
            <w:sz w:val="18"/>
            <w:u w:val="single"/>
          </w:rPr>
          <w:t xml:space="preserve">https://www.prnewswire.com/news-releases/deloitte-unveils-suite-of-ai-service-offerings-built-on-nvidia-platforms-301806468.html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5" w:name="fn18"/>
    <w:bookmarkEnd w:id="155"/>
    <w:p>
      <w:pPr>
        <w:numPr>
          <w:ilvl w:val="0"/>
          <w:numId w:val="70"/>
        </w:numPr>
        <w:spacing w:line="360" w:after="210" w:lineRule="auto"/>
      </w:pPr>
      <w:hyperlink r:id="rId25">
        <w:r>
          <w:rPr>
            <w:rFonts w:eastAsia="inter" w:cs="inter" w:ascii="inter" w:hAnsi="inter"/>
            <w:color w:val="#000"/>
            <w:sz w:val="18"/>
            <w:u w:val="single"/>
          </w:rPr>
          <w:t xml:space="preserve">https://www.deloittedigital.com/nl/en/work/ai-meets-human-connection.html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6" w:name="fn19"/>
    <w:bookmarkEnd w:id="156"/>
    <w:p>
      <w:pPr>
        <w:numPr>
          <w:ilvl w:val="0"/>
          <w:numId w:val="70"/>
        </w:numPr>
        <w:spacing w:line="360" w:after="210" w:lineRule="auto"/>
      </w:pPr>
      <w:hyperlink r:id="rId26">
        <w:r>
          <w:rPr>
            <w:rFonts w:eastAsia="inter" w:cs="inter" w:ascii="inter" w:hAnsi="inter"/>
            <w:color w:val="#000"/>
            <w:sz w:val="18"/>
            <w:u w:val="single"/>
          </w:rPr>
          <w:t xml:space="preserve">https://www.deloitte.com/gr/en/what-we-do/case-studies/investing-in-a-more-authentic-customer-experience.html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7" w:name="fn20"/>
    <w:bookmarkEnd w:id="157"/>
    <w:p>
      <w:pPr>
        <w:numPr>
          <w:ilvl w:val="0"/>
          <w:numId w:val="70"/>
        </w:numPr>
        <w:spacing w:line="360" w:after="210" w:lineRule="auto"/>
      </w:pPr>
      <w:hyperlink r:id="rId27">
        <w:r>
          <w:rPr>
            <w:rFonts w:eastAsia="inter" w:cs="inter" w:ascii="inter" w:hAnsi="inter"/>
            <w:color w:val="#000"/>
            <w:sz w:val="18"/>
            <w:u w:val="single"/>
          </w:rPr>
          <w:t xml:space="preserve">https://www.deloitte.com/us/en/Industries/government-public/about/managed-ai-services.html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8" w:name="fn21"/>
    <w:bookmarkEnd w:id="158"/>
    <w:p>
      <w:pPr>
        <w:numPr>
          <w:ilvl w:val="0"/>
          <w:numId w:val="70"/>
        </w:numPr>
        <w:spacing w:line="360" w:after="210" w:lineRule="auto"/>
      </w:pPr>
      <w:hyperlink r:id="rId28">
        <w:r>
          <w:rPr>
            <w:rFonts w:eastAsia="inter" w:cs="inter" w:ascii="inter" w:hAnsi="inter"/>
            <w:color w:val="#000"/>
            <w:sz w:val="18"/>
            <w:u w:val="single"/>
          </w:rPr>
          <w:t xml:space="preserve">https://www.executivebiz.com/articles/deloitte-silicon-to-service-ai-government-regulated-industries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9" w:name="fn22"/>
    <w:bookmarkEnd w:id="159"/>
    <w:p>
      <w:pPr>
        <w:numPr>
          <w:ilvl w:val="0"/>
          <w:numId w:val="70"/>
        </w:numPr>
        <w:spacing w:line="360" w:after="210" w:lineRule="auto"/>
      </w:pPr>
      <w:hyperlink r:id="rId29">
        <w:r>
          <w:rPr>
            <w:rFonts w:eastAsia="inter" w:cs="inter" w:ascii="inter" w:hAnsi="inter"/>
            <w:color w:val="#000"/>
            <w:sz w:val="18"/>
            <w:u w:val="single"/>
          </w:rPr>
          <w:t xml:space="preserve">https://www.prnewswire.com/news-releases/deloitte-unveils-silicon-to-service-for-government-and-regulated-industries-built-with-dell-technologies-and-nvidia-302463294.html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60" w:name="fn23"/>
    <w:bookmarkEnd w:id="160"/>
    <w:p>
      <w:pPr>
        <w:numPr>
          <w:ilvl w:val="0"/>
          <w:numId w:val="70"/>
        </w:numPr>
        <w:spacing w:line="360" w:after="210" w:lineRule="auto"/>
      </w:pPr>
      <w:hyperlink r:id="rId30">
        <w:r>
          <w:rPr>
            <w:rFonts w:eastAsia="inter" w:cs="inter" w:ascii="inter" w:hAnsi="inter"/>
            <w:color w:val="#000"/>
            <w:sz w:val="18"/>
            <w:u w:val="single"/>
          </w:rPr>
          <w:t xml:space="preserve">https://www.timesofisrael.com/amid-war-deloitte-kicks-off-7th-cohort-for-israel-startup-accelerator-program/</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61" w:name="fn24"/>
    <w:bookmarkEnd w:id="161"/>
    <w:p>
      <w:pPr>
        <w:numPr>
          <w:ilvl w:val="0"/>
          <w:numId w:val="70"/>
        </w:numPr>
        <w:spacing w:line="360" w:after="210" w:lineRule="auto"/>
      </w:pPr>
      <w:hyperlink r:id="rId31">
        <w:r>
          <w:rPr>
            <w:rFonts w:eastAsia="inter" w:cs="inter" w:ascii="inter" w:hAnsi="inter"/>
            <w:color w:val="#000"/>
            <w:sz w:val="18"/>
            <w:u w:val="single"/>
          </w:rPr>
          <w:t xml:space="preserve">https://www.calcalistech.com/ctechnews/article/rkqfh2vmc</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62" w:name="fn25"/>
    <w:bookmarkEnd w:id="162"/>
    <w:p>
      <w:pPr>
        <w:numPr>
          <w:ilvl w:val="0"/>
          <w:numId w:val="70"/>
        </w:numPr>
        <w:spacing w:line="360" w:after="210" w:lineRule="auto"/>
      </w:pPr>
      <w:hyperlink r:id="rId32">
        <w:r>
          <w:rPr>
            <w:rFonts w:eastAsia="inter" w:cs="inter" w:ascii="inter" w:hAnsi="inter"/>
            <w:color w:val="#000"/>
            <w:sz w:val="18"/>
            <w:u w:val="single"/>
          </w:rPr>
          <w:t xml:space="preserve">https://www.calcalistech.com/ctechnews/article/rkm1qbrrge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63" w:name="fn26"/>
    <w:bookmarkEnd w:id="163"/>
    <w:p>
      <w:pPr>
        <w:numPr>
          <w:ilvl w:val="0"/>
          <w:numId w:val="70"/>
        </w:numPr>
        <w:spacing w:line="360" w:after="210" w:lineRule="auto"/>
      </w:pPr>
      <w:hyperlink r:id="rId33">
        <w:r>
          <w:rPr>
            <w:rFonts w:eastAsia="inter" w:cs="inter" w:ascii="inter" w:hAnsi="inter"/>
            <w:color w:val="#000"/>
            <w:sz w:val="18"/>
            <w:u w:val="single"/>
          </w:rPr>
          <w:t xml:space="preserve">https://www.calcalistech.com/ctechnews/article/hk7js0nwjg</w:t>
        </w:r>
      </w:hyperlink>
      <w:r>
        <w:rPr>
          <w:rFonts w:eastAsia="inter" w:cs="inter" w:ascii="inter" w:hAnsi="inter"/>
          <w:color w:val="000000"/>
          <w:sz w:val="18"/>
        </w:rPr>
        <w:t xml:space="preserve"> </w:t>
      </w:r>
    </w:p>
    <w:bookmarkStart w:id="164" w:name="fn27"/>
    <w:bookmarkEnd w:id="164"/>
    <w:p>
      <w:pPr>
        <w:numPr>
          <w:ilvl w:val="0"/>
          <w:numId w:val="70"/>
        </w:numPr>
        <w:spacing w:line="360" w:after="210" w:lineRule="auto"/>
      </w:pPr>
      <w:hyperlink r:id="rId34">
        <w:r>
          <w:rPr>
            <w:rFonts w:eastAsia="inter" w:cs="inter" w:ascii="inter" w:hAnsi="inter"/>
            <w:color w:val="#000"/>
            <w:sz w:val="18"/>
            <w:u w:val="single"/>
          </w:rPr>
          <w:t xml:space="preserve">https://www.calcalistech.com/ctechnews/article/rysbkhwbee</w:t>
        </w:r>
      </w:hyperlink>
      <w:r>
        <w:rPr>
          <w:rFonts w:eastAsia="inter" w:cs="inter" w:ascii="inter" w:hAnsi="inter"/>
          <w:color w:val="000000"/>
          <w:sz w:val="18"/>
        </w:rPr>
        <w:t xml:space="preserve"> </w:t>
      </w:r>
    </w:p>
    <w:bookmarkStart w:id="165" w:name="fn28"/>
    <w:bookmarkEnd w:id="165"/>
    <w:p>
      <w:pPr>
        <w:numPr>
          <w:ilvl w:val="0"/>
          <w:numId w:val="70"/>
        </w:numPr>
        <w:spacing w:line="360" w:after="210" w:lineRule="auto"/>
      </w:pPr>
      <w:hyperlink r:id="rId35">
        <w:r>
          <w:rPr>
            <w:rFonts w:eastAsia="inter" w:cs="inter" w:ascii="inter" w:hAnsi="inter"/>
            <w:color w:val="#000"/>
            <w:sz w:val="18"/>
            <w:u w:val="single"/>
          </w:rPr>
          <w:t xml:space="preserve">https://solutionsmap.deloitte.co.il/en/itt-solution/technology-consulting-implementation/</w:t>
        </w:r>
      </w:hyperlink>
      <w:r>
        <w:rPr>
          <w:rFonts w:eastAsia="inter" w:cs="inter" w:ascii="inter" w:hAnsi="inter"/>
          <w:color w:val="000000"/>
          <w:sz w:val="18"/>
        </w:rPr>
        <w:t xml:space="preserve"> </w:t>
      </w:r>
    </w:p>
    <w:bookmarkStart w:id="166" w:name="fn29"/>
    <w:bookmarkEnd w:id="166"/>
    <w:p>
      <w:pPr>
        <w:numPr>
          <w:ilvl w:val="0"/>
          <w:numId w:val="70"/>
        </w:numPr>
        <w:spacing w:line="360" w:after="210" w:lineRule="auto"/>
      </w:pPr>
      <w:hyperlink r:id="rId36">
        <w:r>
          <w:rPr>
            <w:rFonts w:eastAsia="inter" w:cs="inter" w:ascii="inter" w:hAnsi="inter"/>
            <w:color w:val="#000"/>
            <w:sz w:val="18"/>
            <w:u w:val="single"/>
          </w:rPr>
          <w:t xml:space="preserve">https://solutionsmap.deloitte.co.il/en/catalyst/</w:t>
        </w:r>
      </w:hyperlink>
      <w:r>
        <w:rPr>
          <w:rFonts w:eastAsia="inter" w:cs="inter" w:ascii="inter" w:hAnsi="inter"/>
          <w:color w:val="000000"/>
          <w:sz w:val="18"/>
        </w:rPr>
        <w:t xml:space="preserve"> </w:t>
      </w:r>
    </w:p>
    <w:bookmarkStart w:id="167" w:name="fn30"/>
    <w:bookmarkEnd w:id="167"/>
    <w:p>
      <w:pPr>
        <w:numPr>
          <w:ilvl w:val="0"/>
          <w:numId w:val="70"/>
        </w:numPr>
        <w:spacing w:line="360" w:after="210" w:lineRule="auto"/>
      </w:pPr>
      <w:hyperlink r:id="rId37">
        <w:r>
          <w:rPr>
            <w:rFonts w:eastAsia="inter" w:cs="inter" w:ascii="inter" w:hAnsi="inter"/>
            <w:color w:val="#000"/>
            <w:sz w:val="18"/>
            <w:u w:val="single"/>
          </w:rPr>
          <w:t xml:space="preserve">https://www.deloitte.com/il/en/services/consulting-financial/services/deloitte-catalyst.html</w:t>
        </w:r>
      </w:hyperlink>
      <w:r>
        <w:rPr>
          <w:rFonts w:eastAsia="inter" w:cs="inter" w:ascii="inter" w:hAnsi="inter"/>
          <w:color w:val="000000"/>
          <w:sz w:val="18"/>
        </w:rPr>
        <w:t xml:space="preserve"> </w:t>
      </w:r>
    </w:p>
    <w:bookmarkStart w:id="168" w:name="fn31"/>
    <w:bookmarkEnd w:id="168"/>
    <w:p>
      <w:pPr>
        <w:numPr>
          <w:ilvl w:val="0"/>
          <w:numId w:val="70"/>
        </w:numPr>
        <w:spacing w:line="360" w:after="210" w:lineRule="auto"/>
      </w:pPr>
      <w:hyperlink r:id="rId38">
        <w:r>
          <w:rPr>
            <w:rFonts w:eastAsia="inter" w:cs="inter" w:ascii="inter" w:hAnsi="inter"/>
            <w:color w:val="#000"/>
            <w:sz w:val="18"/>
            <w:u w:val="single"/>
          </w:rPr>
          <w:t xml:space="preserve">https://cyber-report2025.deloitte.co.il</w:t>
        </w:r>
      </w:hyperlink>
      <w:r>
        <w:rPr>
          <w:rFonts w:eastAsia="inter" w:cs="inter" w:ascii="inter" w:hAnsi="inter"/>
          <w:color w:val="000000"/>
          <w:sz w:val="18"/>
        </w:rPr>
        <w:t xml:space="preserve"> </w:t>
      </w:r>
    </w:p>
    <w:bookmarkStart w:id="169" w:name="fn32"/>
    <w:bookmarkEnd w:id="169"/>
    <w:p>
      <w:pPr>
        <w:numPr>
          <w:ilvl w:val="0"/>
          <w:numId w:val="70"/>
        </w:numPr>
        <w:spacing w:line="360" w:after="210" w:lineRule="auto"/>
      </w:pPr>
      <w:hyperlink r:id="rId39">
        <w:r>
          <w:rPr>
            <w:rFonts w:eastAsia="inter" w:cs="inter" w:ascii="inter" w:hAnsi="inter"/>
            <w:color w:val="#000"/>
            <w:sz w:val="18"/>
            <w:u w:val="single"/>
          </w:rPr>
          <w:t xml:space="preserve">https://www.scribd.com/document/821076075/Deloitte-Catalyst-F2-Venture-Capital-Future-Forward-Israel-s-AI-Expansion-Blueprint-2024</w:t>
        </w:r>
      </w:hyperlink>
      <w:r>
        <w:rPr>
          <w:rFonts w:eastAsia="inter" w:cs="inter" w:ascii="inter" w:hAnsi="inter"/>
          <w:color w:val="000000"/>
          <w:sz w:val="18"/>
        </w:rPr>
        <w:t xml:space="preserve"> </w:t>
      </w:r>
    </w:p>
    <w:bookmarkStart w:id="170" w:name="fn33"/>
    <w:bookmarkEnd w:id="170"/>
    <w:p>
      <w:pPr>
        <w:numPr>
          <w:ilvl w:val="0"/>
          <w:numId w:val="70"/>
        </w:numPr>
        <w:spacing w:line="360" w:after="210" w:lineRule="auto"/>
      </w:pPr>
      <w:hyperlink r:id="rId40">
        <w:r>
          <w:rPr>
            <w:rFonts w:eastAsia="inter" w:cs="inter" w:ascii="inter" w:hAnsi="inter"/>
            <w:color w:val="#000"/>
            <w:sz w:val="18"/>
            <w:u w:val="single"/>
          </w:rPr>
          <w:t xml:space="preserve">https://www.deloitte.com/il/en/about/people/profiles.rani-argov+50d58676.html</w:t>
        </w:r>
      </w:hyperlink>
      <w:r>
        <w:rPr>
          <w:rFonts w:eastAsia="inter" w:cs="inter" w:ascii="inter" w:hAnsi="inter"/>
          <w:color w:val="000000"/>
          <w:sz w:val="18"/>
        </w:rPr>
        <w:t xml:space="preserve"> </w:t>
      </w:r>
    </w:p>
    <w:bookmarkStart w:id="171" w:name="fn34"/>
    <w:bookmarkEnd w:id="171"/>
    <w:p>
      <w:pPr>
        <w:numPr>
          <w:ilvl w:val="0"/>
          <w:numId w:val="70"/>
        </w:numPr>
        <w:spacing w:line="360" w:after="210" w:lineRule="auto"/>
      </w:pPr>
      <w:hyperlink r:id="rId41">
        <w:r>
          <w:rPr>
            <w:rFonts w:eastAsia="inter" w:cs="inter" w:ascii="inter" w:hAnsi="inter"/>
            <w:color w:val="#000"/>
            <w:sz w:val="18"/>
            <w:u w:val="single"/>
          </w:rPr>
          <w:t xml:space="preserve">https://www.deloitte.com/il/he/about/people/profiles.rani-argov-he+8e7eaa71.html</w:t>
        </w:r>
      </w:hyperlink>
      <w:r>
        <w:rPr>
          <w:rFonts w:eastAsia="inter" w:cs="inter" w:ascii="inter" w:hAnsi="inter"/>
          <w:color w:val="000000"/>
          <w:sz w:val="18"/>
        </w:rPr>
        <w:t xml:space="preserve"> </w:t>
      </w:r>
    </w:p>
    <w:bookmarkStart w:id="172" w:name="fn35"/>
    <w:bookmarkEnd w:id="172"/>
    <w:p>
      <w:pPr>
        <w:numPr>
          <w:ilvl w:val="0"/>
          <w:numId w:val="70"/>
        </w:numPr>
        <w:spacing w:line="360" w:after="210" w:lineRule="auto"/>
      </w:pPr>
      <w:hyperlink r:id="rId42">
        <w:r>
          <w:rPr>
            <w:rFonts w:eastAsia="inter" w:cs="inter" w:ascii="inter" w:hAnsi="inter"/>
            <w:color w:val="#000"/>
            <w:sz w:val="18"/>
            <w:u w:val="single"/>
          </w:rPr>
          <w:t xml:space="preserve">https://www2.deloitte.com/il/en/profiles/rani_argov.html</w:t>
        </w:r>
      </w:hyperlink>
      <w:r>
        <w:rPr>
          <w:rFonts w:eastAsia="inter" w:cs="inter" w:ascii="inter" w:hAnsi="inter"/>
          <w:color w:val="000000"/>
          <w:sz w:val="18"/>
        </w:rPr>
        <w:t xml:space="preserve"> </w:t>
      </w:r>
    </w:p>
    <w:bookmarkStart w:id="173" w:name="fn36"/>
    <w:bookmarkEnd w:id="173"/>
    <w:p>
      <w:pPr>
        <w:numPr>
          <w:ilvl w:val="0"/>
          <w:numId w:val="70"/>
        </w:numPr>
        <w:spacing w:line="360" w:after="210" w:lineRule="auto"/>
      </w:pPr>
      <w:hyperlink r:id="rId43">
        <w:r>
          <w:rPr>
            <w:rFonts w:eastAsia="inter" w:cs="inter" w:ascii="inter" w:hAnsi="inter"/>
            <w:color w:val="#000"/>
            <w:sz w:val="18"/>
            <w:u w:val="single"/>
          </w:rPr>
          <w:t xml:space="preserve">https://il.linkedin.com/in/yair-laron-036b7065</w:t>
        </w:r>
      </w:hyperlink>
      <w:r>
        <w:rPr>
          <w:rFonts w:eastAsia="inter" w:cs="inter" w:ascii="inter" w:hAnsi="inter"/>
          <w:color w:val="000000"/>
          <w:sz w:val="18"/>
        </w:rPr>
        <w:t xml:space="preserve"> </w:t>
      </w:r>
    </w:p>
    <w:bookmarkStart w:id="174" w:name="fn37"/>
    <w:bookmarkEnd w:id="174"/>
    <w:p>
      <w:pPr>
        <w:numPr>
          <w:ilvl w:val="0"/>
          <w:numId w:val="70"/>
        </w:numPr>
        <w:spacing w:line="360" w:after="210" w:lineRule="auto"/>
      </w:pPr>
      <w:hyperlink r:id="rId44">
        <w:r>
          <w:rPr>
            <w:rFonts w:eastAsia="inter" w:cs="inter" w:ascii="inter" w:hAnsi="inter"/>
            <w:color w:val="#000"/>
            <w:sz w:val="18"/>
            <w:u w:val="single"/>
          </w:rPr>
          <w:t xml:space="preserve">https://www.deloitte.com/il/en/about/people/profiles.yair-laron+ccaf768e.html</w:t>
        </w:r>
      </w:hyperlink>
      <w:r>
        <w:rPr>
          <w:rFonts w:eastAsia="inter" w:cs="inter" w:ascii="inter" w:hAnsi="inter"/>
          <w:color w:val="000000"/>
          <w:sz w:val="18"/>
        </w:rPr>
        <w:t xml:space="preserve"> </w:t>
      </w:r>
    </w:p>
    <w:bookmarkStart w:id="175" w:name="fn38"/>
    <w:bookmarkEnd w:id="175"/>
    <w:p>
      <w:pPr>
        <w:numPr>
          <w:ilvl w:val="0"/>
          <w:numId w:val="70"/>
        </w:numPr>
        <w:spacing w:line="360" w:after="210" w:lineRule="auto"/>
      </w:pPr>
      <w:hyperlink r:id="rId45">
        <w:r>
          <w:rPr>
            <w:rFonts w:eastAsia="inter" w:cs="inter" w:ascii="inter" w:hAnsi="inter"/>
            <w:color w:val="#000"/>
            <w:sz w:val="18"/>
            <w:u w:val="single"/>
          </w:rPr>
          <w:t xml:space="preserve">https://www.deloitte.com/il/en/services/consulting/services/data-and-ai.html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6" w:name="fn39"/>
    <w:bookmarkEnd w:id="176"/>
    <w:p>
      <w:pPr>
        <w:numPr>
          <w:ilvl w:val="0"/>
          <w:numId w:val="70"/>
        </w:numPr>
        <w:spacing w:line="360" w:after="210" w:lineRule="auto"/>
      </w:pPr>
      <w:hyperlink r:id="rId46">
        <w:r>
          <w:rPr>
            <w:rFonts w:eastAsia="inter" w:cs="inter" w:ascii="inter" w:hAnsi="inter"/>
            <w:color w:val="#000"/>
            <w:sz w:val="18"/>
            <w:u w:val="single"/>
          </w:rPr>
          <w:t xml:space="preserve">https://www.deloitte.com/il/en/about/recognition/accolades/stki2023.html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7" w:name="fn40"/>
    <w:bookmarkEnd w:id="177"/>
    <w:p>
      <w:pPr>
        <w:numPr>
          <w:ilvl w:val="0"/>
          <w:numId w:val="70"/>
        </w:numPr>
        <w:spacing w:line="360" w:after="210" w:lineRule="auto"/>
      </w:pPr>
      <w:hyperlink r:id="rId47">
        <w:r>
          <w:rPr>
            <w:rFonts w:eastAsia="inter" w:cs="inter" w:ascii="inter" w:hAnsi="inter"/>
            <w:color w:val="#000"/>
            <w:sz w:val="18"/>
            <w:u w:val="single"/>
          </w:rPr>
          <w:t xml:space="preserve">https://en.wikipedia.org/wiki/Project_Nimbus</w:t>
        </w:r>
      </w:hyperlink>
      <w:r>
        <w:rPr>
          <w:rFonts w:eastAsia="inter" w:cs="inter" w:ascii="inter" w:hAnsi="inter"/>
          <w:color w:val="000000"/>
          <w:sz w:val="18"/>
        </w:rPr>
        <w:t xml:space="preserve"> </w:t>
      </w:r>
    </w:p>
    <w:bookmarkStart w:id="178" w:name="fn41"/>
    <w:bookmarkEnd w:id="178"/>
    <w:p>
      <w:pPr>
        <w:numPr>
          <w:ilvl w:val="0"/>
          <w:numId w:val="70"/>
        </w:numPr>
        <w:spacing w:line="360" w:after="210" w:lineRule="auto"/>
      </w:pPr>
      <w:hyperlink r:id="rId48">
        <w:r>
          <w:rPr>
            <w:rFonts w:eastAsia="inter" w:cs="inter" w:ascii="inter" w:hAnsi="inter"/>
            <w:color w:val="#000"/>
            <w:sz w:val="18"/>
            <w:u w:val="single"/>
          </w:rPr>
          <w:t xml:space="preserve">https://www.jpost.com/jpost-tech/google-and-amazon-win-israels-nis-4b-nimbus-cloud-tender-665868</w:t>
        </w:r>
      </w:hyperlink>
      <w:r>
        <w:rPr>
          <w:rFonts w:eastAsia="inter" w:cs="inter" w:ascii="inter" w:hAnsi="inter"/>
          <w:color w:val="000000"/>
          <w:sz w:val="18"/>
        </w:rPr>
        <w:t xml:space="preserve"> </w:t>
      </w:r>
    </w:p>
    <w:bookmarkStart w:id="179" w:name="fn42"/>
    <w:bookmarkEnd w:id="179"/>
    <w:p>
      <w:pPr>
        <w:numPr>
          <w:ilvl w:val="0"/>
          <w:numId w:val="70"/>
        </w:numPr>
        <w:spacing w:line="360" w:after="210" w:lineRule="auto"/>
      </w:pPr>
      <w:hyperlink r:id="rId49">
        <w:r>
          <w:rPr>
            <w:rFonts w:eastAsia="inter" w:cs="inter" w:ascii="inter" w:hAnsi="inter"/>
            <w:color w:val="#000"/>
            <w:sz w:val="18"/>
            <w:u w:val="single"/>
          </w:rPr>
          <w:t xml:space="preserve">https://main.knesset.gov.il/EN/activity/mmm/Cloud_computing.pdf</w:t>
        </w:r>
      </w:hyperlink>
      <w:r>
        <w:rPr>
          <w:rFonts w:eastAsia="inter" w:cs="inter" w:ascii="inter" w:hAnsi="inter"/>
          <w:color w:val="000000"/>
          <w:sz w:val="18"/>
        </w:rPr>
        <w:t xml:space="preserve"> </w:t>
      </w:r>
    </w:p>
    <w:bookmarkStart w:id="180" w:name="fn43"/>
    <w:bookmarkEnd w:id="180"/>
    <w:p>
      <w:pPr>
        <w:numPr>
          <w:ilvl w:val="0"/>
          <w:numId w:val="70"/>
        </w:numPr>
        <w:spacing w:line="360" w:after="210" w:lineRule="auto"/>
      </w:pPr>
      <w:hyperlink r:id="rId50">
        <w:r>
          <w:rPr>
            <w:rFonts w:eastAsia="inter" w:cs="inter" w:ascii="inter" w:hAnsi="inter"/>
            <w:color w:val="#000"/>
            <w:sz w:val="18"/>
            <w:u w:val="single"/>
          </w:rPr>
          <w:t xml:space="preserve">https://www.deloitte.com/il/he/Industries/government-public/Gov-Tech.html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1" w:name="fn44"/>
    <w:bookmarkEnd w:id="181"/>
    <w:p>
      <w:pPr>
        <w:numPr>
          <w:ilvl w:val="0"/>
          <w:numId w:val="70"/>
        </w:numPr>
        <w:spacing w:line="360" w:after="210" w:lineRule="auto"/>
      </w:pPr>
      <w:hyperlink r:id="rId51">
        <w:r>
          <w:rPr>
            <w:rFonts w:eastAsia="inter" w:cs="inter" w:ascii="inter" w:hAnsi="inter"/>
            <w:color w:val="#000"/>
            <w:sz w:val="18"/>
            <w:u w:val="single"/>
          </w:rPr>
          <w:t xml:space="preserve">https://www.deloitte.com/il/he/Industries/government-public/perspectives/digital-government.html</w:t>
        </w:r>
      </w:hyperlink>
      <w:r>
        <w:rPr>
          <w:rFonts w:eastAsia="inter" w:cs="inter" w:ascii="inter" w:hAnsi="inter"/>
          <w:color w:val="000000"/>
          <w:sz w:val="18"/>
        </w:rPr>
        <w:t xml:space="preserve"> </w:t>
      </w:r>
    </w:p>
    <w:bookmarkStart w:id="182" w:name="fn45"/>
    <w:bookmarkEnd w:id="182"/>
    <w:p>
      <w:pPr>
        <w:numPr>
          <w:ilvl w:val="0"/>
          <w:numId w:val="70"/>
        </w:numPr>
        <w:spacing w:line="360" w:after="210" w:lineRule="auto"/>
      </w:pPr>
      <w:hyperlink r:id="rId52">
        <w:r>
          <w:rPr>
            <w:rFonts w:eastAsia="inter" w:cs="inter" w:ascii="inter" w:hAnsi="inter"/>
            <w:color w:val="#000"/>
            <w:sz w:val="18"/>
            <w:u w:val="single"/>
          </w:rPr>
          <w:t xml:space="preserve">https://www.deloitte.com/il/en/Industries/government-public/perspectives/digital-government.html</w:t>
        </w:r>
      </w:hyperlink>
      <w:r>
        <w:rPr>
          <w:rFonts w:eastAsia="inter" w:cs="inter" w:ascii="inter" w:hAnsi="inter"/>
          <w:color w:val="000000"/>
          <w:sz w:val="18"/>
        </w:rPr>
        <w:t xml:space="preserve"> </w:t>
      </w:r>
    </w:p>
    <w:bookmarkStart w:id="183" w:name="fn46"/>
    <w:bookmarkEnd w:id="183"/>
    <w:p>
      <w:pPr>
        <w:numPr>
          <w:ilvl w:val="0"/>
          <w:numId w:val="70"/>
        </w:numPr>
        <w:spacing w:line="360" w:after="210" w:lineRule="auto"/>
      </w:pPr>
      <w:hyperlink r:id="rId53">
        <w:r>
          <w:rPr>
            <w:rFonts w:eastAsia="inter" w:cs="inter" w:ascii="inter" w:hAnsi="inter"/>
            <w:color w:val="#000"/>
            <w:sz w:val="18"/>
            <w:u w:val="single"/>
          </w:rPr>
          <w:t xml:space="preserve">https://aiisrael.org.il/press_release/the-winning-projects-in-the-governments-ai-open-call/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4" w:name="fn47"/>
    <w:bookmarkEnd w:id="184"/>
    <w:p>
      <w:pPr>
        <w:numPr>
          <w:ilvl w:val="0"/>
          <w:numId w:val="70"/>
        </w:numPr>
        <w:spacing w:line="360" w:after="210" w:lineRule="auto"/>
      </w:pPr>
      <w:hyperlink r:id="rId54">
        <w:r>
          <w:rPr>
            <w:rFonts w:eastAsia="inter" w:cs="inter" w:ascii="inter" w:hAnsi="inter"/>
            <w:color w:val="#000"/>
            <w:sz w:val="18"/>
            <w:u w:val="single"/>
          </w:rPr>
          <w:t xml:space="preserve">https://www.matrix.co.il/nimbus/sap</w:t>
        </w:r>
      </w:hyperlink>
      <w:r>
        <w:rPr>
          <w:rFonts w:eastAsia="inter" w:cs="inter" w:ascii="inter" w:hAnsi="inter"/>
          <w:color w:val="000000"/>
          <w:sz w:val="18"/>
        </w:rPr>
        <w:t xml:space="preserve"> </w:t>
      </w:r>
    </w:p>
    <w:bookmarkStart w:id="185" w:name="fn48"/>
    <w:bookmarkEnd w:id="185"/>
    <w:p>
      <w:pPr>
        <w:numPr>
          <w:ilvl w:val="0"/>
          <w:numId w:val="70"/>
        </w:numPr>
        <w:spacing w:line="360" w:after="210" w:lineRule="auto"/>
      </w:pPr>
      <w:hyperlink r:id="rId55">
        <w:r>
          <w:rPr>
            <w:rFonts w:eastAsia="inter" w:cs="inter" w:ascii="inter" w:hAnsi="inter"/>
            <w:color w:val="#000"/>
            <w:sz w:val="18"/>
            <w:u w:val="single"/>
          </w:rPr>
          <w:t xml:space="preserve">https://www.whoprofits.org/companies/company/4009?matrix-it</w:t>
        </w:r>
      </w:hyperlink>
      <w:r>
        <w:rPr>
          <w:rFonts w:eastAsia="inter" w:cs="inter" w:ascii="inter" w:hAnsi="inter"/>
          <w:color w:val="000000"/>
          <w:sz w:val="18"/>
        </w:rPr>
        <w:t xml:space="preserve"> </w:t>
      </w:r>
    </w:p>
    <w:bookmarkStart w:id="186" w:name="fn49"/>
    <w:bookmarkEnd w:id="186"/>
    <w:p>
      <w:pPr>
        <w:numPr>
          <w:ilvl w:val="0"/>
          <w:numId w:val="70"/>
        </w:numPr>
        <w:spacing w:line="360" w:after="210" w:lineRule="auto"/>
      </w:pPr>
      <w:hyperlink r:id="rId56">
        <w:r>
          <w:rPr>
            <w:rFonts w:eastAsia="inter" w:cs="inter" w:ascii="inter" w:hAnsi="inter"/>
            <w:color w:val="#000"/>
            <w:sz w:val="18"/>
            <w:u w:val="single"/>
          </w:rPr>
          <w:t xml:space="preserve">https://www.ice.co.il/finance/news/article/1002682</w:t>
        </w:r>
      </w:hyperlink>
      <w:r>
        <w:rPr>
          <w:rFonts w:eastAsia="inter" w:cs="inter" w:ascii="inter" w:hAnsi="inter"/>
          <w:color w:val="000000"/>
          <w:sz w:val="18"/>
        </w:rPr>
        <w:t xml:space="preserve"> </w:t>
      </w:r>
    </w:p>
    <w:bookmarkStart w:id="187" w:name="fn50"/>
    <w:bookmarkEnd w:id="187"/>
    <w:p>
      <w:pPr>
        <w:numPr>
          <w:ilvl w:val="0"/>
          <w:numId w:val="70"/>
        </w:numPr>
        <w:spacing w:line="360" w:after="210" w:lineRule="auto"/>
      </w:pPr>
      <w:hyperlink r:id="rId57">
        <w:r>
          <w:rPr>
            <w:rFonts w:eastAsia="inter" w:cs="inter" w:ascii="inter" w:hAnsi="inter"/>
            <w:color w:val="#000"/>
            <w:sz w:val="18"/>
            <w:u w:val="single"/>
          </w:rPr>
          <w:t xml:space="preserve">https://www.semanticscholar.org/paper/cf755cdb2e9c3cd56cacc74048179c7ded78ecf8</w:t>
        </w:r>
      </w:hyperlink>
      <w:r>
        <w:rPr>
          <w:rFonts w:eastAsia="inter" w:cs="inter" w:ascii="inter" w:hAnsi="inter"/>
          <w:color w:val="000000"/>
          <w:sz w:val="18"/>
        </w:rPr>
        <w:t xml:space="preserve"> </w:t>
      </w:r>
    </w:p>
    <w:bookmarkStart w:id="188" w:name="fn51"/>
    <w:bookmarkEnd w:id="188"/>
    <w:p>
      <w:pPr>
        <w:numPr>
          <w:ilvl w:val="0"/>
          <w:numId w:val="70"/>
        </w:numPr>
        <w:spacing w:line="360" w:after="210" w:lineRule="auto"/>
      </w:pPr>
      <w:hyperlink r:id="rId58">
        <w:r>
          <w:rPr>
            <w:rFonts w:eastAsia="inter" w:cs="inter" w:ascii="inter" w:hAnsi="inter"/>
            <w:color w:val="#000"/>
            <w:sz w:val="18"/>
            <w:u w:val="single"/>
          </w:rPr>
          <w:t xml:space="preserve">https://ieeexplore.ieee.org/document/9944632/</w:t>
        </w:r>
      </w:hyperlink>
      <w:r>
        <w:rPr>
          <w:rFonts w:eastAsia="inter" w:cs="inter" w:ascii="inter" w:hAnsi="inter"/>
          <w:color w:val="000000"/>
          <w:sz w:val="18"/>
        </w:rPr>
        <w:t xml:space="preserve"> </w:t>
      </w:r>
    </w:p>
    <w:bookmarkStart w:id="189" w:name="fn52"/>
    <w:bookmarkEnd w:id="189"/>
    <w:p>
      <w:pPr>
        <w:numPr>
          <w:ilvl w:val="0"/>
          <w:numId w:val="70"/>
        </w:numPr>
        <w:spacing w:line="360" w:after="210" w:lineRule="auto"/>
      </w:pPr>
      <w:hyperlink r:id="rId59">
        <w:r>
          <w:rPr>
            <w:rFonts w:eastAsia="inter" w:cs="inter" w:ascii="inter" w:hAnsi="inter"/>
            <w:color w:val="#000"/>
            <w:sz w:val="18"/>
            <w:u w:val="single"/>
          </w:rPr>
          <w:t xml:space="preserve">https://www.fortunejournals.com/articles/accelerating-minimap2-for-accurate-long-read-alignment-on-gpus.html</w:t>
        </w:r>
      </w:hyperlink>
      <w:r>
        <w:rPr>
          <w:rFonts w:eastAsia="inter" w:cs="inter" w:ascii="inter" w:hAnsi="inter"/>
          <w:color w:val="000000"/>
          <w:sz w:val="18"/>
        </w:rPr>
        <w:t xml:space="preserve"> </w:t>
      </w:r>
    </w:p>
    <w:bookmarkStart w:id="190" w:name="fn53"/>
    <w:bookmarkEnd w:id="190"/>
    <w:p>
      <w:pPr>
        <w:numPr>
          <w:ilvl w:val="0"/>
          <w:numId w:val="70"/>
        </w:numPr>
        <w:spacing w:line="360" w:after="210" w:lineRule="auto"/>
      </w:pPr>
      <w:hyperlink r:id="rId60">
        <w:r>
          <w:rPr>
            <w:rFonts w:eastAsia="inter" w:cs="inter" w:ascii="inter" w:hAnsi="inter"/>
            <w:color w:val="#000"/>
            <w:sz w:val="18"/>
            <w:u w:val="single"/>
          </w:rPr>
          <w:t xml:space="preserve">https://www.semanticscholar.org/paper/73799fc014d51a40a66d0eae34139751f859b225</w:t>
        </w:r>
      </w:hyperlink>
      <w:r>
        <w:rPr>
          <w:rFonts w:eastAsia="inter" w:cs="inter" w:ascii="inter" w:hAnsi="inter"/>
          <w:color w:val="000000"/>
          <w:sz w:val="18"/>
        </w:rPr>
        <w:t xml:space="preserve"> </w:t>
      </w:r>
    </w:p>
    <w:bookmarkStart w:id="191" w:name="fn54"/>
    <w:bookmarkEnd w:id="191"/>
    <w:p>
      <w:pPr>
        <w:numPr>
          <w:ilvl w:val="0"/>
          <w:numId w:val="70"/>
        </w:numPr>
        <w:spacing w:line="360" w:after="210" w:lineRule="auto"/>
      </w:pPr>
      <w:hyperlink r:id="rId61">
        <w:r>
          <w:rPr>
            <w:rFonts w:eastAsia="inter" w:cs="inter" w:ascii="inter" w:hAnsi="inter"/>
            <w:color w:val="#000"/>
            <w:sz w:val="18"/>
            <w:u w:val="single"/>
          </w:rPr>
          <w:t xml:space="preserve">https://www.semanticscholar.org/paper/6ceee8c7bd2dded036adafa77096333d6de400d9</w:t>
        </w:r>
      </w:hyperlink>
      <w:r>
        <w:rPr>
          <w:rFonts w:eastAsia="inter" w:cs="inter" w:ascii="inter" w:hAnsi="inter"/>
          <w:color w:val="000000"/>
          <w:sz w:val="18"/>
        </w:rPr>
        <w:t xml:space="preserve"> </w:t>
      </w:r>
    </w:p>
    <w:bookmarkStart w:id="192" w:name="fn55"/>
    <w:bookmarkEnd w:id="192"/>
    <w:p>
      <w:pPr>
        <w:numPr>
          <w:ilvl w:val="0"/>
          <w:numId w:val="70"/>
        </w:numPr>
        <w:spacing w:line="360" w:after="210" w:lineRule="auto"/>
      </w:pPr>
      <w:hyperlink r:id="rId62">
        <w:r>
          <w:rPr>
            <w:rFonts w:eastAsia="inter" w:cs="inter" w:ascii="inter" w:hAnsi="inter"/>
            <w:color w:val="#000"/>
            <w:sz w:val="18"/>
            <w:u w:val="single"/>
          </w:rPr>
          <w:t xml:space="preserve">https://arxiv.org/html/2504.04982v1</w:t>
        </w:r>
      </w:hyperlink>
      <w:r>
        <w:rPr>
          <w:rFonts w:eastAsia="inter" w:cs="inter" w:ascii="inter" w:hAnsi="inter"/>
          <w:color w:val="000000"/>
          <w:sz w:val="18"/>
        </w:rPr>
        <w:t xml:space="preserve"> </w:t>
      </w:r>
    </w:p>
    <w:bookmarkStart w:id="193" w:name="fn56"/>
    <w:bookmarkEnd w:id="193"/>
    <w:p>
      <w:pPr>
        <w:numPr>
          <w:ilvl w:val="0"/>
          <w:numId w:val="70"/>
        </w:numPr>
        <w:spacing w:line="360" w:after="210" w:lineRule="auto"/>
      </w:pPr>
      <w:hyperlink r:id="rId63">
        <w:r>
          <w:rPr>
            <w:rFonts w:eastAsia="inter" w:cs="inter" w:ascii="inter" w:hAnsi="inter"/>
            <w:color w:val="#000"/>
            <w:sz w:val="18"/>
            <w:u w:val="single"/>
          </w:rPr>
          <w:t xml:space="preserve">https://arxiv.org/pdf/2311.04417.pdf</w:t>
        </w:r>
      </w:hyperlink>
      <w:r>
        <w:rPr>
          <w:rFonts w:eastAsia="inter" w:cs="inter" w:ascii="inter" w:hAnsi="inter"/>
          <w:color w:val="000000"/>
          <w:sz w:val="18"/>
        </w:rPr>
        <w:t xml:space="preserve"> </w:t>
      </w:r>
    </w:p>
    <w:bookmarkStart w:id="194" w:name="fn57"/>
    <w:bookmarkEnd w:id="194"/>
    <w:p>
      <w:pPr>
        <w:numPr>
          <w:ilvl w:val="0"/>
          <w:numId w:val="70"/>
        </w:numPr>
        <w:spacing w:line="360" w:after="210" w:lineRule="auto"/>
      </w:pPr>
      <w:hyperlink r:id="rId64">
        <w:r>
          <w:rPr>
            <w:rFonts w:eastAsia="inter" w:cs="inter" w:ascii="inter" w:hAnsi="inter"/>
            <w:color w:val="#000"/>
            <w:sz w:val="18"/>
            <w:u w:val="single"/>
          </w:rPr>
          <w:t xml:space="preserve">http://arxiv.org/pdf/2410.11199.pdf</w:t>
        </w:r>
      </w:hyperlink>
      <w:r>
        <w:rPr>
          <w:rFonts w:eastAsia="inter" w:cs="inter" w:ascii="inter" w:hAnsi="inter"/>
          <w:color w:val="000000"/>
          <w:sz w:val="18"/>
        </w:rPr>
        <w:t xml:space="preserve"> </w:t>
      </w:r>
    </w:p>
    <w:bookmarkStart w:id="195" w:name="fn58"/>
    <w:bookmarkEnd w:id="195"/>
    <w:p>
      <w:pPr>
        <w:numPr>
          <w:ilvl w:val="0"/>
          <w:numId w:val="70"/>
        </w:numPr>
        <w:spacing w:line="360" w:after="210" w:lineRule="auto"/>
      </w:pPr>
      <w:hyperlink r:id="rId65">
        <w:r>
          <w:rPr>
            <w:rFonts w:eastAsia="inter" w:cs="inter" w:ascii="inter" w:hAnsi="inter"/>
            <w:color w:val="#000"/>
            <w:sz w:val="18"/>
            <w:u w:val="single"/>
          </w:rPr>
          <w:t xml:space="preserve">https://www.mdpi.com/1424-8220/20/21/6335/pdf</w:t>
        </w:r>
      </w:hyperlink>
      <w:r>
        <w:rPr>
          <w:rFonts w:eastAsia="inter" w:cs="inter" w:ascii="inter" w:hAnsi="inter"/>
          <w:color w:val="000000"/>
          <w:sz w:val="18"/>
        </w:rPr>
        <w:t xml:space="preserve"> </w:t>
      </w:r>
    </w:p>
    <w:bookmarkStart w:id="196" w:name="fn59"/>
    <w:bookmarkEnd w:id="196"/>
    <w:p>
      <w:pPr>
        <w:numPr>
          <w:ilvl w:val="0"/>
          <w:numId w:val="70"/>
        </w:numPr>
        <w:spacing w:line="360" w:after="210" w:lineRule="auto"/>
      </w:pPr>
      <w:hyperlink r:id="rId66">
        <w:r>
          <w:rPr>
            <w:rFonts w:eastAsia="inter" w:cs="inter" w:ascii="inter" w:hAnsi="inter"/>
            <w:color w:val="#000"/>
            <w:sz w:val="18"/>
            <w:u w:val="single"/>
          </w:rPr>
          <w:t xml:space="preserve">https://arxiv.org/pdf/2203.01877.pdf</w:t>
        </w:r>
      </w:hyperlink>
      <w:r>
        <w:rPr>
          <w:rFonts w:eastAsia="inter" w:cs="inter" w:ascii="inter" w:hAnsi="inter"/>
          <w:color w:val="000000"/>
          <w:sz w:val="18"/>
        </w:rPr>
        <w:t xml:space="preserve"> </w:t>
      </w:r>
    </w:p>
    <w:bookmarkStart w:id="197" w:name="fn60"/>
    <w:bookmarkEnd w:id="197"/>
    <w:p>
      <w:pPr>
        <w:numPr>
          <w:ilvl w:val="0"/>
          <w:numId w:val="70"/>
        </w:numPr>
        <w:spacing w:line="360" w:after="210" w:lineRule="auto"/>
      </w:pPr>
      <w:hyperlink r:id="rId67">
        <w:r>
          <w:rPr>
            <w:rFonts w:eastAsia="inter" w:cs="inter" w:ascii="inter" w:hAnsi="inter"/>
            <w:color w:val="#000"/>
            <w:sz w:val="18"/>
            <w:u w:val="single"/>
          </w:rPr>
          <w:t xml:space="preserve">https://arxiv.org/pdf/2309.05445.pdf</w:t>
        </w:r>
      </w:hyperlink>
      <w:r>
        <w:rPr>
          <w:rFonts w:eastAsia="inter" w:cs="inter" w:ascii="inter" w:hAnsi="inter"/>
          <w:color w:val="000000"/>
          <w:sz w:val="18"/>
        </w:rPr>
        <w:t xml:space="preserve"> </w:t>
      </w:r>
    </w:p>
    <w:bookmarkStart w:id="198" w:name="fn61"/>
    <w:bookmarkEnd w:id="198"/>
    <w:p>
      <w:pPr>
        <w:numPr>
          <w:ilvl w:val="0"/>
          <w:numId w:val="70"/>
        </w:numPr>
        <w:spacing w:line="360" w:after="210" w:lineRule="auto"/>
      </w:pPr>
      <w:hyperlink r:id="rId68">
        <w:r>
          <w:rPr>
            <w:rFonts w:eastAsia="inter" w:cs="inter" w:ascii="inter" w:hAnsi="inter"/>
            <w:color w:val="#000"/>
            <w:sz w:val="18"/>
            <w:u w:val="single"/>
          </w:rPr>
          <w:t xml:space="preserve">https://arxiv.org/pdf/2409.03112.pdf</w:t>
        </w:r>
      </w:hyperlink>
      <w:r>
        <w:rPr>
          <w:rFonts w:eastAsia="inter" w:cs="inter" w:ascii="inter" w:hAnsi="inter"/>
          <w:color w:val="000000"/>
          <w:sz w:val="18"/>
        </w:rPr>
        <w:t xml:space="preserve"> </w:t>
      </w:r>
    </w:p>
    <w:bookmarkStart w:id="199" w:name="fn62"/>
    <w:bookmarkEnd w:id="199"/>
    <w:p>
      <w:pPr>
        <w:numPr>
          <w:ilvl w:val="0"/>
          <w:numId w:val="70"/>
        </w:numPr>
        <w:spacing w:line="360" w:after="210" w:lineRule="auto"/>
      </w:pPr>
      <w:hyperlink r:id="rId69">
        <w:r>
          <w:rPr>
            <w:rFonts w:eastAsia="inter" w:cs="inter" w:ascii="inter" w:hAnsi="inter"/>
            <w:color w:val="#000"/>
            <w:sz w:val="18"/>
            <w:u w:val="single"/>
          </w:rPr>
          <w:t xml:space="preserve">https://arxiv.org/pdf/2402.04466.pdf</w:t>
        </w:r>
      </w:hyperlink>
      <w:r>
        <w:rPr>
          <w:rFonts w:eastAsia="inter" w:cs="inter" w:ascii="inter" w:hAnsi="inter"/>
          <w:color w:val="000000"/>
          <w:sz w:val="18"/>
        </w:rPr>
        <w:t xml:space="preserve"> </w:t>
      </w:r>
    </w:p>
    <w:bookmarkStart w:id="200" w:name="fn63"/>
    <w:bookmarkEnd w:id="200"/>
    <w:p>
      <w:pPr>
        <w:numPr>
          <w:ilvl w:val="0"/>
          <w:numId w:val="70"/>
        </w:numPr>
        <w:spacing w:line="360" w:after="210" w:lineRule="auto"/>
      </w:pPr>
      <w:hyperlink r:id="rId70">
        <w:r>
          <w:rPr>
            <w:rFonts w:eastAsia="inter" w:cs="inter" w:ascii="inter" w:hAnsi="inter"/>
            <w:color w:val="#000"/>
            <w:sz w:val="18"/>
            <w:u w:val="single"/>
          </w:rPr>
          <w:t xml:space="preserve">https://techtime.co.il/2024/01/31/opteamizer-6/</w:t>
        </w:r>
      </w:hyperlink>
      <w:r>
        <w:rPr>
          <w:rFonts w:eastAsia="inter" w:cs="inter" w:ascii="inter" w:hAnsi="inter"/>
          <w:color w:val="000000"/>
          <w:sz w:val="18"/>
        </w:rPr>
        <w:t xml:space="preserve"> </w:t>
      </w:r>
    </w:p>
    <w:bookmarkStart w:id="201" w:name="fn64"/>
    <w:bookmarkEnd w:id="201"/>
    <w:p>
      <w:pPr>
        <w:numPr>
          <w:ilvl w:val="0"/>
          <w:numId w:val="70"/>
        </w:numPr>
        <w:spacing w:line="360" w:after="210" w:lineRule="auto"/>
      </w:pPr>
      <w:hyperlink r:id="rId71">
        <w:r>
          <w:rPr>
            <w:rFonts w:eastAsia="inter" w:cs="inter" w:ascii="inter" w:hAnsi="inter"/>
            <w:color w:val="#000"/>
            <w:sz w:val="18"/>
            <w:u w:val="single"/>
          </w:rPr>
          <w:t xml:space="preserve">https://www.deloitte.com/us/en/alliances/nvidia-dgx-managed-services.html</w:t>
        </w:r>
      </w:hyperlink>
      <w:r>
        <w:rPr>
          <w:rFonts w:eastAsia="inter" w:cs="inter" w:ascii="inter" w:hAnsi="inter"/>
          <w:color w:val="000000"/>
          <w:sz w:val="18"/>
        </w:rPr>
        <w:t xml:space="preserve"> </w:t>
      </w:r>
    </w:p>
    <w:bookmarkStart w:id="202" w:name="fn65"/>
    <w:bookmarkEnd w:id="202"/>
    <w:p>
      <w:pPr>
        <w:numPr>
          <w:ilvl w:val="0"/>
          <w:numId w:val="70"/>
        </w:numPr>
        <w:spacing w:line="360" w:after="210" w:lineRule="auto"/>
      </w:pPr>
      <w:hyperlink r:id="rId72">
        <w:r>
          <w:rPr>
            <w:rFonts w:eastAsia="inter" w:cs="inter" w:ascii="inter" w:hAnsi="inter"/>
            <w:color w:val="#000"/>
            <w:sz w:val="18"/>
            <w:u w:val="single"/>
          </w:rPr>
          <w:t xml:space="preserve">https://www.deloitte.com/il/en/services/consulting/services/end-to-end-digital-transformation.html</w:t>
        </w:r>
      </w:hyperlink>
      <w:r>
        <w:rPr>
          <w:rFonts w:eastAsia="inter" w:cs="inter" w:ascii="inter" w:hAnsi="inter"/>
          <w:color w:val="000000"/>
          <w:sz w:val="18"/>
        </w:rPr>
        <w:t xml:space="preserve"> </w:t>
      </w:r>
    </w:p>
    <w:bookmarkStart w:id="203" w:name="fn66"/>
    <w:bookmarkEnd w:id="203"/>
    <w:p>
      <w:pPr>
        <w:numPr>
          <w:ilvl w:val="0"/>
          <w:numId w:val="70"/>
        </w:numPr>
        <w:spacing w:line="360" w:after="210" w:lineRule="auto"/>
      </w:pPr>
      <w:hyperlink r:id="rId73">
        <w:r>
          <w:rPr>
            <w:rFonts w:eastAsia="inter" w:cs="inter" w:ascii="inter" w:hAnsi="inter"/>
            <w:color w:val="#000"/>
            <w:sz w:val="18"/>
            <w:u w:val="single"/>
          </w:rPr>
          <w:t xml:space="preserve">https://solutionsmap.deloitte.co.il/en/organizations/growth/digital-transformation/digital-transformation/</w:t>
        </w:r>
      </w:hyperlink>
      <w:r>
        <w:rPr>
          <w:rFonts w:eastAsia="inter" w:cs="inter" w:ascii="inter" w:hAnsi="inter"/>
          <w:color w:val="000000"/>
          <w:sz w:val="18"/>
        </w:rPr>
        <w:t xml:space="preserve"> </w:t>
      </w:r>
    </w:p>
    <w:bookmarkStart w:id="204" w:name="fn67"/>
    <w:bookmarkEnd w:id="204"/>
    <w:p>
      <w:pPr>
        <w:numPr>
          <w:ilvl w:val="0"/>
          <w:numId w:val="70"/>
        </w:numPr>
        <w:spacing w:line="360" w:after="210" w:lineRule="auto"/>
      </w:pPr>
      <w:hyperlink r:id="rId74">
        <w:r>
          <w:rPr>
            <w:rFonts w:eastAsia="inter" w:cs="inter" w:ascii="inter" w:hAnsi="inter"/>
            <w:color w:val="#000"/>
            <w:sz w:val="18"/>
            <w:u w:val="single"/>
          </w:rPr>
          <w:t xml:space="preserve">https://data-il.org/wp-content/uploads/2025/09/Human-Capital-AI-Report.pdf</w:t>
        </w:r>
      </w:hyperlink>
      <w:r>
        <w:rPr>
          <w:rFonts w:eastAsia="inter" w:cs="inter" w:ascii="inter" w:hAnsi="inter"/>
          <w:color w:val="000000"/>
          <w:sz w:val="18"/>
        </w:rPr>
        <w:t xml:space="preserve"> </w:t>
      </w:r>
    </w:p>
    <w:bookmarkStart w:id="205" w:name="fn68"/>
    <w:bookmarkEnd w:id="205"/>
    <w:p>
      <w:pPr>
        <w:numPr>
          <w:ilvl w:val="0"/>
          <w:numId w:val="70"/>
        </w:numPr>
        <w:spacing w:line="360" w:after="210" w:lineRule="auto"/>
      </w:pPr>
      <w:hyperlink r:id="rId75">
        <w:r>
          <w:rPr>
            <w:rFonts w:eastAsia="inter" w:cs="inter" w:ascii="inter" w:hAnsi="inter"/>
            <w:color w:val="#000"/>
            <w:sz w:val="18"/>
            <w:u w:val="single"/>
          </w:rPr>
          <w:t xml:space="preserve">https://www.deloitte.com/us/en/alliances/aws/case-studies/digital-transformation.html</w:t>
        </w:r>
      </w:hyperlink>
      <w:r>
        <w:rPr>
          <w:rFonts w:eastAsia="inter" w:cs="inter" w:ascii="inter" w:hAnsi="inter"/>
          <w:color w:val="000000"/>
          <w:sz w:val="18"/>
        </w:rPr>
        <w:t xml:space="preserve"> </w:t>
      </w:r>
    </w:p>
    <w:bookmarkStart w:id="206" w:name="fn69"/>
    <w:bookmarkEnd w:id="206"/>
    <w:p>
      <w:pPr>
        <w:numPr>
          <w:ilvl w:val="0"/>
          <w:numId w:val="70"/>
        </w:numPr>
        <w:spacing w:line="360" w:after="210" w:lineRule="auto"/>
      </w:pPr>
      <w:hyperlink r:id="rId76">
        <w:r>
          <w:rPr>
            <w:rFonts w:eastAsia="inter" w:cs="inter" w:ascii="inter" w:hAnsi="inter"/>
            <w:color w:val="#000"/>
            <w:sz w:val="18"/>
            <w:u w:val="single"/>
          </w:rPr>
          <w:t xml:space="preserve">https://www.facebook.com/deloitteisrael/photos/אנו-נרגשים-לבשר-על-הצטרפותה-של-opteamizer-לנבחרת-שלנו-חברת-opteamizer-מתמחה-בפתר/795633152579392/</w:t>
        </w:r>
      </w:hyperlink>
      <w:r>
        <w:rPr>
          <w:rFonts w:eastAsia="inter" w:cs="inter" w:ascii="inter" w:hAnsi="inter"/>
          <w:color w:val="000000"/>
          <w:sz w:val="18"/>
        </w:rPr>
        <w:t xml:space="preserve"> </w:t>
      </w:r>
    </w:p>
    <w:bookmarkStart w:id="207" w:name="fn70"/>
    <w:bookmarkEnd w:id="207"/>
    <w:p>
      <w:pPr>
        <w:numPr>
          <w:ilvl w:val="0"/>
          <w:numId w:val="70"/>
        </w:numPr>
        <w:spacing w:line="360" w:after="210" w:lineRule="auto"/>
      </w:pPr>
      <w:hyperlink r:id="rId77">
        <w:r>
          <w:rPr>
            <w:rFonts w:eastAsia="inter" w:cs="inter" w:ascii="inter" w:hAnsi="inter"/>
            <w:color w:val="#000"/>
            <w:sz w:val="18"/>
            <w:u w:val="single"/>
          </w:rPr>
          <w:t xml:space="preserve">https://www.deloitte.com/il/he/about/story/facts-and-figures/2023-transparency-report.html</w:t>
        </w:r>
      </w:hyperlink>
      <w:r>
        <w:rPr>
          <w:rFonts w:eastAsia="inter" w:cs="inter" w:ascii="inter" w:hAnsi="inter"/>
          <w:color w:val="000000"/>
          <w:sz w:val="18"/>
        </w:rPr>
        <w:t xml:space="preserve"> </w:t>
      </w:r>
    </w:p>
    <w:bookmarkStart w:id="208" w:name="fn71"/>
    <w:bookmarkEnd w:id="208"/>
    <w:p>
      <w:pPr>
        <w:numPr>
          <w:ilvl w:val="0"/>
          <w:numId w:val="70"/>
        </w:numPr>
        <w:spacing w:line="360" w:after="210" w:lineRule="auto"/>
      </w:pPr>
      <w:hyperlink r:id="rId78">
        <w:r>
          <w:rPr>
            <w:rFonts w:eastAsia="inter" w:cs="inter" w:ascii="inter" w:hAnsi="inter"/>
            <w:color w:val="#000"/>
            <w:sz w:val="18"/>
            <w:u w:val="single"/>
          </w:rPr>
          <w:t xml:space="preserve">https://www.tandfonline.com/doi/pdf/10.1080/08956308.2024.2280492?needAccess=true</w:t>
        </w:r>
      </w:hyperlink>
      <w:r>
        <w:rPr>
          <w:rFonts w:eastAsia="inter" w:cs="inter" w:ascii="inter" w:hAnsi="inter"/>
          <w:color w:val="000000"/>
          <w:sz w:val="18"/>
        </w:rPr>
        <w:t xml:space="preserve"> </w:t>
      </w:r>
    </w:p>
    <w:bookmarkStart w:id="209" w:name="fn72"/>
    <w:bookmarkEnd w:id="209"/>
    <w:p>
      <w:pPr>
        <w:numPr>
          <w:ilvl w:val="0"/>
          <w:numId w:val="70"/>
        </w:numPr>
        <w:spacing w:line="360" w:after="210" w:lineRule="auto"/>
      </w:pPr>
      <w:hyperlink r:id="rId79">
        <w:r>
          <w:rPr>
            <w:rFonts w:eastAsia="inter" w:cs="inter" w:ascii="inter" w:hAnsi="inter"/>
            <w:color w:val="#000"/>
            <w:sz w:val="18"/>
            <w:u w:val="single"/>
          </w:rPr>
          <w:t xml:space="preserve">https://www.mdpi.com/2071-1050/15/16/12419/pdf?version=1692155456</w:t>
        </w:r>
      </w:hyperlink>
      <w:r>
        <w:rPr>
          <w:rFonts w:eastAsia="inter" w:cs="inter" w:ascii="inter" w:hAnsi="inter"/>
          <w:color w:val="000000"/>
          <w:sz w:val="18"/>
        </w:rPr>
        <w:t xml:space="preserve"> </w:t>
      </w:r>
    </w:p>
    <w:bookmarkStart w:id="210" w:name="fn73"/>
    <w:bookmarkEnd w:id="210"/>
    <w:p>
      <w:pPr>
        <w:numPr>
          <w:ilvl w:val="0"/>
          <w:numId w:val="70"/>
        </w:numPr>
        <w:spacing w:line="360" w:after="210" w:lineRule="auto"/>
      </w:pPr>
      <w:hyperlink r:id="rId80">
        <w:r>
          <w:rPr>
            <w:rFonts w:eastAsia="inter" w:cs="inter" w:ascii="inter" w:hAnsi="inter"/>
            <w:color w:val="#000"/>
            <w:sz w:val="18"/>
            <w:u w:val="single"/>
          </w:rPr>
          <w:t xml:space="preserve">https://www.deloitte.com/il/en/about/people/profiles.tovi-kochav+b818a3d4.html</w:t>
        </w:r>
      </w:hyperlink>
      <w:r>
        <w:rPr>
          <w:rFonts w:eastAsia="inter" w:cs="inter" w:ascii="inter" w:hAnsi="inter"/>
          <w:color w:val="000000"/>
          <w:sz w:val="18"/>
        </w:rPr>
        <w:t xml:space="preserve"> </w:t>
      </w:r>
    </w:p>
    <w:bookmarkStart w:id="211" w:name="fn74"/>
    <w:bookmarkEnd w:id="211"/>
    <w:p>
      <w:pPr>
        <w:numPr>
          <w:ilvl w:val="0"/>
          <w:numId w:val="70"/>
        </w:numPr>
        <w:spacing w:line="360" w:after="210" w:lineRule="auto"/>
      </w:pPr>
      <w:hyperlink r:id="rId81">
        <w:r>
          <w:rPr>
            <w:rFonts w:eastAsia="inter" w:cs="inter" w:ascii="inter" w:hAnsi="inter"/>
            <w:color w:val="#000"/>
            <w:sz w:val="18"/>
            <w:u w:val="single"/>
          </w:rPr>
          <w:t xml:space="preserve">https://www.mdpi.com/1424-8220/26/1/78</w:t>
        </w:r>
      </w:hyperlink>
      <w:r>
        <w:rPr>
          <w:rFonts w:eastAsia="inter" w:cs="inter" w:ascii="inter" w:hAnsi="inter"/>
          <w:color w:val="000000"/>
          <w:sz w:val="18"/>
        </w:rPr>
        <w:t xml:space="preserve"> </w:t>
      </w:r>
    </w:p>
    <w:bookmarkStart w:id="212" w:name="fn75"/>
    <w:bookmarkEnd w:id="212"/>
    <w:p>
      <w:pPr>
        <w:numPr>
          <w:ilvl w:val="0"/>
          <w:numId w:val="70"/>
        </w:numPr>
        <w:spacing w:line="360" w:after="210" w:lineRule="auto"/>
      </w:pPr>
      <w:hyperlink r:id="rId82">
        <w:r>
          <w:rPr>
            <w:rFonts w:eastAsia="inter" w:cs="inter" w:ascii="inter" w:hAnsi="inter"/>
            <w:color w:val="#000"/>
            <w:sz w:val="18"/>
            <w:u w:val="single"/>
          </w:rPr>
          <w:t xml:space="preserve">https://opg.optica.org/abstract.cfm?URI=ao-62-22-5890</w:t>
        </w:r>
      </w:hyperlink>
      <w:r>
        <w:rPr>
          <w:rFonts w:eastAsia="inter" w:cs="inter" w:ascii="inter" w:hAnsi="inter"/>
          <w:color w:val="000000"/>
          <w:sz w:val="18"/>
        </w:rPr>
        <w:t xml:space="preserve"> </w:t>
      </w:r>
    </w:p>
    <w:bookmarkStart w:id="213" w:name="fn76"/>
    <w:bookmarkEnd w:id="213"/>
    <w:p>
      <w:pPr>
        <w:numPr>
          <w:ilvl w:val="0"/>
          <w:numId w:val="70"/>
        </w:numPr>
        <w:spacing w:line="360" w:after="210" w:lineRule="auto"/>
      </w:pPr>
      <w:hyperlink r:id="rId83">
        <w:r>
          <w:rPr>
            <w:rFonts w:eastAsia="inter" w:cs="inter" w:ascii="inter" w:hAnsi="inter"/>
            <w:color w:val="#000"/>
            <w:sz w:val="18"/>
            <w:u w:val="single"/>
          </w:rPr>
          <w:t xml:space="preserve">http://services.igi-global.com/resolvedoi/resolve.aspx?doi=10.4018/978-1-7998-5074-8.ch012</w:t>
        </w:r>
      </w:hyperlink>
      <w:r>
        <w:rPr>
          <w:rFonts w:eastAsia="inter" w:cs="inter" w:ascii="inter" w:hAnsi="inter"/>
          <w:color w:val="000000"/>
          <w:sz w:val="18"/>
        </w:rPr>
        <w:t xml:space="preserve"> </w:t>
      </w:r>
    </w:p>
    <w:bookmarkStart w:id="214" w:name="fn77"/>
    <w:bookmarkEnd w:id="214"/>
    <w:p>
      <w:pPr>
        <w:numPr>
          <w:ilvl w:val="0"/>
          <w:numId w:val="70"/>
        </w:numPr>
        <w:spacing w:line="360" w:after="210" w:lineRule="auto"/>
      </w:pPr>
      <w:hyperlink r:id="rId84">
        <w:r>
          <w:rPr>
            <w:rFonts w:eastAsia="inter" w:cs="inter" w:ascii="inter" w:hAnsi="inter"/>
            <w:color w:val="#000"/>
            <w:sz w:val="18"/>
            <w:u w:val="single"/>
          </w:rPr>
          <w:t xml:space="preserve">https://academic.oup.com/jac/article-lookup/doi/10.1093/jac/dkq467</w:t>
        </w:r>
      </w:hyperlink>
      <w:r>
        <w:rPr>
          <w:rFonts w:eastAsia="inter" w:cs="inter" w:ascii="inter" w:hAnsi="inter"/>
          <w:color w:val="000000"/>
          <w:sz w:val="18"/>
        </w:rPr>
        <w:t xml:space="preserve"> </w:t>
      </w:r>
    </w:p>
    <w:bookmarkStart w:id="215" w:name="fn78"/>
    <w:bookmarkEnd w:id="215"/>
    <w:p>
      <w:pPr>
        <w:numPr>
          <w:ilvl w:val="0"/>
          <w:numId w:val="70"/>
        </w:numPr>
        <w:spacing w:line="360" w:after="210" w:lineRule="auto"/>
      </w:pPr>
      <w:hyperlink r:id="rId85">
        <w:r>
          <w:rPr>
            <w:rFonts w:eastAsia="inter" w:cs="inter" w:ascii="inter" w:hAnsi="inter"/>
            <w:color w:val="#000"/>
            <w:sz w:val="18"/>
            <w:u w:val="single"/>
          </w:rPr>
          <w:t xml:space="preserve">https://ieeexplore.ieee.org/document/8808884/</w:t>
        </w:r>
      </w:hyperlink>
      <w:r>
        <w:rPr>
          <w:rFonts w:eastAsia="inter" w:cs="inter" w:ascii="inter" w:hAnsi="inter"/>
          <w:color w:val="000000"/>
          <w:sz w:val="18"/>
        </w:rPr>
        <w:t xml:space="preserve"> </w:t>
      </w:r>
    </w:p>
    <w:bookmarkStart w:id="216" w:name="fn79"/>
    <w:bookmarkEnd w:id="216"/>
    <w:p>
      <w:pPr>
        <w:numPr>
          <w:ilvl w:val="0"/>
          <w:numId w:val="70"/>
        </w:numPr>
        <w:spacing w:line="360" w:after="210" w:lineRule="auto"/>
      </w:pPr>
      <w:hyperlink r:id="rId86">
        <w:r>
          <w:rPr>
            <w:rFonts w:eastAsia="inter" w:cs="inter" w:ascii="inter" w:hAnsi="inter"/>
            <w:color w:val="#000"/>
            <w:sz w:val="18"/>
            <w:u w:val="single"/>
          </w:rPr>
          <w:t xml:space="preserve">https://pubs.acs.org/doi/10.1021/ac970006f</w:t>
        </w:r>
      </w:hyperlink>
      <w:r>
        <w:rPr>
          <w:rFonts w:eastAsia="inter" w:cs="inter" w:ascii="inter" w:hAnsi="inter"/>
          <w:color w:val="000000"/>
          <w:sz w:val="18"/>
        </w:rPr>
        <w:t xml:space="preserve"> </w:t>
      </w:r>
    </w:p>
    <w:bookmarkStart w:id="217" w:name="fn80"/>
    <w:bookmarkEnd w:id="217"/>
    <w:p>
      <w:pPr>
        <w:numPr>
          <w:ilvl w:val="0"/>
          <w:numId w:val="70"/>
        </w:numPr>
        <w:spacing w:line="360" w:after="210" w:lineRule="auto"/>
      </w:pPr>
      <w:hyperlink r:id="rId87">
        <w:r>
          <w:rPr>
            <w:rFonts w:eastAsia="inter" w:cs="inter" w:ascii="inter" w:hAnsi="inter"/>
            <w:color w:val="#000"/>
            <w:sz w:val="18"/>
            <w:u w:val="single"/>
          </w:rPr>
          <w:t xml:space="preserve">https://www.semanticscholar.org/paper/575e8c4e365356a058f922efa7d31e6f343a3f6d</w:t>
        </w:r>
      </w:hyperlink>
      <w:r>
        <w:rPr>
          <w:rFonts w:eastAsia="inter" w:cs="inter" w:ascii="inter" w:hAnsi="inter"/>
          <w:color w:val="000000"/>
          <w:sz w:val="18"/>
        </w:rPr>
        <w:t xml:space="preserve"> </w:t>
      </w:r>
    </w:p>
    <w:bookmarkStart w:id="218" w:name="fn81"/>
    <w:bookmarkEnd w:id="218"/>
    <w:p>
      <w:pPr>
        <w:numPr>
          <w:ilvl w:val="0"/>
          <w:numId w:val="70"/>
        </w:numPr>
        <w:spacing w:line="360" w:after="210" w:lineRule="auto"/>
      </w:pPr>
      <w:hyperlink r:id="rId88">
        <w:r>
          <w:rPr>
            <w:rFonts w:eastAsia="inter" w:cs="inter" w:ascii="inter" w:hAnsi="inter"/>
            <w:color w:val="#000"/>
            <w:sz w:val="18"/>
            <w:u w:val="single"/>
          </w:rPr>
          <w:t xml:space="preserve">https://www.semanticscholar.org/paper/5cf2f8464efad0527743583e45a37e20f3bebf43</w:t>
        </w:r>
      </w:hyperlink>
      <w:r>
        <w:rPr>
          <w:rFonts w:eastAsia="inter" w:cs="inter" w:ascii="inter" w:hAnsi="inter"/>
          <w:color w:val="000000"/>
          <w:sz w:val="18"/>
        </w:rPr>
        <w:t xml:space="preserve"> </w:t>
      </w:r>
    </w:p>
    <w:bookmarkStart w:id="219" w:name="fn82"/>
    <w:bookmarkEnd w:id="219"/>
    <w:p>
      <w:pPr>
        <w:numPr>
          <w:ilvl w:val="0"/>
          <w:numId w:val="70"/>
        </w:numPr>
        <w:spacing w:line="360" w:after="210" w:lineRule="auto"/>
      </w:pPr>
      <w:hyperlink r:id="rId89">
        <w:r>
          <w:rPr>
            <w:rFonts w:eastAsia="inter" w:cs="inter" w:ascii="inter" w:hAnsi="inter"/>
            <w:color w:val="#000"/>
            <w:sz w:val="18"/>
            <w:u w:val="single"/>
          </w:rPr>
          <w:t xml:space="preserve">https://doi.apa.org/doi/10.1037/0090-5550.43.2.131</w:t>
        </w:r>
      </w:hyperlink>
      <w:r>
        <w:rPr>
          <w:rFonts w:eastAsia="inter" w:cs="inter" w:ascii="inter" w:hAnsi="inter"/>
          <w:color w:val="000000"/>
          <w:sz w:val="18"/>
        </w:rPr>
        <w:t xml:space="preserve"> </w:t>
      </w:r>
    </w:p>
    <w:bookmarkStart w:id="220" w:name="fn83"/>
    <w:bookmarkEnd w:id="220"/>
    <w:p>
      <w:pPr>
        <w:numPr>
          <w:ilvl w:val="0"/>
          <w:numId w:val="70"/>
        </w:numPr>
        <w:spacing w:line="360" w:after="210" w:lineRule="auto"/>
      </w:pPr>
      <w:hyperlink r:id="rId90">
        <w:r>
          <w:rPr>
            <w:rFonts w:eastAsia="inter" w:cs="inter" w:ascii="inter" w:hAnsi="inter"/>
            <w:color w:val="#000"/>
            <w:sz w:val="18"/>
            <w:u w:val="single"/>
          </w:rPr>
          <w:t xml:space="preserve">http://link.springer.com/10.1007/BF02312509</w:t>
        </w:r>
      </w:hyperlink>
      <w:r>
        <w:rPr>
          <w:rFonts w:eastAsia="inter" w:cs="inter" w:ascii="inter" w:hAnsi="inter"/>
          <w:color w:val="000000"/>
          <w:sz w:val="18"/>
        </w:rPr>
        <w:t xml:space="preserve"> </w:t>
      </w:r>
    </w:p>
    <w:bookmarkStart w:id="221" w:name="fn84"/>
    <w:bookmarkEnd w:id="221"/>
    <w:p>
      <w:pPr>
        <w:numPr>
          <w:ilvl w:val="0"/>
          <w:numId w:val="70"/>
        </w:numPr>
        <w:spacing w:line="360" w:after="210" w:lineRule="auto"/>
      </w:pPr>
      <w:hyperlink r:id="rId91">
        <w:r>
          <w:rPr>
            <w:rFonts w:eastAsia="inter" w:cs="inter" w:ascii="inter" w:hAnsi="inter"/>
            <w:color w:val="#000"/>
            <w:sz w:val="18"/>
            <w:u w:val="single"/>
          </w:rPr>
          <w:t xml:space="preserve">https://www.e3s-conferences.org/articles/e3sconf/pdf/2020/78/e3sconf_iseese2020_03004.pdf</w:t>
        </w:r>
      </w:hyperlink>
      <w:r>
        <w:rPr>
          <w:rFonts w:eastAsia="inter" w:cs="inter" w:ascii="inter" w:hAnsi="inter"/>
          <w:color w:val="000000"/>
          <w:sz w:val="18"/>
        </w:rPr>
        <w:t xml:space="preserve"> </w:t>
      </w:r>
    </w:p>
    <w:bookmarkStart w:id="222" w:name="fn85"/>
    <w:bookmarkEnd w:id="222"/>
    <w:p>
      <w:pPr>
        <w:numPr>
          <w:ilvl w:val="0"/>
          <w:numId w:val="70"/>
        </w:numPr>
        <w:spacing w:line="360" w:after="210" w:lineRule="auto"/>
      </w:pPr>
      <w:hyperlink r:id="rId92">
        <w:r>
          <w:rPr>
            <w:rFonts w:eastAsia="inter" w:cs="inter" w:ascii="inter" w:hAnsi="inter"/>
            <w:color w:val="#000"/>
            <w:sz w:val="18"/>
            <w:u w:val="single"/>
          </w:rPr>
          <w:t xml:space="preserve">https://www.mdpi.com/1911-8074/14/2/69/pdf?version=1612765763</w:t>
        </w:r>
      </w:hyperlink>
      <w:r>
        <w:rPr>
          <w:rFonts w:eastAsia="inter" w:cs="inter" w:ascii="inter" w:hAnsi="inter"/>
          <w:color w:val="000000"/>
          <w:sz w:val="18"/>
        </w:rPr>
        <w:t xml:space="preserve"> </w:t>
      </w:r>
    </w:p>
    <w:bookmarkStart w:id="223" w:name="fn86"/>
    <w:bookmarkEnd w:id="223"/>
    <w:p>
      <w:pPr>
        <w:numPr>
          <w:ilvl w:val="0"/>
          <w:numId w:val="70"/>
        </w:numPr>
        <w:spacing w:line="360" w:after="210" w:lineRule="auto"/>
      </w:pPr>
      <w:hyperlink r:id="rId93">
        <w:r>
          <w:rPr>
            <w:rFonts w:eastAsia="inter" w:cs="inter" w:ascii="inter" w:hAnsi="inter"/>
            <w:color w:val="#000"/>
            <w:sz w:val="18"/>
            <w:u w:val="single"/>
          </w:rPr>
          <w:t xml:space="preserve">http://arxiv.org/pdf/2402.03910.pdf</w:t>
        </w:r>
      </w:hyperlink>
      <w:r>
        <w:rPr>
          <w:rFonts w:eastAsia="inter" w:cs="inter" w:ascii="inter" w:hAnsi="inter"/>
          <w:color w:val="000000"/>
          <w:sz w:val="18"/>
        </w:rPr>
        <w:t xml:space="preserve"> </w:t>
      </w:r>
    </w:p>
    <w:bookmarkStart w:id="224" w:name="fn87"/>
    <w:bookmarkEnd w:id="224"/>
    <w:p>
      <w:pPr>
        <w:numPr>
          <w:ilvl w:val="0"/>
          <w:numId w:val="70"/>
        </w:numPr>
        <w:spacing w:line="360" w:after="210" w:lineRule="auto"/>
      </w:pPr>
      <w:hyperlink r:id="rId94">
        <w:r>
          <w:rPr>
            <w:rFonts w:eastAsia="inter" w:cs="inter" w:ascii="inter" w:hAnsi="inter"/>
            <w:color w:val="#000"/>
            <w:sz w:val="18"/>
            <w:u w:val="single"/>
          </w:rPr>
          <w:t xml:space="preserve">https://www.tandfonline.com/doi/pdf/10.1080/23311975.2022.2084970?needAccess=true</w:t>
        </w:r>
      </w:hyperlink>
      <w:r>
        <w:rPr>
          <w:rFonts w:eastAsia="inter" w:cs="inter" w:ascii="inter" w:hAnsi="inter"/>
          <w:color w:val="000000"/>
          <w:sz w:val="18"/>
        </w:rPr>
        <w:t xml:space="preserve"> </w:t>
      </w:r>
    </w:p>
    <w:bookmarkStart w:id="225" w:name="fn88"/>
    <w:bookmarkEnd w:id="225"/>
    <w:p>
      <w:pPr>
        <w:numPr>
          <w:ilvl w:val="0"/>
          <w:numId w:val="70"/>
        </w:numPr>
        <w:spacing w:line="360" w:after="210" w:lineRule="auto"/>
      </w:pPr>
      <w:hyperlink r:id="rId95">
        <w:r>
          <w:rPr>
            <w:rFonts w:eastAsia="inter" w:cs="inter" w:ascii="inter" w:hAnsi="inter"/>
            <w:color w:val="#000"/>
            <w:sz w:val="18"/>
            <w:u w:val="single"/>
          </w:rPr>
          <w:t xml:space="preserve">https://www.mdpi.com/2413-4155/6/3/37/pdf?version=1719807216</w:t>
        </w:r>
      </w:hyperlink>
      <w:r>
        <w:rPr>
          <w:rFonts w:eastAsia="inter" w:cs="inter" w:ascii="inter" w:hAnsi="inter"/>
          <w:color w:val="000000"/>
          <w:sz w:val="18"/>
        </w:rPr>
        <w:t xml:space="preserve"> </w:t>
      </w:r>
    </w:p>
    <w:bookmarkStart w:id="226" w:name="fn89"/>
    <w:bookmarkEnd w:id="226"/>
    <w:p>
      <w:pPr>
        <w:numPr>
          <w:ilvl w:val="0"/>
          <w:numId w:val="70"/>
        </w:numPr>
        <w:spacing w:line="360" w:after="210" w:lineRule="auto"/>
      </w:pPr>
      <w:hyperlink r:id="rId96">
        <w:r>
          <w:rPr>
            <w:rFonts w:eastAsia="inter" w:cs="inter" w:ascii="inter" w:hAnsi="inter"/>
            <w:color w:val="#000"/>
            <w:sz w:val="18"/>
            <w:u w:val="single"/>
          </w:rPr>
          <w:t xml:space="preserve">https://arxiv.org/pdf/2308.10046.pdf</w:t>
        </w:r>
      </w:hyperlink>
      <w:r>
        <w:rPr>
          <w:rFonts w:eastAsia="inter" w:cs="inter" w:ascii="inter" w:hAnsi="inter"/>
          <w:color w:val="000000"/>
          <w:sz w:val="18"/>
        </w:rPr>
        <w:t xml:space="preserve"> </w:t>
      </w:r>
    </w:p>
    <w:bookmarkStart w:id="227" w:name="fn90"/>
    <w:bookmarkEnd w:id="227"/>
    <w:p>
      <w:pPr>
        <w:numPr>
          <w:ilvl w:val="0"/>
          <w:numId w:val="70"/>
        </w:numPr>
        <w:spacing w:line="360" w:after="210" w:lineRule="auto"/>
      </w:pPr>
      <w:hyperlink r:id="rId97">
        <w:r>
          <w:rPr>
            <w:rFonts w:eastAsia="inter" w:cs="inter" w:ascii="inter" w:hAnsi="inter"/>
            <w:color w:val="#000"/>
            <w:sz w:val="18"/>
            <w:u w:val="single"/>
          </w:rPr>
          <w:t xml:space="preserve">https://downloads.hindawi.com/journals/wcmc/2022/7596094.pdf</w:t>
        </w:r>
      </w:hyperlink>
      <w:r>
        <w:rPr>
          <w:rFonts w:eastAsia="inter" w:cs="inter" w:ascii="inter" w:hAnsi="inter"/>
          <w:color w:val="000000"/>
          <w:sz w:val="18"/>
        </w:rPr>
        <w:t xml:space="preserve"> </w:t>
      </w:r>
    </w:p>
    <w:bookmarkStart w:id="228" w:name="fn91"/>
    <w:bookmarkEnd w:id="228"/>
    <w:p>
      <w:pPr>
        <w:numPr>
          <w:ilvl w:val="0"/>
          <w:numId w:val="70"/>
        </w:numPr>
        <w:spacing w:line="360" w:after="210" w:lineRule="auto"/>
      </w:pPr>
      <w:hyperlink r:id="rId98">
        <w:r>
          <w:rPr>
            <w:rFonts w:eastAsia="inter" w:cs="inter" w:ascii="inter" w:hAnsi="inter"/>
            <w:color w:val="#000"/>
            <w:sz w:val="18"/>
            <w:u w:val="single"/>
          </w:rPr>
          <w:t xml:space="preserve">https://ajpojournals.org/journals/index.php/AJSCM/article/download/2024/2440</w:t>
        </w:r>
      </w:hyperlink>
      <w:r>
        <w:rPr>
          <w:rFonts w:eastAsia="inter" w:cs="inter" w:ascii="inter" w:hAnsi="inter"/>
          <w:color w:val="000000"/>
          <w:sz w:val="18"/>
        </w:rPr>
        <w:t xml:space="preserve"> </w:t>
      </w:r>
    </w:p>
    <w:bookmarkStart w:id="229" w:name="fn92"/>
    <w:bookmarkEnd w:id="229"/>
    <w:p>
      <w:pPr>
        <w:numPr>
          <w:ilvl w:val="0"/>
          <w:numId w:val="70"/>
        </w:numPr>
        <w:spacing w:line="360" w:after="210" w:lineRule="auto"/>
      </w:pPr>
      <w:hyperlink r:id="rId99">
        <w:r>
          <w:rPr>
            <w:rFonts w:eastAsia="inter" w:cs="inter" w:ascii="inter" w:hAnsi="inter"/>
            <w:color w:val="#000"/>
            <w:sz w:val="18"/>
            <w:u w:val="single"/>
          </w:rPr>
          <w:t xml:space="preserve">https://www.linkedin.com/posts/tal-kaso-602b8b142_דלויט-ישראל-בעסקה-מפתיעה-רוכשת-חברה-מתחום-activity-7158505418938294275-5sSo</w:t>
        </w:r>
      </w:hyperlink>
      <w:r>
        <w:rPr>
          <w:rFonts w:eastAsia="inter" w:cs="inter" w:ascii="inter" w:hAnsi="inter"/>
          <w:color w:val="000000"/>
          <w:sz w:val="18"/>
        </w:rPr>
        <w:t xml:space="preserve"> </w:t>
      </w:r>
    </w:p>
    <w:bookmarkStart w:id="230" w:name="fn93"/>
    <w:bookmarkEnd w:id="230"/>
    <w:p>
      <w:pPr>
        <w:numPr>
          <w:ilvl w:val="0"/>
          <w:numId w:val="70"/>
        </w:numPr>
        <w:spacing w:line="360" w:after="210" w:lineRule="auto"/>
      </w:pPr>
      <w:hyperlink r:id="rId100">
        <w:r>
          <w:rPr>
            <w:rFonts w:eastAsia="inter" w:cs="inter" w:ascii="inter" w:hAnsi="inter"/>
            <w:color w:val="#000"/>
            <w:sz w:val="18"/>
            <w:u w:val="single"/>
          </w:rPr>
          <w:t xml:space="preserve">https://www.deloitte.com/il/en/services/consulting-financial/services/mergers-acquisitions.html</w:t>
        </w:r>
      </w:hyperlink>
      <w:r>
        <w:rPr>
          <w:rFonts w:eastAsia="inter" w:cs="inter" w:ascii="inter" w:hAnsi="inter"/>
          <w:color w:val="000000"/>
          <w:sz w:val="18"/>
        </w:rPr>
        <w:t xml:space="preserve"> </w:t>
      </w:r>
    </w:p>
    <w:bookmarkStart w:id="231" w:name="fn94"/>
    <w:bookmarkEnd w:id="231"/>
    <w:p>
      <w:pPr>
        <w:numPr>
          <w:ilvl w:val="0"/>
          <w:numId w:val="70"/>
        </w:numPr>
        <w:spacing w:line="360" w:after="210" w:lineRule="auto"/>
      </w:pPr>
      <w:hyperlink r:id="rId101">
        <w:r>
          <w:rPr>
            <w:rFonts w:eastAsia="inter" w:cs="inter" w:ascii="inter" w:hAnsi="inter"/>
            <w:color w:val="#000"/>
            <w:sz w:val="18"/>
            <w:u w:val="single"/>
          </w:rPr>
          <w:t xml:space="preserve">https://www.actuia.com/en/news/keyrus-strengthens-its-leadership-in-latin-america-with-two-strategic-acquisitions/</w:t>
        </w:r>
      </w:hyperlink>
      <w:r>
        <w:rPr>
          <w:rFonts w:eastAsia="inter" w:cs="inter" w:ascii="inter" w:hAnsi="inter"/>
          <w:color w:val="000000"/>
          <w:sz w:val="18"/>
        </w:rPr>
        <w:t xml:space="preserve"> </w:t>
      </w:r>
    </w:p>
    <w:bookmarkStart w:id="232" w:name="fn95"/>
    <w:bookmarkEnd w:id="232"/>
    <w:p>
      <w:pPr>
        <w:numPr>
          <w:ilvl w:val="0"/>
          <w:numId w:val="70"/>
        </w:numPr>
        <w:spacing w:line="360" w:after="210" w:lineRule="auto"/>
      </w:pPr>
      <w:hyperlink r:id="rId102">
        <w:r>
          <w:rPr>
            <w:rFonts w:eastAsia="inter" w:cs="inter" w:ascii="inter" w:hAnsi="inter"/>
            <w:color w:val="#000"/>
            <w:sz w:val="18"/>
            <w:u w:val="single"/>
          </w:rPr>
          <w:t xml:space="preserve">https://www.deloitte.com/il/en/services/consulting/services/systems-delivery-modernization.html</w:t>
        </w:r>
      </w:hyperlink>
      <w:r>
        <w:rPr>
          <w:rFonts w:eastAsia="inter" w:cs="inter" w:ascii="inter" w:hAnsi="inter"/>
          <w:color w:val="000000"/>
          <w:sz w:val="18"/>
        </w:rPr>
        <w:t xml:space="preserve"> </w:t>
      </w:r>
    </w:p>
    <w:bookmarkStart w:id="233" w:name="fn96"/>
    <w:bookmarkEnd w:id="233"/>
    <w:p>
      <w:pPr>
        <w:numPr>
          <w:ilvl w:val="0"/>
          <w:numId w:val="70"/>
        </w:numPr>
        <w:spacing w:line="360" w:after="210" w:lineRule="auto"/>
      </w:pPr>
      <w:hyperlink r:id="rId103">
        <w:r>
          <w:rPr>
            <w:rFonts w:eastAsia="inter" w:cs="inter" w:ascii="inter" w:hAnsi="inter"/>
            <w:color w:val="#000"/>
            <w:sz w:val="18"/>
            <w:u w:val="single"/>
          </w:rPr>
          <w:t xml:space="preserve">https://en.globes.co.il/en/article-tech-ma-deals-reach-new-peak-in-2024-report-1001496187</w:t>
        </w:r>
      </w:hyperlink>
      <w:r>
        <w:rPr>
          <w:rFonts w:eastAsia="inter" w:cs="inter" w:ascii="inter" w:hAnsi="inter"/>
          <w:color w:val="000000"/>
          <w:sz w:val="18"/>
        </w:rPr>
        <w:t xml:space="preserve"> </w:t>
      </w:r>
    </w:p>
    <w:bookmarkStart w:id="234" w:name="fn97"/>
    <w:bookmarkEnd w:id="234"/>
    <w:p>
      <w:pPr>
        <w:numPr>
          <w:ilvl w:val="0"/>
          <w:numId w:val="70"/>
        </w:numPr>
        <w:spacing w:line="360" w:after="210" w:lineRule="auto"/>
      </w:pPr>
      <w:hyperlink r:id="rId104">
        <w:r>
          <w:rPr>
            <w:rFonts w:eastAsia="inter" w:cs="inter" w:ascii="inter" w:hAnsi="inter"/>
            <w:color w:val="#000"/>
            <w:sz w:val="18"/>
            <w:u w:val="single"/>
          </w:rPr>
          <w:t xml:space="preserve">https://keyrus.com/mea/en/insights/axon-technologies-and-keyrus-announce-strategic-partnership</w:t>
        </w:r>
      </w:hyperlink>
      <w:r>
        <w:rPr>
          <w:rFonts w:eastAsia="inter" w:cs="inter" w:ascii="inter" w:hAnsi="inter"/>
          <w:color w:val="000000"/>
          <w:sz w:val="18"/>
        </w:rPr>
        <w:t xml:space="preserve"> </w:t>
      </w:r>
    </w:p>
    <w:bookmarkStart w:id="235" w:name="fn98"/>
    <w:bookmarkEnd w:id="235"/>
    <w:p>
      <w:pPr>
        <w:numPr>
          <w:ilvl w:val="0"/>
          <w:numId w:val="70"/>
        </w:numPr>
        <w:spacing w:line="360" w:after="210" w:lineRule="auto"/>
      </w:pPr>
      <w:hyperlink r:id="rId105">
        <w:r>
          <w:rPr>
            <w:rFonts w:eastAsia="inter" w:cs="inter" w:ascii="inter" w:hAnsi="inter"/>
            <w:color w:val="#000"/>
            <w:sz w:val="18"/>
            <w:u w:val="single"/>
          </w:rPr>
          <w:t xml:space="preserve">https://www.starburst.io/partner-listing/</w:t>
        </w:r>
      </w:hyperlink>
      <w:r>
        <w:rPr>
          <w:rFonts w:eastAsia="inter" w:cs="inter" w:ascii="inter" w:hAnsi="inter"/>
          <w:color w:val="000000"/>
          <w:sz w:val="18"/>
        </w:rPr>
        <w:t xml:space="preserve"> </w:t>
      </w:r>
    </w:p>
    <w:bookmarkStart w:id="236" w:name="fn99"/>
    <w:bookmarkEnd w:id="236"/>
    <w:p>
      <w:pPr>
        <w:numPr>
          <w:ilvl w:val="0"/>
          <w:numId w:val="70"/>
        </w:numPr>
        <w:spacing w:line="360" w:after="210" w:lineRule="auto"/>
      </w:pPr>
      <w:hyperlink r:id="rId106">
        <w:r>
          <w:rPr>
            <w:rFonts w:eastAsia="inter" w:cs="inter" w:ascii="inter" w:hAnsi="inter"/>
            <w:color w:val="#000"/>
            <w:sz w:val="18"/>
            <w:u w:val="single"/>
          </w:rPr>
          <w:t xml:space="preserve">https://www.deloitte.com/il/he/services/consulting/services/enterprise-technology-performance.html</w:t>
        </w:r>
      </w:hyperlink>
      <w:r>
        <w:rPr>
          <w:rFonts w:eastAsia="inter" w:cs="inter" w:ascii="inter" w:hAnsi="inter"/>
          <w:color w:val="000000"/>
          <w:sz w:val="18"/>
        </w:rPr>
        <w:t xml:space="preserve"> </w:t>
      </w:r>
    </w:p>
    <w:bookmarkStart w:id="237" w:name="fn100"/>
    <w:bookmarkEnd w:id="237"/>
    <w:p>
      <w:pPr>
        <w:numPr>
          <w:ilvl w:val="0"/>
          <w:numId w:val="70"/>
        </w:numPr>
        <w:spacing w:line="360" w:after="210" w:lineRule="auto"/>
      </w:pPr>
      <w:hyperlink r:id="rId107">
        <w:r>
          <w:rPr>
            <w:rFonts w:eastAsia="inter" w:cs="inter" w:ascii="inter" w:hAnsi="inter"/>
            <w:color w:val="#000"/>
            <w:sz w:val="18"/>
            <w:u w:val="single"/>
          </w:rPr>
          <w:t xml:space="preserve">https://www.deloitte.com/il/he/services/financial-advisory/perspectives/mergers-and-acquisitions-report-for-2024.html</w:t>
        </w:r>
      </w:hyperlink>
      <w:r>
        <w:rPr>
          <w:rFonts w:eastAsia="inter" w:cs="inter" w:ascii="inter" w:hAnsi="inter"/>
          <w:color w:val="000000"/>
          <w:sz w:val="18"/>
        </w:rPr>
        <w:t xml:space="preserve"> </w:t>
      </w:r>
    </w:p>
    <w:bookmarkStart w:id="238" w:name="fn101"/>
    <w:bookmarkEnd w:id="238"/>
    <w:p>
      <w:pPr>
        <w:numPr>
          <w:ilvl w:val="0"/>
          <w:numId w:val="70"/>
        </w:numPr>
        <w:spacing w:line="360" w:after="210" w:lineRule="auto"/>
      </w:pPr>
      <w:hyperlink r:id="rId108">
        <w:r>
          <w:rPr>
            <w:rFonts w:eastAsia="inter" w:cs="inter" w:ascii="inter" w:hAnsi="inter"/>
            <w:color w:val="#000"/>
            <w:sz w:val="18"/>
            <w:u w:val="single"/>
          </w:rPr>
          <w:t xml:space="preserve">https://www.deloitte.com/il/he/services/consulting/services/strategy-analytics-manda.html</w:t>
        </w:r>
      </w:hyperlink>
      <w:r>
        <w:rPr>
          <w:rFonts w:eastAsia="inter" w:cs="inter" w:ascii="inter" w:hAnsi="inter"/>
          <w:color w:val="000000"/>
          <w:sz w:val="18"/>
        </w:rPr>
        <w:t xml:space="preserve"> </w:t>
      </w:r>
    </w:p>
    <w:bookmarkStart w:id="239" w:name="fn102"/>
    <w:bookmarkEnd w:id="239"/>
    <w:p>
      <w:pPr>
        <w:numPr>
          <w:ilvl w:val="0"/>
          <w:numId w:val="70"/>
        </w:numPr>
        <w:spacing w:line="360" w:after="210" w:lineRule="auto"/>
      </w:pPr>
      <w:hyperlink r:id="rId109">
        <w:r>
          <w:rPr>
            <w:rFonts w:eastAsia="inter" w:cs="inter" w:ascii="inter" w:hAnsi="inter"/>
            <w:color w:val="#000"/>
            <w:sz w:val="18"/>
            <w:u w:val="single"/>
          </w:rPr>
          <w:t xml:space="preserve">https://www.deloitte.com/il/en/services/consulting/services/cloud.html</w:t>
        </w:r>
      </w:hyperlink>
      <w:r>
        <w:rPr>
          <w:rFonts w:eastAsia="inter" w:cs="inter" w:ascii="inter" w:hAnsi="inter"/>
          <w:color w:val="000000"/>
          <w:sz w:val="18"/>
        </w:rPr>
        <w:t xml:space="preserve"> </w:t>
      </w:r>
    </w:p>
    <w:bookmarkStart w:id="240" w:name="fn103"/>
    <w:bookmarkEnd w:id="240"/>
    <w:p>
      <w:pPr>
        <w:numPr>
          <w:ilvl w:val="0"/>
          <w:numId w:val="70"/>
        </w:numPr>
        <w:spacing w:line="360" w:after="210" w:lineRule="auto"/>
      </w:pPr>
      <w:hyperlink r:id="rId110">
        <w:r>
          <w:rPr>
            <w:rFonts w:eastAsia="inter" w:cs="inter" w:ascii="inter" w:hAnsi="inter"/>
            <w:color w:val="#000"/>
            <w:sz w:val="18"/>
            <w:u w:val="single"/>
          </w:rPr>
          <w:t xml:space="preserve">https://www.mdpi.com/2674-1032/2/3/28/pdf?version=1689760190</w:t>
        </w:r>
      </w:hyperlink>
      <w:r>
        <w:rPr>
          <w:rFonts w:eastAsia="inter" w:cs="inter" w:ascii="inter" w:hAnsi="inter"/>
          <w:color w:val="000000"/>
          <w:sz w:val="18"/>
        </w:rPr>
        <w:t xml:space="preserve"> </w:t>
      </w:r>
    </w:p>
    <w:bookmarkStart w:id="241" w:name="fn104"/>
    <w:bookmarkEnd w:id="241"/>
    <w:p>
      <w:pPr>
        <w:numPr>
          <w:ilvl w:val="0"/>
          <w:numId w:val="70"/>
        </w:numPr>
        <w:spacing w:line="360" w:after="210" w:lineRule="auto"/>
      </w:pPr>
      <w:hyperlink r:id="rId111">
        <w:r>
          <w:rPr>
            <w:rFonts w:eastAsia="inter" w:cs="inter" w:ascii="inter" w:hAnsi="inter"/>
            <w:color w:val="#000"/>
            <w:sz w:val="18"/>
            <w:u w:val="single"/>
          </w:rPr>
          <w:t xml:space="preserve">https://journals.sagepub.com/doi/pdf/10.1177/00081256231207429</w:t>
        </w:r>
      </w:hyperlink>
      <w:r>
        <w:rPr>
          <w:rFonts w:eastAsia="inter" w:cs="inter" w:ascii="inter" w:hAnsi="inter"/>
          <w:color w:val="000000"/>
          <w:sz w:val="18"/>
        </w:rPr>
        <w:t xml:space="preserve"> </w:t>
      </w:r>
    </w:p>
    <w:bookmarkStart w:id="242" w:name="fn105"/>
    <w:bookmarkEnd w:id="242"/>
    <w:p>
      <w:pPr>
        <w:numPr>
          <w:ilvl w:val="0"/>
          <w:numId w:val="70"/>
        </w:numPr>
        <w:spacing w:line="360" w:after="210" w:lineRule="auto"/>
      </w:pPr>
      <w:hyperlink r:id="rId112">
        <w:r>
          <w:rPr>
            <w:rFonts w:eastAsia="inter" w:cs="inter" w:ascii="inter" w:hAnsi="inter"/>
            <w:color w:val="#000"/>
            <w:sz w:val="18"/>
            <w:u w:val="single"/>
          </w:rPr>
          <w:t xml:space="preserve">https://www.mdpi.com/1911-8074/16/4/230/pdf?version=1680690687</w:t>
        </w:r>
      </w:hyperlink>
      <w:r>
        <w:rPr>
          <w:rFonts w:eastAsia="inter" w:cs="inter" w:ascii="inter" w:hAnsi="inter"/>
          <w:color w:val="000000"/>
          <w:sz w:val="18"/>
        </w:rPr>
        <w:t xml:space="preserve"> </w:t>
      </w:r>
    </w:p>
    <w:bookmarkStart w:id="243" w:name="fn106"/>
    <w:bookmarkEnd w:id="243"/>
    <w:p>
      <w:pPr>
        <w:numPr>
          <w:ilvl w:val="0"/>
          <w:numId w:val="70"/>
        </w:numPr>
        <w:spacing w:line="360" w:after="210" w:lineRule="auto"/>
      </w:pPr>
      <w:hyperlink r:id="rId113">
        <w:r>
          <w:rPr>
            <w:rFonts w:eastAsia="inter" w:cs="inter" w:ascii="inter" w:hAnsi="inter"/>
            <w:color w:val="#000"/>
            <w:sz w:val="18"/>
            <w:u w:val="single"/>
          </w:rPr>
          <w:t xml:space="preserve">https://www.mdpi.com/2674-1032/2/1/8/pdf?version=1677136736</w:t>
        </w:r>
      </w:hyperlink>
      <w:r>
        <w:rPr>
          <w:rFonts w:eastAsia="inter" w:cs="inter" w:ascii="inter" w:hAnsi="inter"/>
          <w:color w:val="000000"/>
          <w:sz w:val="18"/>
        </w:rPr>
        <w:t xml:space="preserve"> </w:t>
      </w:r>
    </w:p>
    <w:bookmarkStart w:id="244" w:name="fn107"/>
    <w:bookmarkEnd w:id="244"/>
    <w:p>
      <w:pPr>
        <w:numPr>
          <w:ilvl w:val="0"/>
          <w:numId w:val="70"/>
        </w:numPr>
        <w:spacing w:line="360" w:after="210" w:lineRule="auto"/>
      </w:pPr>
      <w:hyperlink r:id="rId114">
        <w:r>
          <w:rPr>
            <w:rFonts w:eastAsia="inter" w:cs="inter" w:ascii="inter" w:hAnsi="inter"/>
            <w:color w:val="#000"/>
            <w:sz w:val="18"/>
            <w:u w:val="single"/>
          </w:rPr>
          <w:t xml:space="preserve">https://www.mdpi.com/1911-8074/15/5/207/pdf?version=1651302894</w:t>
        </w:r>
      </w:hyperlink>
      <w:r>
        <w:rPr>
          <w:rFonts w:eastAsia="inter" w:cs="inter" w:ascii="inter" w:hAnsi="inter"/>
          <w:color w:val="000000"/>
          <w:sz w:val="18"/>
        </w:rPr>
        <w:t xml:space="preserve"> </w:t>
      </w:r>
    </w:p>
    <w:bookmarkStart w:id="245" w:name="fn108"/>
    <w:bookmarkEnd w:id="245"/>
    <w:p>
      <w:pPr>
        <w:numPr>
          <w:ilvl w:val="0"/>
          <w:numId w:val="70"/>
        </w:numPr>
        <w:spacing w:line="360" w:after="210" w:lineRule="auto"/>
      </w:pPr>
      <w:hyperlink r:id="rId115">
        <w:r>
          <w:rPr>
            <w:rFonts w:eastAsia="inter" w:cs="inter" w:ascii="inter" w:hAnsi="inter"/>
            <w:color w:val="#000"/>
            <w:sz w:val="18"/>
            <w:u w:val="single"/>
          </w:rPr>
          <w:t xml:space="preserve">https://www.tandfonline.com/doi/full/10.1080/07421222.2024.2340825</w:t>
        </w:r>
      </w:hyperlink>
      <w:r>
        <w:rPr>
          <w:rFonts w:eastAsia="inter" w:cs="inter" w:ascii="inter" w:hAnsi="inter"/>
          <w:color w:val="000000"/>
          <w:sz w:val="18"/>
        </w:rPr>
        <w:t xml:space="preserve"> </w:t>
      </w:r>
    </w:p>
    <w:bookmarkStart w:id="246" w:name="fn109"/>
    <w:bookmarkEnd w:id="246"/>
    <w:p>
      <w:pPr>
        <w:numPr>
          <w:ilvl w:val="0"/>
          <w:numId w:val="70"/>
        </w:numPr>
        <w:spacing w:line="360" w:after="210" w:lineRule="auto"/>
      </w:pPr>
      <w:hyperlink r:id="rId116">
        <w:r>
          <w:rPr>
            <w:rFonts w:eastAsia="inter" w:cs="inter" w:ascii="inter" w:hAnsi="inter"/>
            <w:color w:val="#000"/>
            <w:sz w:val="18"/>
            <w:u w:val="single"/>
          </w:rPr>
          <w:t xml:space="preserve">https://www.bankhapoalim.com/sites/bnhpcom/files/media/com/FinancialInformation/ESG_poalim_2024_English_digital_12.8.25.pdf</w:t>
        </w:r>
      </w:hyperlink>
      <w:r>
        <w:rPr>
          <w:rFonts w:eastAsia="inter" w:cs="inter" w:ascii="inter" w:hAnsi="inter"/>
          <w:color w:val="000000"/>
          <w:sz w:val="18"/>
        </w:rPr>
        <w:t xml:space="preserve"> </w:t>
      </w:r>
    </w:p>
    <w:bookmarkStart w:id="247" w:name="fn110"/>
    <w:bookmarkEnd w:id="247"/>
    <w:p>
      <w:pPr>
        <w:numPr>
          <w:ilvl w:val="0"/>
          <w:numId w:val="70"/>
        </w:numPr>
        <w:spacing w:line="360" w:after="210" w:lineRule="auto"/>
      </w:pPr>
      <w:hyperlink r:id="rId117">
        <w:r>
          <w:rPr>
            <w:rFonts w:eastAsia="inter" w:cs="inter" w:ascii="inter" w:hAnsi="inter"/>
            <w:color w:val="#000"/>
            <w:sz w:val="18"/>
            <w:u w:val="single"/>
          </w:rPr>
          <w:t xml:space="preserve">https://www.deloitte.com/il/he/Industries/banking-capital-markets/about.html</w:t>
        </w:r>
      </w:hyperlink>
      <w:r>
        <w:rPr>
          <w:rFonts w:eastAsia="inter" w:cs="inter" w:ascii="inter" w:hAnsi="inter"/>
          <w:color w:val="000000"/>
          <w:sz w:val="18"/>
        </w:rPr>
        <w:t xml:space="preserve"> </w:t>
      </w:r>
    </w:p>
    <w:bookmarkStart w:id="248" w:name="fn111"/>
    <w:bookmarkEnd w:id="248"/>
    <w:p>
      <w:pPr>
        <w:numPr>
          <w:ilvl w:val="0"/>
          <w:numId w:val="70"/>
        </w:numPr>
        <w:spacing w:line="360" w:after="210" w:lineRule="auto"/>
      </w:pPr>
      <w:hyperlink r:id="rId118">
        <w:r>
          <w:rPr>
            <w:rFonts w:eastAsia="inter" w:cs="inter" w:ascii="inter" w:hAnsi="inter"/>
            <w:color w:val="#000"/>
            <w:sz w:val="18"/>
            <w:u w:val="single"/>
          </w:rPr>
          <w:t xml:space="preserve">https://amandigital.co.il/case-studies/bank-hapoalim/</w:t>
        </w:r>
      </w:hyperlink>
      <w:r>
        <w:rPr>
          <w:rFonts w:eastAsia="inter" w:cs="inter" w:ascii="inter" w:hAnsi="inter"/>
          <w:color w:val="000000"/>
          <w:sz w:val="18"/>
        </w:rPr>
        <w:t xml:space="preserve"> </w:t>
      </w:r>
    </w:p>
    <w:bookmarkStart w:id="249" w:name="fn112"/>
    <w:bookmarkEnd w:id="249"/>
    <w:p>
      <w:pPr>
        <w:numPr>
          <w:ilvl w:val="0"/>
          <w:numId w:val="70"/>
        </w:numPr>
        <w:spacing w:line="360" w:after="210" w:lineRule="auto"/>
      </w:pPr>
      <w:hyperlink r:id="rId119">
        <w:r>
          <w:rPr>
            <w:rFonts w:eastAsia="inter" w:cs="inter" w:ascii="inter" w:hAnsi="inter"/>
            <w:color w:val="#000"/>
            <w:sz w:val="18"/>
            <w:u w:val="single"/>
          </w:rPr>
          <w:t xml:space="preserve">https://www.bankhapoalim.com/sites/bnhpcom/files/media/com/FinancialInformation/011992.pdf</w:t>
        </w:r>
      </w:hyperlink>
      <w:r>
        <w:rPr>
          <w:rFonts w:eastAsia="inter" w:cs="inter" w:ascii="inter" w:hAnsi="inter"/>
          <w:color w:val="000000"/>
          <w:sz w:val="18"/>
        </w:rPr>
        <w:t xml:space="preserve"> </w:t>
      </w:r>
    </w:p>
    <w:bookmarkStart w:id="250" w:name="fn113"/>
    <w:bookmarkEnd w:id="250"/>
    <w:p>
      <w:pPr>
        <w:numPr>
          <w:ilvl w:val="0"/>
          <w:numId w:val="70"/>
        </w:numPr>
        <w:spacing w:line="360" w:after="210" w:lineRule="auto"/>
      </w:pPr>
      <w:hyperlink r:id="rId120">
        <w:r>
          <w:rPr>
            <w:rFonts w:eastAsia="inter" w:cs="inter" w:ascii="inter" w:hAnsi="inter"/>
            <w:color w:val="#000"/>
            <w:sz w:val="18"/>
            <w:u w:val="single"/>
          </w:rPr>
          <w:t xml:space="preserve">https://www.deloitte.com/ua/en/events/genai-at-scale-unlocking-business-value-in-action.html</w:t>
        </w:r>
      </w:hyperlink>
      <w:r>
        <w:rPr>
          <w:rFonts w:eastAsia="inter" w:cs="inter" w:ascii="inter" w:hAnsi="inter"/>
          <w:color w:val="000000"/>
          <w:sz w:val="18"/>
        </w:rPr>
        <w:t xml:space="preserve"> </w:t>
      </w:r>
    </w:p>
    <w:bookmarkStart w:id="251" w:name="fn114"/>
    <w:bookmarkEnd w:id="251"/>
    <w:p>
      <w:pPr>
        <w:numPr>
          <w:ilvl w:val="0"/>
          <w:numId w:val="70"/>
        </w:numPr>
        <w:spacing w:line="360" w:after="210" w:lineRule="auto"/>
      </w:pPr>
      <w:hyperlink r:id="rId121">
        <w:r>
          <w:rPr>
            <w:rFonts w:eastAsia="inter" w:cs="inter" w:ascii="inter" w:hAnsi="inter"/>
            <w:color w:val="#000"/>
            <w:sz w:val="18"/>
            <w:u w:val="single"/>
          </w:rPr>
          <w:t xml:space="preserve">https://www.deloitte.com/il/he/what-we-do/case-studies-collection.html</w:t>
        </w:r>
      </w:hyperlink>
      <w:r>
        <w:rPr>
          <w:rFonts w:eastAsia="inter" w:cs="inter" w:ascii="inter" w:hAnsi="inter"/>
          <w:color w:val="000000"/>
          <w:sz w:val="18"/>
        </w:rPr>
        <w:t xml:space="preserve"> </w:t>
      </w:r>
    </w:p>
    <w:bookmarkStart w:id="252" w:name="fn115"/>
    <w:bookmarkEnd w:id="252"/>
    <w:p>
      <w:pPr>
        <w:numPr>
          <w:ilvl w:val="0"/>
          <w:numId w:val="70"/>
        </w:numPr>
        <w:spacing w:line="360" w:after="210" w:lineRule="auto"/>
      </w:pPr>
      <w:hyperlink r:id="rId122">
        <w:r>
          <w:rPr>
            <w:rFonts w:eastAsia="inter" w:cs="inter" w:ascii="inter" w:hAnsi="inter"/>
            <w:color w:val="#000"/>
            <w:sz w:val="18"/>
            <w:u w:val="single"/>
          </w:rPr>
          <w:t xml:space="preserve">https://www.oracle.com/il-en/partner/deloitte/</w:t>
        </w:r>
      </w:hyperlink>
      <w:r>
        <w:rPr>
          <w:rFonts w:eastAsia="inter" w:cs="inter" w:ascii="inter" w:hAnsi="inter"/>
          <w:color w:val="000000"/>
          <w:sz w:val="18"/>
        </w:rPr>
        <w:t xml:space="preserve"> </w:t>
      </w:r>
    </w:p>
    <w:bookmarkStart w:id="253" w:name="fn116"/>
    <w:bookmarkEnd w:id="253"/>
    <w:p>
      <w:pPr>
        <w:numPr>
          <w:ilvl w:val="0"/>
          <w:numId w:val="70"/>
        </w:numPr>
        <w:spacing w:line="360" w:after="210" w:lineRule="auto"/>
      </w:pPr>
      <w:hyperlink r:id="rId123">
        <w:r>
          <w:rPr>
            <w:rFonts w:eastAsia="inter" w:cs="inter" w:ascii="inter" w:hAnsi="inter"/>
            <w:color w:val="#000"/>
            <w:sz w:val="18"/>
            <w:u w:val="single"/>
          </w:rPr>
          <w:t xml:space="preserve">https://innovationisrael.org.il/wp-content/uploads/2025/05/AI-National-Program-en-14.5.25.pdf</w:t>
        </w:r>
      </w:hyperlink>
      <w:r>
        <w:rPr>
          <w:rFonts w:eastAsia="inter" w:cs="inter" w:ascii="inter" w:hAnsi="inter"/>
          <w:color w:val="000000"/>
          <w:sz w:val="18"/>
        </w:rPr>
        <w:t xml:space="preserve"> </w:t>
      </w:r>
    </w:p>
    <w:bookmarkStart w:id="254" w:name="fn117"/>
    <w:bookmarkEnd w:id="254"/>
    <w:p>
      <w:pPr>
        <w:numPr>
          <w:ilvl w:val="0"/>
          <w:numId w:val="70"/>
        </w:numPr>
        <w:spacing w:line="360" w:after="210" w:lineRule="auto"/>
      </w:pPr>
      <w:hyperlink r:id="rId124">
        <w:r>
          <w:rPr>
            <w:rFonts w:eastAsia="inter" w:cs="inter" w:ascii="inter" w:hAnsi="inter"/>
            <w:color w:val="#000"/>
            <w:sz w:val="18"/>
            <w:u w:val="single"/>
          </w:rPr>
          <w:t xml:space="preserve">https://www.facebook.com/startupnationcentral/posts/2024-brought-complexity-and-challenge-but-israels-tech-ecosystem-delivered-despi/924683086456299/</w:t>
        </w:r>
      </w:hyperlink>
      <w:r>
        <w:rPr>
          <w:rFonts w:eastAsia="inter" w:cs="inter" w:ascii="inter" w:hAnsi="inter"/>
          <w:color w:val="000000"/>
          <w:sz w:val="18"/>
        </w:rPr>
        <w:t xml:space="preserve"> </w:t>
      </w:r>
    </w:p>
    <w:bookmarkStart w:id="255" w:name="fn118"/>
    <w:bookmarkEnd w:id="255"/>
    <w:p>
      <w:pPr>
        <w:numPr>
          <w:ilvl w:val="0"/>
          <w:numId w:val="70"/>
        </w:numPr>
        <w:spacing w:line="360" w:after="210" w:lineRule="auto"/>
      </w:pPr>
      <w:hyperlink r:id="rId125">
        <w:r>
          <w:rPr>
            <w:rFonts w:eastAsia="inter" w:cs="inter" w:ascii="inter" w:hAnsi="inter"/>
            <w:color w:val="#000"/>
            <w:sz w:val="18"/>
            <w:u w:val="single"/>
          </w:rPr>
          <w:t xml:space="preserve">https://www.deloittedigital.com/us/en/hub/generative-ai-digital-product.html</w:t>
        </w:r>
      </w:hyperlink>
      <w:r>
        <w:rPr>
          <w:rFonts w:eastAsia="inter" w:cs="inter" w:ascii="inter" w:hAnsi="inter"/>
          <w:color w:val="000000"/>
          <w:sz w:val="18"/>
        </w:rPr>
        <w:t xml:space="preserve"> </w:t>
      </w:r>
    </w:p>
    <w:bookmarkStart w:id="256" w:name="fn119"/>
    <w:bookmarkEnd w:id="256"/>
    <w:p>
      <w:pPr>
        <w:numPr>
          <w:ilvl w:val="0"/>
          <w:numId w:val="70"/>
        </w:numPr>
        <w:spacing w:line="360" w:after="210" w:lineRule="auto"/>
      </w:pPr>
      <w:hyperlink r:id="rId126">
        <w:r>
          <w:rPr>
            <w:rFonts w:eastAsia="inter" w:cs="inter" w:ascii="inter" w:hAnsi="inter"/>
            <w:color w:val="#000"/>
            <w:sz w:val="18"/>
            <w:u w:val="single"/>
          </w:rPr>
          <w:t xml:space="preserve">https://www.deloitte.com/il/en/Industries/life-sciences-health-care/analysis/global-health-care-outlook.html</w:t>
        </w:r>
      </w:hyperlink>
      <w:r>
        <w:rPr>
          <w:rFonts w:eastAsia="inter" w:cs="inter" w:ascii="inter" w:hAnsi="inter"/>
          <w:color w:val="000000"/>
          <w:sz w:val="18"/>
        </w:rPr>
        <w:t xml:space="preserve"> </w:t>
      </w:r>
    </w:p>
    <w:bookmarkStart w:id="257" w:name="fn120"/>
    <w:bookmarkEnd w:id="257"/>
    <w:p>
      <w:pPr>
        <w:numPr>
          <w:ilvl w:val="0"/>
          <w:numId w:val="70"/>
        </w:numPr>
        <w:spacing w:line="360" w:after="210" w:lineRule="auto"/>
      </w:pPr>
      <w:hyperlink r:id="rId127">
        <w:r>
          <w:rPr>
            <w:rFonts w:eastAsia="inter" w:cs="inter" w:ascii="inter" w:hAnsi="inter"/>
            <w:color w:val="#000"/>
            <w:sz w:val="18"/>
            <w:u w:val="single"/>
          </w:rPr>
          <w:t xml:space="preserve">https://www.deloitte.com/il/en/Industries/technology/analysis/the-economic-impact-of-cloud-computing-in-israel-2024.html</w:t>
        </w:r>
      </w:hyperlink>
      <w:r>
        <w:rPr>
          <w:rFonts w:eastAsia="inter" w:cs="inter" w:ascii="inter" w:hAnsi="inter"/>
          <w:color w:val="000000"/>
          <w:sz w:val="18"/>
        </w:rPr>
        <w:t xml:space="preserve"> </w:t>
      </w:r>
    </w:p>
    <w:bookmarkStart w:id="258" w:name="fn121"/>
    <w:bookmarkEnd w:id="258"/>
    <w:p>
      <w:pPr>
        <w:numPr>
          <w:ilvl w:val="0"/>
          <w:numId w:val="70"/>
        </w:numPr>
        <w:spacing w:line="360" w:after="210" w:lineRule="auto"/>
      </w:pPr>
      <w:hyperlink r:id="rId128">
        <w:r>
          <w:rPr>
            <w:rFonts w:eastAsia="inter" w:cs="inter" w:ascii="inter" w:hAnsi="inter"/>
            <w:color w:val="#000"/>
            <w:sz w:val="18"/>
            <w:u w:val="single"/>
          </w:rPr>
          <w:t xml:space="preserve">https://www.orgvue.com/resources/webinars/ai-in-workforce-transformation-obstacles-risks-and-a-human-first-approach/</w:t>
        </w:r>
      </w:hyperlink>
      <w:r>
        <w:rPr>
          <w:rFonts w:eastAsia="inter" w:cs="inter" w:ascii="inter" w:hAnsi="inter"/>
          <w:color w:val="000000"/>
          <w:sz w:val="18"/>
        </w:rPr>
        <w:t xml:space="preserve"> </w:t>
      </w:r>
    </w:p>
    <w:bookmarkStart w:id="259" w:name="fn122"/>
    <w:bookmarkEnd w:id="259"/>
    <w:p>
      <w:pPr>
        <w:numPr>
          <w:ilvl w:val="0"/>
          <w:numId w:val="70"/>
        </w:numPr>
        <w:spacing w:line="360" w:after="210" w:lineRule="auto"/>
      </w:pPr>
      <w:hyperlink r:id="rId129">
        <w:r>
          <w:rPr>
            <w:rFonts w:eastAsia="inter" w:cs="inter" w:ascii="inter" w:hAnsi="inter"/>
            <w:color w:val="#000"/>
            <w:sz w:val="18"/>
            <w:u w:val="single"/>
          </w:rPr>
          <w:t xml:space="preserve">https://www.semanticscholar.org/paper/9084aad36cc30a622995cf78fc6274323428d24f</w:t>
        </w:r>
      </w:hyperlink>
      <w:r>
        <w:rPr>
          <w:rFonts w:eastAsia="inter" w:cs="inter" w:ascii="inter" w:hAnsi="inter"/>
          <w:color w:val="000000"/>
          <w:sz w:val="18"/>
        </w:rPr>
        <w:t xml:space="preserve"> </w:t>
      </w:r>
    </w:p>
    <w:bookmarkStart w:id="260" w:name="fn123"/>
    <w:bookmarkEnd w:id="260"/>
    <w:p>
      <w:pPr>
        <w:numPr>
          <w:ilvl w:val="0"/>
          <w:numId w:val="70"/>
        </w:numPr>
        <w:spacing w:line="360" w:after="210" w:lineRule="auto"/>
      </w:pPr>
      <w:hyperlink r:id="rId130">
        <w:r>
          <w:rPr>
            <w:rFonts w:eastAsia="inter" w:cs="inter" w:ascii="inter" w:hAnsi="inter"/>
            <w:color w:val="#000"/>
            <w:sz w:val="18"/>
            <w:u w:val="single"/>
          </w:rPr>
          <w:t xml:space="preserve">https://www.semanticscholar.org/paper/681431bcff213afd7c4666d2eb0e0f062345b631</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decimal"/>
      <w:lvlText w:val="%1."/>
      <w:lvlJc w:val="left"/>
      <w:pPr>
        <w:tabs>
          <w:tab w:val="num" w:pos="900"/>
        </w:tabs>
        <w:ind w:left="540" w:hanging="360"/>
      </w:p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decimal"/>
      <w:lvlText w:val="%1."/>
      <w:lvlJc w:val="left"/>
      <w:pPr>
        <w:tabs>
          <w:tab w:val="num" w:pos="900"/>
        </w:tabs>
        <w:ind w:left="540" w:hanging="360"/>
      </w:p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decimal"/>
      <w:lvlText w:val="%1."/>
      <w:lvlJc w:val="left"/>
      <w:pPr>
        <w:tabs>
          <w:tab w:val="num" w:pos="900"/>
        </w:tabs>
        <w:ind w:left="540" w:hanging="360"/>
      </w:p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abstractNum>
  <w:abstractNum w:abstractNumId="70">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fi-FI"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fi-FI"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ea4dafa551a475d0df3a7f12d0796d399912893f.png" TargetMode="Internal"/><Relationship Id="rId6" Type="http://schemas.openxmlformats.org/officeDocument/2006/relationships/hyperlink" Target="http://Gov.il" TargetMode="External"/><Relationship Id="rId7" Type="http://schemas.openxmlformats.org/officeDocument/2006/relationships/hyperlink" Target="http://Winn.ai" TargetMode="External"/><Relationship Id="rId8" Type="http://schemas.openxmlformats.org/officeDocument/2006/relationships/hyperlink" Target="https://www.deloitte.com/il/he/services/consulting/about/welcome-opteamizer.html" TargetMode="External"/><Relationship Id="rId9" Type="http://schemas.openxmlformats.org/officeDocument/2006/relationships/hyperlink" Target="https://www.bizportal.co.il/BizTech/news/article/822475" TargetMode="External"/><Relationship Id="rId10" Type="http://schemas.openxmlformats.org/officeDocument/2006/relationships/hyperlink" Target="https://www.linkedin.com/posts/deloitte_we-are-thrilled-to-announce-that-deloitte-activity-7158799567092641792-giOD" TargetMode="External"/><Relationship Id="rId11" Type="http://schemas.openxmlformats.org/officeDocument/2006/relationships/hyperlink" Target="https://bloomer.co.il/deloitte-%D7%A8%D7%95%D7%9B%D7%A9%D7%AA-%D7%90%D7%AA-%D7%A4%D7%A2%D7%99%D7%9C%D7%95%D7%AA%D7%94-%D7%A9%D7%9C-opteamizer/" TargetMode="External"/><Relationship Id="rId12" Type="http://schemas.openxmlformats.org/officeDocument/2006/relationships/hyperlink" Target="https://www.facebook.com/deloitteisrael/videos/future-of-retail-tech-promo/1083600938782860/?locale=he_IL" TargetMode="External"/><Relationship Id="rId13" Type="http://schemas.openxmlformats.org/officeDocument/2006/relationships/hyperlink" Target="https://www.calcalistech.com/ctech/articles/0,7340,L-3914732,00.html" TargetMode="External"/><Relationship Id="rId14" Type="http://schemas.openxmlformats.org/officeDocument/2006/relationships/hyperlink" Target="https://www.deloitte.com/il/he/what-we-do/Own-Tomorrow-With-Deloitte/data-and-ai.html" TargetMode="External"/><Relationship Id="rId15" Type="http://schemas.openxmlformats.org/officeDocument/2006/relationships/hyperlink" Target="https://solutionsmap.deloitte.co.il/en/organizations/growth/strategy-and-growth/data-capital/" TargetMode="External"/><Relationship Id="rId16" Type="http://schemas.openxmlformats.org/officeDocument/2006/relationships/hyperlink" Target="https://www.linkedin.com/posts/ranbergman_so-thursday-was-my-last-day-working-at-activity-7258815267462397952-N0GM" TargetMode="External"/><Relationship Id="rId17" Type="http://schemas.openxmlformats.org/officeDocument/2006/relationships/hyperlink" Target="https://www.deloitte.com/ca/en/products/cortex-ai.html" TargetMode="External"/><Relationship Id="rId18" Type="http://schemas.openxmlformats.org/officeDocument/2006/relationships/hyperlink" Target="https://www.prnewswire.com/news-releases/deloitte-launches-cortexai-platform-to-help-organizations-accelerate-applied-ai-in-the-age-of-with-301150922.html" TargetMode="External"/><Relationship Id="rId19" Type="http://schemas.openxmlformats.org/officeDocument/2006/relationships/hyperlink" Target="https://www.deloitte.com/us/en/alliances/nvidia-alliance.html" TargetMode="External"/><Relationship Id="rId20" Type="http://schemas.openxmlformats.org/officeDocument/2006/relationships/hyperlink" Target="https://www.deloitte.com/us/en/services/consulting/services/zora-generative-ai-agent.html" TargetMode="External"/><Relationship Id="rId21" Type="http://schemas.openxmlformats.org/officeDocument/2006/relationships/hyperlink" Target="https://www.deloitte.com/us/en/about/press-room/deloitte-unveils-zora-ai-agentic-ai-for-tomorrows-workforce.html" TargetMode="External"/><Relationship Id="rId22" Type="http://schemas.openxmlformats.org/officeDocument/2006/relationships/hyperlink" Target="https://www.prnewswire.com/news-releases/deloitte-to-integrate-zora-ai-with-sap-joule-agents-to-unlock-deep-reasoning-capabilities-302459808.html" TargetMode="External"/><Relationship Id="rId23" Type="http://schemas.openxmlformats.org/officeDocument/2006/relationships/hyperlink" Target="https://telecomtalk.info/oracle-deloitte-accenture-ntt-data-agentic-ai/992009/" TargetMode="External"/><Relationship Id="rId24" Type="http://schemas.openxmlformats.org/officeDocument/2006/relationships/hyperlink" Target="https://www.prnewswire.com/news-releases/deloitte-unveils-suite-of-ai-service-offerings-built-on-nvidia-platforms-301806468.html" TargetMode="External"/><Relationship Id="rId25" Type="http://schemas.openxmlformats.org/officeDocument/2006/relationships/hyperlink" Target="https://www.deloittedigital.com/nl/en/work/ai-meets-human-connection.html" TargetMode="External"/><Relationship Id="rId26" Type="http://schemas.openxmlformats.org/officeDocument/2006/relationships/hyperlink" Target="https://www.deloitte.com/gr/en/what-we-do/case-studies/investing-in-a-more-authentic-customer-experience.html" TargetMode="External"/><Relationship Id="rId27" Type="http://schemas.openxmlformats.org/officeDocument/2006/relationships/hyperlink" Target="https://www.deloitte.com/us/en/Industries/government-public/about/managed-ai-services.html" TargetMode="External"/><Relationship Id="rId28" Type="http://schemas.openxmlformats.org/officeDocument/2006/relationships/hyperlink" Target="https://www.executivebiz.com/articles/deloitte-silicon-to-service-ai-government-regulated-industries" TargetMode="External"/><Relationship Id="rId29" Type="http://schemas.openxmlformats.org/officeDocument/2006/relationships/hyperlink" Target="https://www.prnewswire.com/news-releases/deloitte-unveils-silicon-to-service-for-government-and-regulated-industries-built-with-dell-technologies-and-nvidia-302463294.html" TargetMode="External"/><Relationship Id="rId30" Type="http://schemas.openxmlformats.org/officeDocument/2006/relationships/hyperlink" Target="https://www.timesofisrael.com/amid-war-deloitte-kicks-off-7th-cohort-for-israel-startup-accelerator-program/" TargetMode="External"/><Relationship Id="rId31" Type="http://schemas.openxmlformats.org/officeDocument/2006/relationships/hyperlink" Target="https://www.calcalistech.com/ctechnews/article/rkqfh2vmc" TargetMode="External"/><Relationship Id="rId32" Type="http://schemas.openxmlformats.org/officeDocument/2006/relationships/hyperlink" Target="https://www.calcalistech.com/ctechnews/article/rkm1qbrrge" TargetMode="External"/><Relationship Id="rId33" Type="http://schemas.openxmlformats.org/officeDocument/2006/relationships/hyperlink" Target="https://www.calcalistech.com/ctechnews/article/hk7js0nwjg" TargetMode="External"/><Relationship Id="rId34" Type="http://schemas.openxmlformats.org/officeDocument/2006/relationships/hyperlink" Target="https://www.calcalistech.com/ctechnews/article/rysbkhwbee" TargetMode="External"/><Relationship Id="rId35" Type="http://schemas.openxmlformats.org/officeDocument/2006/relationships/hyperlink" Target="https://solutionsmap.deloitte.co.il/en/itt-solution/technology-consulting-implementation/" TargetMode="External"/><Relationship Id="rId36" Type="http://schemas.openxmlformats.org/officeDocument/2006/relationships/hyperlink" Target="https://solutionsmap.deloitte.co.il/en/catalyst/" TargetMode="External"/><Relationship Id="rId37" Type="http://schemas.openxmlformats.org/officeDocument/2006/relationships/hyperlink" Target="https://www.deloitte.com/il/en/services/consulting-financial/services/deloitte-catalyst.html" TargetMode="External"/><Relationship Id="rId38" Type="http://schemas.openxmlformats.org/officeDocument/2006/relationships/hyperlink" Target="https://cyber-report2025.deloitte.co.il" TargetMode="External"/><Relationship Id="rId39" Type="http://schemas.openxmlformats.org/officeDocument/2006/relationships/hyperlink" Target="https://www.scribd.com/document/821076075/Deloitte-Catalyst-F2-Venture-Capital-Future-Forward-Israel-s-AI-Expansion-Blueprint-2024" TargetMode="External"/><Relationship Id="rId40" Type="http://schemas.openxmlformats.org/officeDocument/2006/relationships/hyperlink" Target="https://www.deloitte.com/il/en/about/people/profiles.rani-argov+50d58676.html" TargetMode="External"/><Relationship Id="rId41" Type="http://schemas.openxmlformats.org/officeDocument/2006/relationships/hyperlink" Target="https://www.deloitte.com/il/he/about/people/profiles.rani-argov-he+8e7eaa71.html" TargetMode="External"/><Relationship Id="rId42" Type="http://schemas.openxmlformats.org/officeDocument/2006/relationships/hyperlink" Target="https://www2.deloitte.com/il/en/profiles/rani_argov.html" TargetMode="External"/><Relationship Id="rId43" Type="http://schemas.openxmlformats.org/officeDocument/2006/relationships/hyperlink" Target="https://il.linkedin.com/in/yair-laron-036b7065" TargetMode="External"/><Relationship Id="rId44" Type="http://schemas.openxmlformats.org/officeDocument/2006/relationships/hyperlink" Target="https://www.deloitte.com/il/en/about/people/profiles.yair-laron+ccaf768e.html" TargetMode="External"/><Relationship Id="rId45" Type="http://schemas.openxmlformats.org/officeDocument/2006/relationships/hyperlink" Target="https://www.deloitte.com/il/en/services/consulting/services/data-and-ai.html" TargetMode="External"/><Relationship Id="rId46" Type="http://schemas.openxmlformats.org/officeDocument/2006/relationships/hyperlink" Target="https://www.deloitte.com/il/en/about/recognition/accolades/stki2023.html" TargetMode="External"/><Relationship Id="rId47" Type="http://schemas.openxmlformats.org/officeDocument/2006/relationships/hyperlink" Target="https://en.wikipedia.org/wiki/Project_Nimbus" TargetMode="External"/><Relationship Id="rId48" Type="http://schemas.openxmlformats.org/officeDocument/2006/relationships/hyperlink" Target="https://www.jpost.com/jpost-tech/google-and-amazon-win-israels-nis-4b-nimbus-cloud-tender-665868" TargetMode="External"/><Relationship Id="rId49" Type="http://schemas.openxmlformats.org/officeDocument/2006/relationships/hyperlink" Target="https://main.knesset.gov.il/EN/activity/mmm/Cloud_computing.pdf" TargetMode="External"/><Relationship Id="rId50" Type="http://schemas.openxmlformats.org/officeDocument/2006/relationships/hyperlink" Target="https://www.deloitte.com/il/he/Industries/government-public/Gov-Tech.html" TargetMode="External"/><Relationship Id="rId51" Type="http://schemas.openxmlformats.org/officeDocument/2006/relationships/hyperlink" Target="https://www.deloitte.com/il/he/Industries/government-public/perspectives/digital-government.html" TargetMode="External"/><Relationship Id="rId52" Type="http://schemas.openxmlformats.org/officeDocument/2006/relationships/hyperlink" Target="https://www.deloitte.com/il/en/Industries/government-public/perspectives/digital-government.html" TargetMode="External"/><Relationship Id="rId53" Type="http://schemas.openxmlformats.org/officeDocument/2006/relationships/hyperlink" Target="https://aiisrael.org.il/press_release/the-winning-projects-in-the-governments-ai-open-call/" TargetMode="External"/><Relationship Id="rId54" Type="http://schemas.openxmlformats.org/officeDocument/2006/relationships/hyperlink" Target="https://www.matrix.co.il/nimbus/sap" TargetMode="External"/><Relationship Id="rId55" Type="http://schemas.openxmlformats.org/officeDocument/2006/relationships/hyperlink" Target="https://www.whoprofits.org/companies/company/4009?matrix-it" TargetMode="External"/><Relationship Id="rId56" Type="http://schemas.openxmlformats.org/officeDocument/2006/relationships/hyperlink" Target="https://www.ice.co.il/finance/news/article/1002682" TargetMode="External"/><Relationship Id="rId57" Type="http://schemas.openxmlformats.org/officeDocument/2006/relationships/hyperlink" Target="https://www.semanticscholar.org/paper/cf755cdb2e9c3cd56cacc74048179c7ded78ecf8" TargetMode="External"/><Relationship Id="rId58" Type="http://schemas.openxmlformats.org/officeDocument/2006/relationships/hyperlink" Target="https://ieeexplore.ieee.org/document/9944632/" TargetMode="External"/><Relationship Id="rId59" Type="http://schemas.openxmlformats.org/officeDocument/2006/relationships/hyperlink" Target="https://www.fortunejournals.com/articles/accelerating-minimap2-for-accurate-long-read-alignment-on-gpus.html" TargetMode="External"/><Relationship Id="rId60" Type="http://schemas.openxmlformats.org/officeDocument/2006/relationships/hyperlink" Target="https://www.semanticscholar.org/paper/73799fc014d51a40a66d0eae34139751f859b225" TargetMode="External"/><Relationship Id="rId61" Type="http://schemas.openxmlformats.org/officeDocument/2006/relationships/hyperlink" Target="https://www.semanticscholar.org/paper/6ceee8c7bd2dded036adafa77096333d6de400d9" TargetMode="External"/><Relationship Id="rId62" Type="http://schemas.openxmlformats.org/officeDocument/2006/relationships/hyperlink" Target="https://arxiv.org/html/2504.04982v1" TargetMode="External"/><Relationship Id="rId63" Type="http://schemas.openxmlformats.org/officeDocument/2006/relationships/hyperlink" Target="https://arxiv.org/pdf/2311.04417.pdf" TargetMode="External"/><Relationship Id="rId64" Type="http://schemas.openxmlformats.org/officeDocument/2006/relationships/hyperlink" Target="http://arxiv.org/pdf/2410.11199.pdf" TargetMode="External"/><Relationship Id="rId65" Type="http://schemas.openxmlformats.org/officeDocument/2006/relationships/hyperlink" Target="https://www.mdpi.com/1424-8220/20/21/6335/pdf" TargetMode="External"/><Relationship Id="rId66" Type="http://schemas.openxmlformats.org/officeDocument/2006/relationships/hyperlink" Target="https://arxiv.org/pdf/2203.01877.pdf" TargetMode="External"/><Relationship Id="rId67" Type="http://schemas.openxmlformats.org/officeDocument/2006/relationships/hyperlink" Target="https://arxiv.org/pdf/2309.05445.pdf" TargetMode="External"/><Relationship Id="rId68" Type="http://schemas.openxmlformats.org/officeDocument/2006/relationships/hyperlink" Target="https://arxiv.org/pdf/2409.03112.pdf" TargetMode="External"/><Relationship Id="rId69" Type="http://schemas.openxmlformats.org/officeDocument/2006/relationships/hyperlink" Target="https://arxiv.org/pdf/2402.04466.pdf" TargetMode="External"/><Relationship Id="rId70" Type="http://schemas.openxmlformats.org/officeDocument/2006/relationships/hyperlink" Target="https://techtime.co.il/2024/01/31/opteamizer-6/" TargetMode="External"/><Relationship Id="rId71" Type="http://schemas.openxmlformats.org/officeDocument/2006/relationships/hyperlink" Target="https://www.deloitte.com/us/en/alliances/nvidia-dgx-managed-services.html" TargetMode="External"/><Relationship Id="rId72" Type="http://schemas.openxmlformats.org/officeDocument/2006/relationships/hyperlink" Target="https://www.deloitte.com/il/en/services/consulting/services/end-to-end-digital-transformation.html" TargetMode="External"/><Relationship Id="rId73" Type="http://schemas.openxmlformats.org/officeDocument/2006/relationships/hyperlink" Target="https://solutionsmap.deloitte.co.il/en/organizations/growth/digital-transformation/digital-transformation/" TargetMode="External"/><Relationship Id="rId74" Type="http://schemas.openxmlformats.org/officeDocument/2006/relationships/hyperlink" Target="https://data-il.org/wp-content/uploads/2025/09/Human-Capital-AI-Report.pdf" TargetMode="External"/><Relationship Id="rId75" Type="http://schemas.openxmlformats.org/officeDocument/2006/relationships/hyperlink" Target="https://www.deloitte.com/us/en/alliances/aws/case-studies/digital-transformation.html" TargetMode="External"/><Relationship Id="rId76" Type="http://schemas.openxmlformats.org/officeDocument/2006/relationships/hyperlink" Target="https://www.facebook.com/deloitteisrael/photos/%D7%90%D7%A0%D7%95-%D7%A0%D7%A8%D7%92%D7%A9%D7%99%D7%9D-%D7%9C%D7%91%D7%A9%D7%A8-%D7%A2%D7%9C-%D7%94%D7%A6%D7%98%D7%A8%D7%A4%D7%95%D7%AA%D7%94-%D7%A9%D7%9C-opteamizer-%D7%9C%D7%A0%D7%91%D7%97%D7%A8%D7%AA-%D7%A9%D7%9C%D7%A0%D7%95-%D7%97%D7%91%D7%A8%D7%AA-opteamizer-%D7%9E%D7%AA%D7%9E%D7%97%D7%94-%D7%91%D7%A4%D7%AA%D7%A8/795633152579392/" TargetMode="External"/><Relationship Id="rId77" Type="http://schemas.openxmlformats.org/officeDocument/2006/relationships/hyperlink" Target="https://www.deloitte.com/il/he/about/story/facts-and-figures/2023-transparency-report.html" TargetMode="External"/><Relationship Id="rId78" Type="http://schemas.openxmlformats.org/officeDocument/2006/relationships/hyperlink" Target="https://www.tandfonline.com/doi/pdf/10.1080/08956308.2024.2280492?needAccess=true" TargetMode="External"/><Relationship Id="rId79" Type="http://schemas.openxmlformats.org/officeDocument/2006/relationships/hyperlink" Target="https://www.mdpi.com/2071-1050/15/16/12419/pdf?version=1692155456" TargetMode="External"/><Relationship Id="rId80" Type="http://schemas.openxmlformats.org/officeDocument/2006/relationships/hyperlink" Target="https://www.deloitte.com/il/en/about/people/profiles.tovi-kochav+b818a3d4.html" TargetMode="External"/><Relationship Id="rId81" Type="http://schemas.openxmlformats.org/officeDocument/2006/relationships/hyperlink" Target="https://www.mdpi.com/1424-8220/26/1/78" TargetMode="External"/><Relationship Id="rId82" Type="http://schemas.openxmlformats.org/officeDocument/2006/relationships/hyperlink" Target="https://opg.optica.org/abstract.cfm?URI=ao-62-22-5890" TargetMode="External"/><Relationship Id="rId83" Type="http://schemas.openxmlformats.org/officeDocument/2006/relationships/hyperlink" Target="http://services.igi-global.com/resolvedoi/resolve.aspx?doi=10.4018/978-1-7998-5074-8.ch012" TargetMode="External"/><Relationship Id="rId84" Type="http://schemas.openxmlformats.org/officeDocument/2006/relationships/hyperlink" Target="https://academic.oup.com/jac/article-lookup/doi/10.1093/jac/dkq467" TargetMode="External"/><Relationship Id="rId85" Type="http://schemas.openxmlformats.org/officeDocument/2006/relationships/hyperlink" Target="https://ieeexplore.ieee.org/document/8808884/" TargetMode="External"/><Relationship Id="rId86" Type="http://schemas.openxmlformats.org/officeDocument/2006/relationships/hyperlink" Target="https://pubs.acs.org/doi/10.1021/ac970006f" TargetMode="External"/><Relationship Id="rId87" Type="http://schemas.openxmlformats.org/officeDocument/2006/relationships/hyperlink" Target="https://www.semanticscholar.org/paper/575e8c4e365356a058f922efa7d31e6f343a3f6d" TargetMode="External"/><Relationship Id="rId88" Type="http://schemas.openxmlformats.org/officeDocument/2006/relationships/hyperlink" Target="https://www.semanticscholar.org/paper/5cf2f8464efad0527743583e45a37e20f3bebf43" TargetMode="External"/><Relationship Id="rId89" Type="http://schemas.openxmlformats.org/officeDocument/2006/relationships/hyperlink" Target="https://doi.apa.org/doi/10.1037/0090-5550.43.2.131" TargetMode="External"/><Relationship Id="rId90" Type="http://schemas.openxmlformats.org/officeDocument/2006/relationships/hyperlink" Target="http://link.springer.com/10.1007/BF02312509" TargetMode="External"/><Relationship Id="rId91" Type="http://schemas.openxmlformats.org/officeDocument/2006/relationships/hyperlink" Target="https://www.e3s-conferences.org/articles/e3sconf/pdf/2020/78/e3sconf_iseese2020_03004.pdf" TargetMode="External"/><Relationship Id="rId92" Type="http://schemas.openxmlformats.org/officeDocument/2006/relationships/hyperlink" Target="https://www.mdpi.com/1911-8074/14/2/69/pdf?version=1612765763" TargetMode="External"/><Relationship Id="rId93" Type="http://schemas.openxmlformats.org/officeDocument/2006/relationships/hyperlink" Target="http://arxiv.org/pdf/2402.03910.pdf" TargetMode="External"/><Relationship Id="rId94" Type="http://schemas.openxmlformats.org/officeDocument/2006/relationships/hyperlink" Target="https://www.tandfonline.com/doi/pdf/10.1080/23311975.2022.2084970?needAccess=true" TargetMode="External"/><Relationship Id="rId95" Type="http://schemas.openxmlformats.org/officeDocument/2006/relationships/hyperlink" Target="https://www.mdpi.com/2413-4155/6/3/37/pdf?version=1719807216" TargetMode="External"/><Relationship Id="rId96" Type="http://schemas.openxmlformats.org/officeDocument/2006/relationships/hyperlink" Target="https://arxiv.org/pdf/2308.10046.pdf" TargetMode="External"/><Relationship Id="rId97" Type="http://schemas.openxmlformats.org/officeDocument/2006/relationships/hyperlink" Target="https://downloads.hindawi.com/journals/wcmc/2022/7596094.pdf" TargetMode="External"/><Relationship Id="rId98" Type="http://schemas.openxmlformats.org/officeDocument/2006/relationships/hyperlink" Target="https://ajpojournals.org/journals/index.php/AJSCM/article/download/2024/2440" TargetMode="External"/><Relationship Id="rId99" Type="http://schemas.openxmlformats.org/officeDocument/2006/relationships/hyperlink" Target="https://www.linkedin.com/posts/tal-kaso-602b8b142_%D7%93%D7%9C%D7%95%D7%99%D7%98-%D7%99%D7%A9%D7%A8%D7%90%D7%9C-%D7%91%D7%A2%D7%A1%D7%A7%D7%94-%D7%9E%D7%A4%D7%AA%D7%99%D7%A2%D7%94-%D7%A8%D7%95%D7%9B%D7%A9%D7%AA-%D7%97%D7%91%D7%A8%D7%94-%D7%9E%D7%AA%D7%97%D7%95%D7%9D-activity-7158505418938294275-5sSo" TargetMode="External"/><Relationship Id="rId100" Type="http://schemas.openxmlformats.org/officeDocument/2006/relationships/hyperlink" Target="https://www.deloitte.com/il/en/services/consulting-financial/services/mergers-acquisitions.html" TargetMode="External"/><Relationship Id="rId101" Type="http://schemas.openxmlformats.org/officeDocument/2006/relationships/hyperlink" Target="https://www.actuia.com/en/news/keyrus-strengthens-its-leadership-in-latin-america-with-two-strategic-acquisitions/" TargetMode="External"/><Relationship Id="rId102" Type="http://schemas.openxmlformats.org/officeDocument/2006/relationships/hyperlink" Target="https://www.deloitte.com/il/en/services/consulting/services/systems-delivery-modernization.html" TargetMode="External"/><Relationship Id="rId103" Type="http://schemas.openxmlformats.org/officeDocument/2006/relationships/hyperlink" Target="https://en.globes.co.il/en/article-tech-ma-deals-reach-new-peak-in-2024-report-1001496187" TargetMode="External"/><Relationship Id="rId104" Type="http://schemas.openxmlformats.org/officeDocument/2006/relationships/hyperlink" Target="https://keyrus.com/mea/en/insights/axon-technologies-and-keyrus-announce-strategic-partnership" TargetMode="External"/><Relationship Id="rId105" Type="http://schemas.openxmlformats.org/officeDocument/2006/relationships/hyperlink" Target="https://www.starburst.io/partner-listing/" TargetMode="External"/><Relationship Id="rId106" Type="http://schemas.openxmlformats.org/officeDocument/2006/relationships/hyperlink" Target="https://www.deloitte.com/il/he/services/consulting/services/enterprise-technology-performance.html" TargetMode="External"/><Relationship Id="rId107" Type="http://schemas.openxmlformats.org/officeDocument/2006/relationships/hyperlink" Target="https://www.deloitte.com/il/he/services/financial-advisory/perspectives/mergers-and-acquisitions-report-for-2024.html" TargetMode="External"/><Relationship Id="rId108" Type="http://schemas.openxmlformats.org/officeDocument/2006/relationships/hyperlink" Target="https://www.deloitte.com/il/he/services/consulting/services/strategy-analytics-manda.html" TargetMode="External"/><Relationship Id="rId109" Type="http://schemas.openxmlformats.org/officeDocument/2006/relationships/hyperlink" Target="https://www.deloitte.com/il/en/services/consulting/services/cloud.html" TargetMode="External"/><Relationship Id="rId110" Type="http://schemas.openxmlformats.org/officeDocument/2006/relationships/hyperlink" Target="https://www.mdpi.com/2674-1032/2/3/28/pdf?version=1689760190" TargetMode="External"/><Relationship Id="rId111" Type="http://schemas.openxmlformats.org/officeDocument/2006/relationships/hyperlink" Target="https://journals.sagepub.com/doi/pdf/10.1177/00081256231207429" TargetMode="External"/><Relationship Id="rId112" Type="http://schemas.openxmlformats.org/officeDocument/2006/relationships/hyperlink" Target="https://www.mdpi.com/1911-8074/16/4/230/pdf?version=1680690687" TargetMode="External"/><Relationship Id="rId113" Type="http://schemas.openxmlformats.org/officeDocument/2006/relationships/hyperlink" Target="https://www.mdpi.com/2674-1032/2/1/8/pdf?version=1677136736" TargetMode="External"/><Relationship Id="rId114" Type="http://schemas.openxmlformats.org/officeDocument/2006/relationships/hyperlink" Target="https://www.mdpi.com/1911-8074/15/5/207/pdf?version=1651302894" TargetMode="External"/><Relationship Id="rId115" Type="http://schemas.openxmlformats.org/officeDocument/2006/relationships/hyperlink" Target="https://www.tandfonline.com/doi/full/10.1080/07421222.2024.2340825" TargetMode="External"/><Relationship Id="rId116" Type="http://schemas.openxmlformats.org/officeDocument/2006/relationships/hyperlink" Target="https://www.bankhapoalim.com/sites/bnhpcom/files/media/com/FinancialInformation/ESG_poalim_2024_English_digital_12.8.25.pdf" TargetMode="External"/><Relationship Id="rId117" Type="http://schemas.openxmlformats.org/officeDocument/2006/relationships/hyperlink" Target="https://www.deloitte.com/il/he/Industries/banking-capital-markets/about.html" TargetMode="External"/><Relationship Id="rId118" Type="http://schemas.openxmlformats.org/officeDocument/2006/relationships/hyperlink" Target="https://amandigital.co.il/case-studies/bank-hapoalim/" TargetMode="External"/><Relationship Id="rId119" Type="http://schemas.openxmlformats.org/officeDocument/2006/relationships/hyperlink" Target="https://www.bankhapoalim.com/sites/bnhpcom/files/media/com/FinancialInformation/011992.pdf" TargetMode="External"/><Relationship Id="rId120" Type="http://schemas.openxmlformats.org/officeDocument/2006/relationships/hyperlink" Target="https://www.deloitte.com/ua/en/events/genai-at-scale-unlocking-business-value-in-action.html" TargetMode="External"/><Relationship Id="rId121" Type="http://schemas.openxmlformats.org/officeDocument/2006/relationships/hyperlink" Target="https://www.deloitte.com/il/he/what-we-do/case-studies-collection.html" TargetMode="External"/><Relationship Id="rId122" Type="http://schemas.openxmlformats.org/officeDocument/2006/relationships/hyperlink" Target="https://www.oracle.com/il-en/partner/deloitte/" TargetMode="External"/><Relationship Id="rId123" Type="http://schemas.openxmlformats.org/officeDocument/2006/relationships/hyperlink" Target="https://innovationisrael.org.il/wp-content/uploads/2025/05/AI-National-Program-en-14.5.25.pdf" TargetMode="External"/><Relationship Id="rId124" Type="http://schemas.openxmlformats.org/officeDocument/2006/relationships/hyperlink" Target="https://www.facebook.com/startupnationcentral/posts/2024-brought-complexity-and-challenge-but-israels-tech-ecosystem-delivered-despi/924683086456299/" TargetMode="External"/><Relationship Id="rId125" Type="http://schemas.openxmlformats.org/officeDocument/2006/relationships/hyperlink" Target="https://www.deloittedigital.com/us/en/hub/generative-ai-digital-product.html" TargetMode="External"/><Relationship Id="rId126" Type="http://schemas.openxmlformats.org/officeDocument/2006/relationships/hyperlink" Target="https://www.deloitte.com/il/en/Industries/life-sciences-health-care/analysis/global-health-care-outlook.html" TargetMode="External"/><Relationship Id="rId127" Type="http://schemas.openxmlformats.org/officeDocument/2006/relationships/hyperlink" Target="https://www.deloitte.com/il/en/Industries/technology/analysis/the-economic-impact-of-cloud-computing-in-israel-2024.html" TargetMode="External"/><Relationship Id="rId128" Type="http://schemas.openxmlformats.org/officeDocument/2006/relationships/hyperlink" Target="https://www.orgvue.com/resources/webinars/ai-in-workforce-transformation-obstacles-risks-and-a-human-first-approach/" TargetMode="External"/><Relationship Id="rId129" Type="http://schemas.openxmlformats.org/officeDocument/2006/relationships/hyperlink" Target="https://www.semanticscholar.org/paper/9084aad36cc30a622995cf78fc6274323428d24f" TargetMode="External"/><Relationship Id="rId130" Type="http://schemas.openxmlformats.org/officeDocument/2006/relationships/hyperlink" Target="https://www.semanticscholar.org/paper/681431bcff213afd7c4666d2eb0e0f062345b631"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2026-01-18T18:19:10.440Z</dcterms:created>
  <dcterms:modified xsi:type="dcterms:W3CDTF">2026-01-18T18:19:10.440Z</dcterms:modified>
</cp:coreProperties>
</file>