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1eefc6b2a6e316ab0041f878c46a71411d19f4c1.png"/>
            <a:graphic>
              <a:graphicData uri="http://schemas.openxmlformats.org/drawingml/2006/picture">
                <pic:pic>
                  <pic:nvPicPr>
                    <pic:cNvPr id="1" name="image-1eefc6b2a6e316ab0041f878c46a71411d19f4c1.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strategic_deep_dive_ey_israel_ai_e0c909"/>
      <w:r>
        <w:rPr>
          <w:rFonts w:eastAsia="inter" w:cs="inter" w:ascii="inter" w:hAnsi="inter"/>
          <w:b/>
          <w:color w:val="000000"/>
          <w:sz w:val="39"/>
        </w:rPr>
        <w:t xml:space="preserve">Strategic Deep-Dive: EY Israel AI &amp; Digital Transformation (2025-2026)</w:t>
      </w:r>
      <w:bookmarkEnd w:id="0"/>
    </w:p>
    <w:p>
      <w:pPr>
        <w:spacing w:line="360" w:after="210" w:lineRule="auto"/>
      </w:pPr>
      <w:r>
        <w:rPr>
          <w:rFonts w:eastAsia="inter" w:cs="inter" w:ascii="inter" w:hAnsi="inter"/>
          <w:color w:val="000000"/>
        </w:rPr>
        <w:t xml:space="preserve">Objective: Uncover how EY Israel uses "Trust, Governance, and Compliance" as a Trojan Horse to win large-scale AI implementation projects. We need to find their specific local assets and their "Responsible AI" methodology.</w:t>
      </w:r>
    </w:p>
    <w:p>
      <w:pPr>
        <w:numPr>
          <w:ilvl w:val="0"/>
          <w:numId w:val="1"/>
        </w:numPr>
        <w:spacing w:line="360" w:before="105" w:after="105" w:lineRule="auto"/>
      </w:pPr>
      <w:r>
        <w:rPr>
          <w:rFonts w:eastAsia="inter" w:cs="inter" w:ascii="inter" w:hAnsi="inter"/>
          <w:color w:val="000000"/>
          <w:sz w:val="21"/>
        </w:rPr>
        <w:t xml:space="preserve">The "Responsible AI" Framework (</w:t>
      </w:r>
      <w:hyperlink r:id="rId6">
        <w:r>
          <w:rPr>
            <w:rFonts w:eastAsia="inter" w:cs="inter" w:ascii="inter" w:hAnsi="inter"/>
            <w:color w:val="#000"/>
            <w:sz w:val="21"/>
            <w:u w:val="single"/>
          </w:rPr>
          <w:t xml:space="preserve">EY.ai</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Search for: "</w:t>
      </w:r>
      <w:hyperlink r:id="rId7">
        <w:r>
          <w:rPr>
            <w:rFonts w:eastAsia="inter" w:cs="inter" w:ascii="inter" w:hAnsi="inter"/>
            <w:color w:val="#000"/>
            <w:sz w:val="21"/>
            <w:u w:val="single"/>
          </w:rPr>
          <w:t xml:space="preserve">EY.ai</w:t>
        </w:r>
      </w:hyperlink>
      <w:r>
        <w:rPr>
          <w:rFonts w:eastAsia="inter" w:cs="inter" w:ascii="inter" w:hAnsi="inter"/>
          <w:color w:val="000000"/>
          <w:sz w:val="21"/>
        </w:rPr>
        <w:t xml:space="preserve"> Confidence platform", "EY Israel Responsible AI framework", "EY AI governance and ethics Israel".</w:t>
      </w:r>
      <w:r>
        <w:rPr>
          <w:rFonts w:eastAsia="inter" w:cs="inter" w:ascii="inter" w:hAnsi="inter"/>
          <w:color w:val="000000"/>
          <w:sz w:val="21"/>
        </w:rPr>
        <w:br w:type="textWrapping"/>
      </w:r>
      <w:r>
        <w:rPr>
          <w:rFonts w:eastAsia="inter" w:cs="inter" w:ascii="inter" w:hAnsi="inter"/>
          <w:color w:val="000000"/>
          <w:sz w:val="21"/>
        </w:rPr>
        <w:t xml:space="preserve">Goal: Identify the specific tools they use to "audit" AI models. Do they have a local team in Israel that performs "AI Risk Assessments"?</w:t>
      </w:r>
      <w:r>
        <w:rPr>
          <w:rFonts w:eastAsia="inter" w:cs="inter" w:ascii="inter" w:hAnsi="inter"/>
          <w:color w:val="000000"/>
          <w:sz w:val="21"/>
        </w:rPr>
        <w:br w:type="textWrapping"/>
      </w:r>
      <w:r>
        <w:rPr>
          <w:rFonts w:eastAsia="inter" w:cs="inter" w:ascii="inter" w:hAnsi="inter"/>
          <w:color w:val="000000"/>
          <w:sz w:val="21"/>
        </w:rPr>
        <w:t xml:space="preserve">The "Hook": How do they sell "Confidence" to Israeli banks (Leumi, Discount, Mizrahi) as a prerequisite for GenAI deployment?</w:t>
      </w:r>
    </w:p>
    <w:p>
      <w:pPr>
        <w:numPr>
          <w:ilvl w:val="0"/>
          <w:numId w:val="1"/>
        </w:numPr>
        <w:spacing w:line="360" w:before="105" w:after="105" w:lineRule="auto"/>
      </w:pPr>
      <w:r>
        <w:rPr>
          <w:rFonts w:eastAsia="inter" w:cs="inter" w:ascii="inter" w:hAnsi="inter"/>
          <w:color w:val="000000"/>
          <w:sz w:val="21"/>
        </w:rPr>
        <w:t xml:space="preserve">Local Tech Capabilities &amp; "EY Wavespace":</w:t>
      </w:r>
      <w:r>
        <w:rPr>
          <w:rFonts w:eastAsia="inter" w:cs="inter" w:ascii="inter" w:hAnsi="inter"/>
          <w:color w:val="000000"/>
          <w:sz w:val="21"/>
        </w:rPr>
        <w:br w:type="textWrapping"/>
      </w:r>
      <w:r>
        <w:rPr>
          <w:rFonts w:eastAsia="inter" w:cs="inter" w:ascii="inter" w:hAnsi="inter"/>
          <w:color w:val="000000"/>
          <w:sz w:val="21"/>
        </w:rPr>
        <w:t xml:space="preserve">Search for: "EY Wavespace Tel Aviv AI sessions", "EY Israel digital factory", "EY Israel technical delivery team".</w:t>
      </w:r>
      <w:r>
        <w:rPr>
          <w:rFonts w:eastAsia="inter" w:cs="inter" w:ascii="inter" w:hAnsi="inter"/>
          <w:color w:val="000000"/>
          <w:sz w:val="21"/>
        </w:rPr>
        <w:br w:type="textWrapping"/>
      </w:r>
      <w:r>
        <w:rPr>
          <w:rFonts w:eastAsia="inter" w:cs="inter" w:ascii="inter" w:hAnsi="inter"/>
          <w:color w:val="000000"/>
          <w:sz w:val="21"/>
        </w:rPr>
        <w:t xml:space="preserve">Goal: Do they have hands-on developers in Israel or do they only do "Governance"? Look for evidence of EY Israel building actual products or dashboards for clients.</w:t>
      </w:r>
    </w:p>
    <w:p>
      <w:pPr>
        <w:numPr>
          <w:ilvl w:val="0"/>
          <w:numId w:val="1"/>
        </w:numPr>
        <w:spacing w:line="360" w:before="105" w:after="105" w:lineRule="auto"/>
      </w:pPr>
      <w:r>
        <w:rPr>
          <w:rFonts w:eastAsia="inter" w:cs="inter" w:ascii="inter" w:hAnsi="inter"/>
          <w:color w:val="000000"/>
          <w:sz w:val="21"/>
        </w:rPr>
        <w:t xml:space="preserve">Strategic Partnerships (The Microsoft Play):</w:t>
      </w:r>
      <w:r>
        <w:rPr>
          <w:rFonts w:eastAsia="inter" w:cs="inter" w:ascii="inter" w:hAnsi="inter"/>
          <w:color w:val="000000"/>
          <w:sz w:val="21"/>
        </w:rPr>
        <w:br w:type="textWrapping"/>
      </w:r>
      <w:r>
        <w:rPr>
          <w:rFonts w:eastAsia="inter" w:cs="inter" w:ascii="inter" w:hAnsi="inter"/>
          <w:color w:val="000000"/>
          <w:sz w:val="21"/>
        </w:rPr>
        <w:t xml:space="preserve">Search for: "EY Israel Microsoft Azure AI partnership", "EY and SAP GenAI Israel", "EY Israel NVIDIA alliance".</w:t>
      </w:r>
      <w:r>
        <w:rPr>
          <w:rFonts w:eastAsia="inter" w:cs="inter" w:ascii="inter" w:hAnsi="inter"/>
          <w:color w:val="000000"/>
          <w:sz w:val="21"/>
        </w:rPr>
        <w:br w:type="textWrapping"/>
      </w:r>
      <w:r>
        <w:rPr>
          <w:rFonts w:eastAsia="inter" w:cs="inter" w:ascii="inter" w:hAnsi="inter"/>
          <w:color w:val="000000"/>
          <w:sz w:val="21"/>
        </w:rPr>
        <w:t xml:space="preserve">Goal: EY has a massive global alliance with Microsoft. How does this manifest in Israel? Do they act as the preferred integrator for Azure OpenAI in large Israeli enterprises?</w:t>
      </w:r>
    </w:p>
    <w:p>
      <w:pPr>
        <w:numPr>
          <w:ilvl w:val="0"/>
          <w:numId w:val="1"/>
        </w:numPr>
        <w:spacing w:line="360" w:before="105" w:after="105" w:lineRule="auto"/>
      </w:pPr>
      <w:r>
        <w:rPr>
          <w:rFonts w:eastAsia="inter" w:cs="inter" w:ascii="inter" w:hAnsi="inter"/>
          <w:color w:val="000000"/>
          <w:sz w:val="21"/>
        </w:rPr>
        <w:t xml:space="preserve">Alliances &amp; Acquisitions (The "Invisible" Competitor):</w:t>
      </w:r>
      <w:r>
        <w:rPr>
          <w:rFonts w:eastAsia="inter" w:cs="inter" w:ascii="inter" w:hAnsi="inter"/>
          <w:color w:val="000000"/>
          <w:sz w:val="21"/>
        </w:rPr>
        <w:br w:type="textWrapping"/>
      </w:r>
      <w:r>
        <w:rPr>
          <w:rFonts w:eastAsia="inter" w:cs="inter" w:ascii="inter" w:hAnsi="inter"/>
          <w:color w:val="000000"/>
          <w:sz w:val="21"/>
        </w:rPr>
        <w:t xml:space="preserve">Search for: "EY Israel acquires tech boutique", "EY Israel data &amp; analytics team expansion", "EY Israel cybersecurity services".</w:t>
      </w:r>
      <w:r>
        <w:rPr>
          <w:rFonts w:eastAsia="inter" w:cs="inter" w:ascii="inter" w:hAnsi="inter"/>
          <w:color w:val="000000"/>
          <w:sz w:val="21"/>
        </w:rPr>
        <w:br w:type="textWrapping"/>
      </w:r>
      <w:r>
        <w:rPr>
          <w:rFonts w:eastAsia="inter" w:cs="inter" w:ascii="inter" w:hAnsi="inter"/>
          <w:color w:val="000000"/>
          <w:sz w:val="21"/>
        </w:rPr>
        <w:t xml:space="preserve">Goal: Identify any local acquisitions or key hires from IT companies (like Matrix, Elad, or Aman) in the last 24 months.</w:t>
      </w:r>
    </w:p>
    <w:p>
      <w:pPr>
        <w:numPr>
          <w:ilvl w:val="0"/>
          <w:numId w:val="1"/>
        </w:numPr>
        <w:spacing w:line="360" w:before="105" w:after="105" w:lineRule="auto"/>
      </w:pPr>
      <w:r>
        <w:rPr>
          <w:rFonts w:eastAsia="inter" w:cs="inter" w:ascii="inter" w:hAnsi="inter"/>
          <w:color w:val="000000"/>
          <w:sz w:val="21"/>
        </w:rPr>
        <w:t xml:space="preserve">Thought Leadership &amp; Regulatory Influence:</w:t>
      </w:r>
      <w:r>
        <w:rPr>
          <w:rFonts w:eastAsia="inter" w:cs="inter" w:ascii="inter" w:hAnsi="inter"/>
          <w:color w:val="000000"/>
          <w:sz w:val="21"/>
        </w:rPr>
        <w:br w:type="textWrapping"/>
      </w:r>
      <w:r>
        <w:rPr>
          <w:rFonts w:eastAsia="inter" w:cs="inter" w:ascii="inter" w:hAnsi="inter"/>
          <w:color w:val="000000"/>
          <w:sz w:val="21"/>
        </w:rPr>
        <w:t xml:space="preserve">Search for: "EY Israel AI regulation whitepaper", "EY Israel response to EU AI Act", "EY Israel webinars 2025 AI in Finance".</w:t>
      </w:r>
      <w:r>
        <w:rPr>
          <w:rFonts w:eastAsia="inter" w:cs="inter" w:ascii="inter" w:hAnsi="inter"/>
          <w:color w:val="000000"/>
          <w:sz w:val="21"/>
        </w:rPr>
        <w:br w:type="textWrapping"/>
      </w:r>
      <w:r>
        <w:rPr>
          <w:rFonts w:eastAsia="inter" w:cs="inter" w:ascii="inter" w:hAnsi="inter"/>
          <w:color w:val="000000"/>
          <w:sz w:val="21"/>
        </w:rPr>
        <w:t xml:space="preserve">Goal: Find quotes from local leaders (e.g., Oded Eran, Sharon Berkovich) about the "Dangers of AI" and how EY mitigates them.</w:t>
      </w:r>
    </w:p>
    <w:p>
      <w:pPr>
        <w:numPr>
          <w:ilvl w:val="0"/>
          <w:numId w:val="1"/>
        </w:numPr>
        <w:spacing w:line="360" w:before="105" w:after="105" w:lineRule="auto"/>
      </w:pPr>
      <w:r>
        <w:rPr>
          <w:rFonts w:eastAsia="inter" w:cs="inter" w:ascii="inter" w:hAnsi="inter"/>
          <w:color w:val="000000"/>
          <w:sz w:val="21"/>
        </w:rPr>
        <w:t xml:space="preserve">Government &amp; Public Sector:</w:t>
      </w:r>
      <w:r>
        <w:rPr>
          <w:rFonts w:eastAsia="inter" w:cs="inter" w:ascii="inter" w:hAnsi="inter"/>
          <w:color w:val="000000"/>
          <w:sz w:val="21"/>
        </w:rPr>
        <w:br w:type="textWrapping"/>
      </w:r>
      <w:r>
        <w:rPr>
          <w:rFonts w:eastAsia="inter" w:cs="inter" w:ascii="inter" w:hAnsi="inter"/>
          <w:color w:val="000000"/>
          <w:sz w:val="21"/>
        </w:rPr>
        <w:t xml:space="preserve">Search for: "EY Israel Nimbus project role", "EY Israel Digital Israel consulting", "EY Israel AI strategy for government ministries".</w:t>
      </w:r>
      <w:r>
        <w:rPr>
          <w:rFonts w:eastAsia="inter" w:cs="inter" w:ascii="inter" w:hAnsi="inter"/>
          <w:color w:val="000000"/>
          <w:sz w:val="21"/>
        </w:rPr>
        <w:br w:type="textWrapping"/>
      </w:r>
      <w:r>
        <w:rPr>
          <w:rFonts w:eastAsia="inter" w:cs="inter" w:ascii="inter" w:hAnsi="inter"/>
          <w:color w:val="000000"/>
          <w:sz w:val="21"/>
        </w:rPr>
        <w:t xml:space="preserve">Output Requirement:</w:t>
      </w:r>
      <w:r>
        <w:rPr>
          <w:rFonts w:eastAsia="inter" w:cs="inter" w:ascii="inter" w:hAnsi="inter"/>
          <w:color w:val="000000"/>
          <w:sz w:val="21"/>
        </w:rPr>
        <w:br w:type="textWrapping"/>
      </w:r>
      <w:r>
        <w:rPr>
          <w:rFonts w:eastAsia="inter" w:cs="inter" w:ascii="inter" w:hAnsi="inter"/>
          <w:color w:val="000000"/>
          <w:sz w:val="21"/>
        </w:rPr>
        <w:t xml:space="preserve">The "Trust" Pitch: How they use risk management to beat technical integrators.</w:t>
      </w:r>
      <w:r>
        <w:rPr>
          <w:rFonts w:eastAsia="inter" w:cs="inter" w:ascii="inter" w:hAnsi="inter"/>
          <w:color w:val="000000"/>
          <w:sz w:val="21"/>
        </w:rPr>
        <w:br w:type="textWrapping"/>
      </w:r>
      <w:hyperlink r:id="rId8">
        <w:r>
          <w:rPr>
            <w:rFonts w:eastAsia="inter" w:cs="inter" w:ascii="inter" w:hAnsi="inter"/>
            <w:color w:val="#000"/>
            <w:sz w:val="21"/>
            <w:u w:val="single"/>
          </w:rPr>
          <w:t xml:space="preserve">EY.ai</w:t>
        </w:r>
      </w:hyperlink>
      <w:r>
        <w:rPr>
          <w:rFonts w:eastAsia="inter" w:cs="inter" w:ascii="inter" w:hAnsi="inter"/>
          <w:color w:val="000000"/>
          <w:sz w:val="21"/>
        </w:rPr>
        <w:t xml:space="preserve"> Platform: Details on their auditing tools.</w:t>
      </w:r>
      <w:r>
        <w:rPr>
          <w:rFonts w:eastAsia="inter" w:cs="inter" w:ascii="inter" w:hAnsi="inter"/>
          <w:color w:val="000000"/>
          <w:sz w:val="21"/>
        </w:rPr>
        <w:br w:type="textWrapping"/>
      </w:r>
      <w:r>
        <w:rPr>
          <w:rFonts w:eastAsia="inter" w:cs="inter" w:ascii="inter" w:hAnsi="inter"/>
          <w:color w:val="000000"/>
          <w:sz w:val="21"/>
        </w:rPr>
        <w:t xml:space="preserve">The Microsoft Connection: Evidence of their dominance in the Azure ecosystem in Israel.</w:t>
      </w:r>
      <w:r>
        <w:rPr>
          <w:rFonts w:eastAsia="inter" w:cs="inter" w:ascii="inter" w:hAnsi="inter"/>
          <w:color w:val="000000"/>
          <w:sz w:val="21"/>
        </w:rPr>
        <w:br w:type="textWrapping"/>
      </w:r>
      <w:r>
        <w:rPr>
          <w:rFonts w:eastAsia="inter" w:cs="inter" w:ascii="inter" w:hAnsi="inter"/>
          <w:color w:val="000000"/>
          <w:sz w:val="21"/>
        </w:rPr>
        <w:t xml:space="preserve">Conclusion: Why EY is the "Safety Choice" for conservative Israeli CEOs.</w:t>
      </w:r>
    </w:p>
    <w:p>
      <w:pPr>
        <w:spacing w:line="360" w:after="210" w:lineRule="auto"/>
      </w:pPr>
      <w:r>
        <w:rPr>
          <w:rFonts w:eastAsia="inter" w:cs="inter" w:ascii="inter" w:hAnsi="inter"/>
          <w:color w:val="000000"/>
        </w:rPr>
        <w:t xml:space="preserve">Now I'll generate the final comprehensive report based on my research.</w:t>
      </w:r>
    </w:p>
    <w:p>
      <w:pPr>
        <w:spacing w:line="270" w:before="157.5" w:after="157.5" w:lineRule="auto"/>
        <w:jc w:val="left"/>
      </w:pPr>
      <w:bookmarkStart w:id="1" w:name="ey_israel_strategic_deep_dive_ai_94c801"/>
      <w:r>
        <w:rPr>
          <w:rFonts w:eastAsia="inter" w:cs="inter" w:ascii="inter" w:hAnsi="inter"/>
          <w:b/>
          <w:color w:val="000000"/>
          <w:sz w:val="39"/>
        </w:rPr>
        <w:t xml:space="preserve">EY Israel Strategic Deep-Dive: AI &amp; Digital Transformation (2025-2026)</w:t>
      </w:r>
      <w:bookmarkEnd w:id="1"/>
    </w:p>
    <w:p>
      <w:pPr>
        <w:spacing w:line="360" w:before="315" w:after="105" w:lineRule="auto"/>
        <w:ind w:left="-30"/>
        <w:jc w:val="left"/>
      </w:pPr>
      <w:bookmarkStart w:id="2" w:name="executive_summary"/>
      <w:r>
        <w:rPr>
          <w:rFonts w:eastAsia="inter" w:cs="inter" w:ascii="inter" w:hAnsi="inter"/>
          <w:b/>
          <w:color w:val="000000"/>
          <w:sz w:val="24"/>
        </w:rPr>
        <w:t xml:space="preserve">Executive Summary</w:t>
      </w:r>
      <w:bookmarkEnd w:id="2"/>
    </w:p>
    <w:p>
      <w:pPr>
        <w:spacing w:line="360" w:after="210" w:lineRule="auto"/>
      </w:pPr>
      <w:r>
        <w:rPr>
          <w:rFonts w:eastAsia="inter" w:cs="inter" w:ascii="inter" w:hAnsi="inter"/>
          <w:color w:val="000000"/>
        </w:rPr>
        <w:t xml:space="preserve">EY Israel is leveraging an sophisticated three-pillar strategy to capture large-scale AI implementation projects in Israel's conservative financial services and enterprise sectors: </w:t>
      </w:r>
      <w:r>
        <w:rPr>
          <w:rFonts w:eastAsia="inter" w:cs="inter" w:ascii="inter" w:hAnsi="inter"/>
          <w:b/>
          <w:color w:val="000000"/>
        </w:rPr>
        <w:t xml:space="preserve">Trust through the </w:t>
      </w:r>
      <w:hyperlink r:id="rId9">
        <w:r>
          <w:rPr>
            <w:rFonts w:eastAsia="inter" w:cs="inter" w:ascii="inter" w:hAnsi="inter"/>
            <w:b/>
            <w:color w:val="#000"/>
            <w:u w:val="single"/>
          </w:rPr>
          <w:t xml:space="preserve">EY.ai</w:t>
        </w:r>
      </w:hyperlink>
      <w:r>
        <w:rPr>
          <w:rFonts w:eastAsia="inter" w:cs="inter" w:ascii="inter" w:hAnsi="inter"/>
          <w:b/>
          <w:color w:val="000000"/>
        </w:rPr>
        <w:t xml:space="preserve"> Confidence Index platform, Governance through Responsible AI frameworks, and Compliance through strategic partnerships with Microsoft and NVIDIA</w:t>
      </w:r>
      <w:r>
        <w:rPr>
          <w:rFonts w:eastAsia="inter" w:cs="inter" w:ascii="inter" w:hAnsi="inter"/>
          <w:color w:val="000000"/>
        </w:rPr>
        <w:t xml:space="preserve">. Rather than competing on technical delivery or product innovation, EY positions itself as the independent, risk-mitigating arbiter of AI deployments—a particularly powerful positioning in an Israeli market where regulatory uncertainty, legacy system complexity, and cultural risk-aversion create demand for externally-validated governance.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part_i_the_responsible_ai_framewo_3d1fc9"/>
      <w:r>
        <w:rPr>
          <w:rFonts w:eastAsia="inter" w:cs="inter" w:ascii="inter" w:hAnsi="inter"/>
          <w:b/>
          <w:color w:val="000000"/>
          <w:sz w:val="24"/>
        </w:rPr>
        <w:t xml:space="preserve">Part I: The "Responsible AI" Framework as a Competitive Moat</w:t>
      </w:r>
      <w:bookmarkEnd w:id="3"/>
    </w:p>
    <w:p>
      <w:pPr>
        <w:spacing w:line="360" w:before="315" w:after="105" w:lineRule="auto"/>
        <w:ind w:left="-30"/>
        <w:jc w:val="left"/>
      </w:pPr>
      <w:bookmarkStart w:id="4" w:name="the_ey_ai_confidence_index_archit_dc6a4a"/>
      <w:r>
        <w:rPr>
          <w:rFonts w:eastAsia="inter" w:cs="inter" w:ascii="inter" w:hAnsi="inter"/>
          <w:b/>
          <w:color w:val="000000"/>
          <w:sz w:val="24"/>
        </w:rPr>
        <w:t xml:space="preserve">The </w:t>
      </w:r>
      <w:hyperlink r:id="rId10">
        <w:r>
          <w:rPr>
            <w:rFonts w:eastAsia="inter" w:cs="inter" w:ascii="inter" w:hAnsi="inter"/>
            <w:b/>
            <w:color w:val="#000"/>
            <w:sz w:val="24"/>
            <w:u w:val="single"/>
          </w:rPr>
          <w:t xml:space="preserve">EY.ai</w:t>
        </w:r>
      </w:hyperlink>
      <w:r>
        <w:rPr>
          <w:rFonts w:eastAsia="inter" w:cs="inter" w:ascii="inter" w:hAnsi="inter"/>
          <w:b/>
          <w:color w:val="000000"/>
          <w:sz w:val="24"/>
        </w:rPr>
        <w:t xml:space="preserve"> Confidence Index: Architecture of a Trust Engine</w:t>
      </w:r>
      <w:bookmarkEnd w:id="4"/>
    </w:p>
    <w:p>
      <w:pPr>
        <w:spacing w:line="360" w:after="210" w:lineRule="auto"/>
      </w:pPr>
      <w:r>
        <w:rPr>
          <w:rFonts w:eastAsia="inter" w:cs="inter" w:ascii="inter" w:hAnsi="inter"/>
          <w:color w:val="000000"/>
        </w:rPr>
        <w:t xml:space="preserve">At the heart of EY's AI strategy sits the </w:t>
      </w:r>
      <w:r>
        <w:rPr>
          <w:rFonts w:eastAsia="inter" w:cs="inter" w:ascii="inter" w:hAnsi="inter"/>
          <w:b/>
          <w:color w:val="000000"/>
        </w:rPr>
      </w:r>
      <w:hyperlink r:id="rId11">
        <w:r>
          <w:rPr>
            <w:rFonts w:eastAsia="inter" w:cs="inter" w:ascii="inter" w:hAnsi="inter"/>
            <w:b/>
            <w:color w:val="#000"/>
            <w:u w:val="single"/>
          </w:rPr>
          <w:t xml:space="preserve">EY.ai</w:t>
        </w:r>
      </w:hyperlink>
      <w:r>
        <w:rPr>
          <w:rFonts w:eastAsia="inter" w:cs="inter" w:ascii="inter" w:hAnsi="inter"/>
          <w:b/>
          <w:color w:val="000000"/>
        </w:rPr>
        <w:t xml:space="preserve"> Confidence Index</w:t>
      </w:r>
      <w:r>
        <w:rPr>
          <w:rFonts w:eastAsia="inter" w:cs="inter" w:ascii="inter" w:hAnsi="inter"/>
          <w:color w:val="000000"/>
        </w:rPr>
        <w:t xml:space="preserve">, a proprietary platform designed to stress-test organizations' complete AI model lifecycle across nine foundational Responsible AI principles: Accountability, Data Protection, Reliability, Security, Transparency, Explainability, Fairness, Compliance, and Sustainability. Unlike ad hoc governance consulting, the Confidence Index delivers a </w:t>
      </w:r>
      <w:r>
        <w:rPr>
          <w:rFonts w:eastAsia="inter" w:cs="inter" w:ascii="inter" w:hAnsi="inter"/>
          <w:b/>
          <w:color w:val="000000"/>
        </w:rPr>
        <w:t xml:space="preserve">quantifiable, eight-pillar trust score</w:t>
      </w:r>
      <w:r>
        <w:rPr>
          <w:rFonts w:eastAsia="inter" w:cs="inter" w:ascii="inter" w:hAnsi="inter"/>
          <w:color w:val="000000"/>
        </w:rPr>
        <w:t xml:space="preserve"> that executives can present to boards, regulators, and investors as evidence of AI due diligence.</w:t>
      </w:r>
      <w:bookmarkStart w:id="5" w:name="fnref1"/>
      <w:bookmarkEnd w:id="5"/>
      <w:hyperlink w:anchor="fn1">
        <w:r>
          <w:rPr>
            <w:rFonts w:eastAsia="inter" w:cs="inter" w:ascii="inter" w:hAnsi="inter"/>
            <w:color w:val="#000"/>
            <w:u w:val="single"/>
            <w:vertAlign w:val="superscript"/>
          </w:rPr>
          <w:t xml:space="preserve">[1]</w:t>
        </w:r>
      </w:hyperlink>
      <w:bookmarkStart w:id="6" w:name="fnref2"/>
      <w:bookmarkEnd w:id="6"/>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The methodology is deliberately comprehensive and contextual. Each assessment is customizable, balancing hard metrics (model performance, bias quantification, data quality) with qualitative factors (user experience, ethical alignment, organizational readiness). This hybrid approach serves a critical function: it translates abstract governance concepts into a language that risk-averse Israeli CEOs understand—a single confidence score that correlates with business outcomes and risk tolerance.</w:t>
      </w:r>
      <w:bookmarkStart w:id="7" w:name="fnref3"/>
      <w:bookmarkEnd w:id="7"/>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Recent Enhancement (2025)</w:t>
      </w:r>
      <w:r>
        <w:rPr>
          <w:rFonts w:eastAsia="inter" w:cs="inter" w:ascii="inter" w:hAnsi="inter"/>
          <w:color w:val="000000"/>
        </w:rPr>
        <w:t xml:space="preserve">: EY integrated the Confidence Index onto the </w:t>
      </w:r>
      <w:r>
        <w:rPr>
          <w:rFonts w:eastAsia="inter" w:cs="inter" w:ascii="inter" w:hAnsi="inter"/>
          <w:b/>
          <w:color w:val="000000"/>
        </w:rPr>
        <w:t xml:space="preserve">Asenion platform</w:t>
      </w:r>
      <w:r>
        <w:rPr>
          <w:rFonts w:eastAsia="inter" w:cs="inter" w:ascii="inter" w:hAnsi="inter"/>
          <w:color w:val="000000"/>
        </w:rPr>
        <w:t xml:space="preserve"> (formerly Fairly AI), enabling continuous, automated governance monitoring rather than one-time audits. This shift from episodic assessment to continuous control is particularly attractive to banks managing regulatory change and organizations deploying AI at scale.</w:t>
      </w:r>
      <w:bookmarkStart w:id="8" w:name="fnref4"/>
      <w:bookmarkEnd w:id="8"/>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9" w:name="the_global_responsible_ai_framewo_b9521a"/>
      <w:r>
        <w:rPr>
          <w:rFonts w:eastAsia="inter" w:cs="inter" w:ascii="inter" w:hAnsi="inter"/>
          <w:b/>
          <w:color w:val="000000"/>
          <w:sz w:val="24"/>
        </w:rPr>
        <w:t xml:space="preserve">The Global Responsible AI Framework: Multi-Disciplinary Audit Rigor</w:t>
      </w:r>
      <w:bookmarkEnd w:id="9"/>
    </w:p>
    <w:p>
      <w:pPr>
        <w:spacing w:line="360" w:after="210" w:lineRule="auto"/>
      </w:pPr>
      <w:r>
        <w:rPr>
          <w:rFonts w:eastAsia="inter" w:cs="inter" w:ascii="inter" w:hAnsi="inter"/>
          <w:color w:val="000000"/>
        </w:rPr>
        <w:t xml:space="preserve">Undergirding the Confidence Index is EY's </w:t>
      </w:r>
      <w:r>
        <w:rPr>
          <w:rFonts w:eastAsia="inter" w:cs="inter" w:ascii="inter" w:hAnsi="inter"/>
          <w:b/>
          <w:color w:val="000000"/>
        </w:rPr>
        <w:t xml:space="preserve">Global Responsible AI Framework</w:t>
      </w:r>
      <w:r>
        <w:rPr>
          <w:rFonts w:eastAsia="inter" w:cs="inter" w:ascii="inter" w:hAnsi="inter"/>
          <w:color w:val="000000"/>
        </w:rPr>
        <w:t xml:space="preserve">—a principles-based but operationally-rigorous approach to AI governance that extends beyond compliance checklist. When EY conducts an AI governance review, teams comprise digital ethicists, IT risk practitioners, data scientists, and subject-matter experts who evaluate:</w:t>
      </w:r>
      <w:bookmarkStart w:id="10" w:name="fnref5"/>
      <w:bookmarkEnd w:id="10"/>
      <w:hyperlink w:anchor="fn5">
        <w:r>
          <w:rPr>
            <w:rFonts w:eastAsia="inter" w:cs="inter" w:ascii="inter" w:hAnsi="inter"/>
            <w:color w:val="#000"/>
            <w:u w:val="single"/>
            <w:vertAlign w:val="superscript"/>
          </w:rPr>
          <w:t xml:space="preserve">[5]</w:t>
        </w:r>
      </w:hyperlink>
    </w:p>
    <w:p>
      <w:pPr>
        <w:numPr>
          <w:ilvl w:val="0"/>
          <w:numId w:val="2"/>
        </w:numPr>
        <w:spacing w:line="360" w:before="105" w:after="105" w:lineRule="auto"/>
      </w:pPr>
      <w:r>
        <w:rPr>
          <w:rFonts w:eastAsia="inter" w:cs="inter" w:ascii="inter" w:hAnsi="inter"/>
          <w:b/>
          <w:color w:val="000000"/>
          <w:sz w:val="21"/>
        </w:rPr>
        <w:t xml:space="preserve">Safety, Security, and Robustness</w:t>
      </w:r>
      <w:r>
        <w:rPr>
          <w:rFonts w:eastAsia="inter" w:cs="inter" w:ascii="inter" w:hAnsi="inter"/>
          <w:color w:val="000000"/>
          <w:sz w:val="21"/>
        </w:rPr>
        <w:t xml:space="preserve">: How AI systems and underlying data are secured from unauthorized access, corruption, or adversarial attack</w:t>
      </w:r>
    </w:p>
    <w:p>
      <w:pPr>
        <w:numPr>
          <w:ilvl w:val="0"/>
          <w:numId w:val="2"/>
        </w:numPr>
        <w:spacing w:line="360" w:before="105" w:after="105" w:lineRule="auto"/>
      </w:pPr>
      <w:r>
        <w:rPr>
          <w:rFonts w:eastAsia="inter" w:cs="inter" w:ascii="inter" w:hAnsi="inter"/>
          <w:b/>
          <w:color w:val="000000"/>
          <w:sz w:val="21"/>
        </w:rPr>
        <w:t xml:space="preserve">Transparency and Explainability</w:t>
      </w:r>
      <w:r>
        <w:rPr>
          <w:rFonts w:eastAsia="inter" w:cs="inter" w:ascii="inter" w:hAnsi="inter"/>
          <w:color w:val="000000"/>
          <w:sz w:val="21"/>
        </w:rPr>
        <w:t xml:space="preserve">: The degree to which AI decision-making can be understood and communicated to stakeholders (critical in financial services)</w:t>
      </w:r>
    </w:p>
    <w:p>
      <w:pPr>
        <w:numPr>
          <w:ilvl w:val="0"/>
          <w:numId w:val="2"/>
        </w:numPr>
        <w:spacing w:line="360" w:before="105" w:after="105" w:lineRule="auto"/>
      </w:pPr>
      <w:r>
        <w:rPr>
          <w:rFonts w:eastAsia="inter" w:cs="inter" w:ascii="inter" w:hAnsi="inter"/>
          <w:b/>
          <w:color w:val="000000"/>
          <w:sz w:val="21"/>
        </w:rPr>
        <w:t xml:space="preserve">Fairness</w:t>
      </w:r>
      <w:r>
        <w:rPr>
          <w:rFonts w:eastAsia="inter" w:cs="inter" w:ascii="inter" w:hAnsi="inter"/>
          <w:color w:val="000000"/>
          <w:sz w:val="21"/>
        </w:rPr>
        <w:t xml:space="preserve">: Assessment of potential bias in team composition, data sourcing, and model development</w:t>
      </w:r>
    </w:p>
    <w:p>
      <w:pPr>
        <w:numPr>
          <w:ilvl w:val="0"/>
          <w:numId w:val="2"/>
        </w:numPr>
        <w:spacing w:line="360" w:before="105" w:after="105" w:lineRule="auto"/>
      </w:pPr>
      <w:r>
        <w:rPr>
          <w:rFonts w:eastAsia="inter" w:cs="inter" w:ascii="inter" w:hAnsi="inter"/>
          <w:b/>
          <w:color w:val="000000"/>
          <w:sz w:val="21"/>
        </w:rPr>
        <w:t xml:space="preserve">Accountability and Governance</w:t>
      </w:r>
      <w:r>
        <w:rPr>
          <w:rFonts w:eastAsia="inter" w:cs="inter" w:ascii="inter" w:hAnsi="inter"/>
          <w:color w:val="000000"/>
          <w:sz w:val="21"/>
        </w:rPr>
        <w:t xml:space="preserve">: Review of decision-making processes, documentation standards, and organizational oversight structures</w:t>
      </w:r>
    </w:p>
    <w:p>
      <w:pPr>
        <w:spacing w:line="360" w:after="210" w:lineRule="auto"/>
      </w:pPr>
      <w:r>
        <w:rPr>
          <w:rFonts w:eastAsia="inter" w:cs="inter" w:ascii="inter" w:hAnsi="inter"/>
          <w:color w:val="000000"/>
        </w:rPr>
        <w:t xml:space="preserve">The framework is </w:t>
      </w:r>
      <w:r>
        <w:rPr>
          <w:rFonts w:eastAsia="inter" w:cs="inter" w:ascii="inter" w:hAnsi="inter"/>
          <w:b/>
          <w:color w:val="000000"/>
        </w:rPr>
        <w:t xml:space="preserve">documented and repeatable</w:t>
      </w:r>
      <w:r>
        <w:rPr>
          <w:rFonts w:eastAsia="inter" w:cs="inter" w:ascii="inter" w:hAnsi="inter"/>
          <w:color w:val="000000"/>
        </w:rPr>
        <w:t xml:space="preserve">, which is critical for institutional credibility. Unlike boutique consulting, EY's methodology aligns with international standards (EU AI Act, NIST AI RMF), meaning Israeli executives can credibly claim their governance is globally-benchmarked.</w:t>
      </w:r>
    </w:p>
    <w:p>
      <w:pPr>
        <w:spacing w:line="360" w:before="315" w:after="105" w:lineRule="auto"/>
        <w:ind w:left="-30"/>
        <w:jc w:val="left"/>
      </w:pPr>
      <w:bookmarkStart w:id="11" w:name="auditboard_integration_operationa_634054"/>
      <w:r>
        <w:rPr>
          <w:rFonts w:eastAsia="inter" w:cs="inter" w:ascii="inter" w:hAnsi="inter"/>
          <w:b/>
          <w:color w:val="000000"/>
          <w:sz w:val="24"/>
        </w:rPr>
        <w:t xml:space="preserve">AuditBoard Integration: Operationalizing Risk Management</w:t>
      </w:r>
      <w:bookmarkEnd w:id="11"/>
    </w:p>
    <w:p>
      <w:pPr>
        <w:spacing w:line="360" w:after="210" w:lineRule="auto"/>
      </w:pPr>
      <w:r>
        <w:rPr>
          <w:rFonts w:eastAsia="inter" w:cs="inter" w:ascii="inter" w:hAnsi="inter"/>
          <w:color w:val="000000"/>
        </w:rPr>
        <w:t xml:space="preserve">In 2025, EY deepened the practical utility of AI governance by integrating its </w:t>
      </w:r>
      <w:r>
        <w:rPr>
          <w:rFonts w:eastAsia="inter" w:cs="inter" w:ascii="inter" w:hAnsi="inter"/>
          <w:b/>
          <w:color w:val="000000"/>
        </w:rPr>
      </w:r>
      <w:hyperlink r:id="rId12">
        <w:r>
          <w:rPr>
            <w:rFonts w:eastAsia="inter" w:cs="inter" w:ascii="inter" w:hAnsi="inter"/>
            <w:b/>
            <w:color w:val="#000"/>
            <w:u w:val="single"/>
          </w:rPr>
          <w:t xml:space="preserve">EY.ai</w:t>
        </w:r>
      </w:hyperlink>
      <w:r>
        <w:rPr>
          <w:rFonts w:eastAsia="inter" w:cs="inter" w:ascii="inter" w:hAnsi="inter"/>
          <w:b/>
          <w:color w:val="000000"/>
        </w:rPr>
        <w:t xml:space="preserve"> for Risk</w:t>
      </w:r>
      <w:r>
        <w:rPr>
          <w:rFonts w:eastAsia="inter" w:cs="inter" w:ascii="inter" w:hAnsi="inter"/>
          <w:color w:val="000000"/>
        </w:rPr>
        <w:t xml:space="preserve"> solutions with AuditBoard's AI-powered risk platform. This integration allows financial institutions and large enterprises to:</w:t>
      </w:r>
      <w:bookmarkStart w:id="12" w:name="fnref6"/>
      <w:bookmarkEnd w:id="12"/>
      <w:hyperlink w:anchor="fn6">
        <w:r>
          <w:rPr>
            <w:rFonts w:eastAsia="inter" w:cs="inter" w:ascii="inter" w:hAnsi="inter"/>
            <w:color w:val="#000"/>
            <w:u w:val="single"/>
            <w:vertAlign w:val="superscript"/>
          </w:rPr>
          <w:t xml:space="preserve">[6]</w:t>
        </w:r>
      </w:hyperlink>
    </w:p>
    <w:p>
      <w:pPr>
        <w:numPr>
          <w:ilvl w:val="0"/>
          <w:numId w:val="3"/>
        </w:numPr>
        <w:spacing w:line="360" w:before="105" w:after="105" w:lineRule="auto"/>
      </w:pPr>
      <w:r>
        <w:rPr>
          <w:rFonts w:eastAsia="inter" w:cs="inter" w:ascii="inter" w:hAnsi="inter"/>
          <w:color w:val="000000"/>
          <w:sz w:val="21"/>
        </w:rPr>
        <w:t xml:space="preserve">Conduct systematic </w:t>
      </w:r>
      <w:r>
        <w:rPr>
          <w:rFonts w:eastAsia="inter" w:cs="inter" w:ascii="inter" w:hAnsi="inter"/>
          <w:b/>
          <w:color w:val="000000"/>
          <w:sz w:val="21"/>
        </w:rPr>
        <w:t xml:space="preserve">compliance audits</w:t>
      </w:r>
      <w:r>
        <w:rPr>
          <w:rFonts w:eastAsia="inter" w:cs="inter" w:ascii="inter" w:hAnsi="inter"/>
          <w:color w:val="000000"/>
          <w:sz w:val="21"/>
        </w:rPr>
        <w:t xml:space="preserve"> against AI regulatory requirements</w:t>
      </w:r>
    </w:p>
    <w:p>
      <w:pPr>
        <w:numPr>
          <w:ilvl w:val="0"/>
          <w:numId w:val="3"/>
        </w:numPr>
        <w:spacing w:line="360" w:before="105" w:after="105" w:lineRule="auto"/>
      </w:pPr>
      <w:r>
        <w:rPr>
          <w:rFonts w:eastAsia="inter" w:cs="inter" w:ascii="inter" w:hAnsi="inter"/>
          <w:color w:val="000000"/>
          <w:sz w:val="21"/>
        </w:rPr>
        <w:t xml:space="preserve">Perform quantitative </w:t>
      </w:r>
      <w:r>
        <w:rPr>
          <w:rFonts w:eastAsia="inter" w:cs="inter" w:ascii="inter" w:hAnsi="inter"/>
          <w:b/>
          <w:color w:val="000000"/>
          <w:sz w:val="21"/>
        </w:rPr>
        <w:t xml:space="preserve">bias audits</w:t>
      </w:r>
      <w:r>
        <w:rPr>
          <w:rFonts w:eastAsia="inter" w:cs="inter" w:ascii="inter" w:hAnsi="inter"/>
          <w:color w:val="000000"/>
          <w:sz w:val="21"/>
        </w:rPr>
        <w:t xml:space="preserve"> using demographic impact calculations</w:t>
      </w:r>
    </w:p>
    <w:p>
      <w:pPr>
        <w:numPr>
          <w:ilvl w:val="0"/>
          <w:numId w:val="3"/>
        </w:numPr>
        <w:spacing w:line="360" w:before="105" w:after="105" w:lineRule="auto"/>
      </w:pPr>
      <w:r>
        <w:rPr>
          <w:rFonts w:eastAsia="inter" w:cs="inter" w:ascii="inter" w:hAnsi="inter"/>
          <w:color w:val="000000"/>
          <w:sz w:val="21"/>
        </w:rPr>
        <w:t xml:space="preserve">Execute </w:t>
      </w:r>
      <w:r>
        <w:rPr>
          <w:rFonts w:eastAsia="inter" w:cs="inter" w:ascii="inter" w:hAnsi="inter"/>
          <w:b/>
          <w:color w:val="000000"/>
          <w:sz w:val="21"/>
        </w:rPr>
        <w:t xml:space="preserve">formal verification</w:t>
      </w:r>
      <w:r>
        <w:rPr>
          <w:rFonts w:eastAsia="inter" w:cs="inter" w:ascii="inter" w:hAnsi="inter"/>
          <w:color w:val="000000"/>
          <w:sz w:val="21"/>
        </w:rPr>
        <w:t xml:space="preserve"> processes to validate AI model behavior</w:t>
      </w:r>
    </w:p>
    <w:p>
      <w:pPr>
        <w:spacing w:line="360" w:after="210" w:lineRule="auto"/>
      </w:pPr>
      <w:r>
        <w:rPr>
          <w:rFonts w:eastAsia="inter" w:cs="inter" w:ascii="inter" w:hAnsi="inter"/>
          <w:color w:val="000000"/>
        </w:rPr>
        <w:t xml:space="preserve">For Israeli banks weighing whether to deploy GenAI at scale (as Bank Leumi CEO has announced), this integrated offering transforms governance from an abstract concern into an operational control within their existing risk infrastructure.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part_ii_local_tech_capabilities_a_92eb0f"/>
      <w:r>
        <w:rPr>
          <w:rFonts w:eastAsia="inter" w:cs="inter" w:ascii="inter" w:hAnsi="inter"/>
          <w:b/>
          <w:color w:val="000000"/>
          <w:sz w:val="24"/>
        </w:rPr>
        <w:t xml:space="preserve">Part II: Local Tech Capabilities and Innovation Capacity</w:t>
      </w:r>
      <w:bookmarkEnd w:id="13"/>
    </w:p>
    <w:p>
      <w:pPr>
        <w:spacing w:line="360" w:before="315" w:after="105" w:lineRule="auto"/>
        <w:ind w:left="-30"/>
        <w:jc w:val="left"/>
      </w:pPr>
      <w:bookmarkStart w:id="14" w:name="ey_wavespace_tel_aviv_the_innovation_hub"/>
      <w:r>
        <w:rPr>
          <w:rFonts w:eastAsia="inter" w:cs="inter" w:ascii="inter" w:hAnsi="inter"/>
          <w:b/>
          <w:color w:val="000000"/>
          <w:sz w:val="24"/>
        </w:rPr>
        <w:t xml:space="preserve">EY Wavespace Tel Aviv: The Innovation Hub</w:t>
      </w:r>
      <w:bookmarkEnd w:id="14"/>
    </w:p>
    <w:p>
      <w:pPr>
        <w:spacing w:line="360" w:after="210" w:lineRule="auto"/>
      </w:pPr>
      <w:r>
        <w:rPr>
          <w:rFonts w:eastAsia="inter" w:cs="inter" w:ascii="inter" w:hAnsi="inter"/>
          <w:color w:val="000000"/>
        </w:rPr>
        <w:t xml:space="preserve">While EY Israel's reputation rests primarily on governance and advisory services, the firm maintains </w:t>
      </w:r>
      <w:r>
        <w:rPr>
          <w:rFonts w:eastAsia="inter" w:cs="inter" w:ascii="inter" w:hAnsi="inter"/>
          <w:b/>
          <w:color w:val="000000"/>
        </w:rPr>
        <w:t xml:space="preserve">EY Wavespace Tel Aviv</w:t>
      </w:r>
      <w:r>
        <w:rPr>
          <w:rFonts w:eastAsia="inter" w:cs="inter" w:ascii="inter" w:hAnsi="inter"/>
          <w:color w:val="000000"/>
        </w:rPr>
        <w:t xml:space="preserve">, an innovation center within EY's global network of growth and transformation labs. Established as part of EY's broader Wavespace initiative (2017), the Tel Aviv location brings together multi-disciplinary teams in disruptive technologies including AI, robotic process automation (RPA), blockchain, advanced data analytics, digital transformation, cyber security, and customer experience design.</w:t>
      </w:r>
      <w:bookmarkStart w:id="15" w:name="fnref7"/>
      <w:bookmarkEnd w:id="15"/>
      <w:hyperlink w:anchor="fn7">
        <w:r>
          <w:rPr>
            <w:rFonts w:eastAsia="inter" w:cs="inter" w:ascii="inter" w:hAnsi="inter"/>
            <w:color w:val="#000"/>
            <w:u w:val="single"/>
            <w:vertAlign w:val="superscript"/>
          </w:rPr>
          <w:t xml:space="preserve">[7]</w:t>
        </w:r>
      </w:hyperlink>
      <w:bookmarkStart w:id="16" w:name="fnref8"/>
      <w:bookmarkEnd w:id="16"/>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b/>
          <w:color w:val="000000"/>
        </w:rPr>
        <w:t xml:space="preserve">Evidence of Operational Activity</w:t>
      </w:r>
      <w:r>
        <w:rPr>
          <w:rFonts w:eastAsia="inter" w:cs="inter" w:ascii="inter" w:hAnsi="inter"/>
          <w:color w:val="000000"/>
        </w:rPr>
        <w:t xml:space="preserve">: In 2025, Wavespace TLV hosted "Innovation 361" sessions in partnership with STKI research firm, indicating active engagement with Israeli innovation ecosystem. The center provides:</w:t>
      </w:r>
      <w:bookmarkStart w:id="17" w:name="fnref9"/>
      <w:bookmarkEnd w:id="17"/>
      <w:hyperlink w:anchor="fn9">
        <w:r>
          <w:rPr>
            <w:rFonts w:eastAsia="inter" w:cs="inter" w:ascii="inter" w:hAnsi="inter"/>
            <w:color w:val="#000"/>
            <w:u w:val="single"/>
            <w:vertAlign w:val="superscript"/>
          </w:rPr>
          <w:t xml:space="preserve">[9]</w:t>
        </w:r>
      </w:hyperlink>
    </w:p>
    <w:p>
      <w:pPr>
        <w:numPr>
          <w:ilvl w:val="0"/>
          <w:numId w:val="4"/>
        </w:numPr>
        <w:spacing w:line="360" w:before="105" w:after="105" w:lineRule="auto"/>
      </w:pPr>
      <w:r>
        <w:rPr>
          <w:rFonts w:eastAsia="inter" w:cs="inter" w:ascii="inter" w:hAnsi="inter"/>
          <w:b/>
          <w:color w:val="000000"/>
          <w:sz w:val="21"/>
        </w:rPr>
        <w:t xml:space="preserve">Design environments</w:t>
      </w:r>
      <w:r>
        <w:rPr>
          <w:rFonts w:eastAsia="inter" w:cs="inter" w:ascii="inter" w:hAnsi="inter"/>
          <w:color w:val="000000"/>
          <w:sz w:val="21"/>
        </w:rPr>
        <w:t xml:space="preserve"> for prototyping customer experiences and business models</w:t>
      </w:r>
    </w:p>
    <w:p>
      <w:pPr>
        <w:numPr>
          <w:ilvl w:val="0"/>
          <w:numId w:val="4"/>
        </w:numPr>
        <w:spacing w:line="360" w:before="105" w:after="105" w:lineRule="auto"/>
      </w:pPr>
      <w:r>
        <w:rPr>
          <w:rFonts w:eastAsia="inter" w:cs="inter" w:ascii="inter" w:hAnsi="inter"/>
          <w:b/>
          <w:color w:val="000000"/>
          <w:sz w:val="21"/>
        </w:rPr>
        <w:t xml:space="preserve">Tech demo labs</w:t>
      </w:r>
      <w:r>
        <w:rPr>
          <w:rFonts w:eastAsia="inter" w:cs="inter" w:ascii="inter" w:hAnsi="inter"/>
          <w:color w:val="000000"/>
          <w:sz w:val="21"/>
        </w:rPr>
        <w:t xml:space="preserve"> for evaluating emerging technologies</w:t>
      </w:r>
    </w:p>
    <w:p>
      <w:pPr>
        <w:numPr>
          <w:ilvl w:val="0"/>
          <w:numId w:val="4"/>
        </w:numPr>
        <w:spacing w:line="360" w:before="105" w:after="105" w:lineRule="auto"/>
      </w:pPr>
      <w:r>
        <w:rPr>
          <w:rFonts w:eastAsia="inter" w:cs="inter" w:ascii="inter" w:hAnsi="inter"/>
          <w:b/>
          <w:color w:val="000000"/>
          <w:sz w:val="21"/>
        </w:rPr>
        <w:t xml:space="preserve">Data labs and incubation spaces</w:t>
      </w:r>
      <w:r>
        <w:rPr>
          <w:rFonts w:eastAsia="inter" w:cs="inter" w:ascii="inter" w:hAnsi="inter"/>
          <w:color w:val="000000"/>
          <w:sz w:val="21"/>
        </w:rPr>
        <w:t xml:space="preserve"> for building proofs-of-concept</w:t>
      </w:r>
    </w:p>
    <w:p>
      <w:pPr>
        <w:numPr>
          <w:ilvl w:val="0"/>
          <w:numId w:val="4"/>
        </w:numPr>
        <w:spacing w:line="360" w:before="105" w:after="105" w:lineRule="auto"/>
      </w:pPr>
      <w:r>
        <w:rPr>
          <w:rFonts w:eastAsia="inter" w:cs="inter" w:ascii="inter" w:hAnsi="inter"/>
          <w:b/>
          <w:color w:val="000000"/>
          <w:sz w:val="21"/>
        </w:rPr>
        <w:t xml:space="preserve">Workshop facilities</w:t>
      </w:r>
      <w:r>
        <w:rPr>
          <w:rFonts w:eastAsia="inter" w:cs="inter" w:ascii="inter" w:hAnsi="inter"/>
          <w:color w:val="000000"/>
          <w:sz w:val="21"/>
        </w:rPr>
        <w:t xml:space="preserve"> for facilitated innovation sessions</w:t>
      </w:r>
    </w:p>
    <w:p>
      <w:pPr>
        <w:spacing w:line="360" w:before="315" w:after="105" w:lineRule="auto"/>
        <w:ind w:left="-30"/>
        <w:jc w:val="left"/>
      </w:pPr>
      <w:bookmarkStart w:id="18" w:name="the_scale_and_scope_of_ey_israel_3df17c"/>
      <w:r>
        <w:rPr>
          <w:rFonts w:eastAsia="inter" w:cs="inter" w:ascii="inter" w:hAnsi="inter"/>
          <w:b/>
          <w:color w:val="000000"/>
          <w:sz w:val="24"/>
        </w:rPr>
        <w:t xml:space="preserve">The Scale and Scope of EY Israel Operations</w:t>
      </w:r>
      <w:bookmarkEnd w:id="18"/>
    </w:p>
    <w:p>
      <w:pPr>
        <w:spacing w:line="360" w:after="210" w:lineRule="auto"/>
      </w:pPr>
      <w:r>
        <w:rPr>
          <w:rFonts w:eastAsia="inter" w:cs="inter" w:ascii="inter" w:hAnsi="inter"/>
          <w:color w:val="000000"/>
        </w:rPr>
        <w:t xml:space="preserve">EY maintains a substantial on-the-ground presence in Israel: </w:t>
      </w:r>
      <w:r>
        <w:rPr>
          <w:rFonts w:eastAsia="inter" w:cs="inter" w:ascii="inter" w:hAnsi="inter"/>
          <w:b/>
          <w:color w:val="000000"/>
        </w:rPr>
        <w:t xml:space="preserve">2,200+ professionals across the country</w:t>
      </w:r>
      <w:r>
        <w:rPr>
          <w:rFonts w:eastAsia="inter" w:cs="inter" w:ascii="inter" w:hAnsi="inter"/>
          <w:color w:val="000000"/>
        </w:rPr>
        <w:t xml:space="preserve">, with approximately 200 based in Haifa and Northern Israel serving local high-tech ecosystems. The Tel Aviv headquarters anchors a full-service model delivering Assurance, Consulting, Tax, Transactions, and Risk Management services.</w:t>
      </w:r>
      <w:bookmarkStart w:id="19" w:name="fnref10"/>
      <w:bookmarkEnd w:id="19"/>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b/>
          <w:color w:val="000000"/>
        </w:rPr>
        <w:t xml:space="preserve">Consulting Service Depth</w:t>
      </w:r>
      <w:r>
        <w:rPr>
          <w:rFonts w:eastAsia="inter" w:cs="inter" w:ascii="inter" w:hAnsi="inter"/>
          <w:color w:val="000000"/>
        </w:rPr>
        <w:t xml:space="preserve"> (Verified Offerings):</w:t>
      </w:r>
      <w:bookmarkStart w:id="20" w:name="fnref11"/>
      <w:bookmarkEnd w:id="20"/>
      <w:hyperlink w:anchor="fn11">
        <w:r>
          <w:rPr>
            <w:rFonts w:eastAsia="inter" w:cs="inter" w:ascii="inter" w:hAnsi="inter"/>
            <w:color w:val="#000"/>
            <w:u w:val="single"/>
            <w:vertAlign w:val="superscript"/>
          </w:rPr>
          <w:t xml:space="preserve">[11]</w:t>
        </w:r>
      </w:hyperlink>
    </w:p>
    <w:p>
      <w:pPr>
        <w:numPr>
          <w:ilvl w:val="0"/>
          <w:numId w:val="5"/>
        </w:numPr>
        <w:spacing w:line="360" w:before="105" w:after="105" w:lineRule="auto"/>
      </w:pPr>
      <w:r>
        <w:rPr>
          <w:rFonts w:eastAsia="inter" w:cs="inter" w:ascii="inter" w:hAnsi="inter"/>
          <w:color w:val="000000"/>
          <w:sz w:val="21"/>
        </w:rPr>
        <w:t xml:space="preserve">AI strategy development and implementation</w:t>
      </w:r>
    </w:p>
    <w:p>
      <w:pPr>
        <w:numPr>
          <w:ilvl w:val="0"/>
          <w:numId w:val="5"/>
        </w:numPr>
        <w:spacing w:line="360" w:before="105" w:after="105" w:lineRule="auto"/>
      </w:pPr>
      <w:r>
        <w:rPr>
          <w:rFonts w:eastAsia="inter" w:cs="inter" w:ascii="inter" w:hAnsi="inter"/>
          <w:color w:val="000000"/>
          <w:sz w:val="21"/>
        </w:rPr>
        <w:t xml:space="preserve">New technology deployment (cloud, data, ERP systems)</w:t>
      </w:r>
    </w:p>
    <w:p>
      <w:pPr>
        <w:numPr>
          <w:ilvl w:val="0"/>
          <w:numId w:val="5"/>
        </w:numPr>
        <w:spacing w:line="360" w:before="105" w:after="105" w:lineRule="auto"/>
      </w:pPr>
      <w:r>
        <w:rPr>
          <w:rFonts w:eastAsia="inter" w:cs="inter" w:ascii="inter" w:hAnsi="inter"/>
          <w:color w:val="000000"/>
          <w:sz w:val="21"/>
        </w:rPr>
        <w:t xml:space="preserve">Trusted/Responsible AI methodology, tools, and frameworks</w:t>
      </w:r>
    </w:p>
    <w:p>
      <w:pPr>
        <w:numPr>
          <w:ilvl w:val="0"/>
          <w:numId w:val="5"/>
        </w:numPr>
        <w:spacing w:line="360" w:before="105" w:after="105" w:lineRule="auto"/>
      </w:pPr>
      <w:r>
        <w:rPr>
          <w:rFonts w:eastAsia="inter" w:cs="inter" w:ascii="inter" w:hAnsi="inter"/>
          <w:color w:val="000000"/>
          <w:sz w:val="21"/>
        </w:rPr>
        <w:t xml:space="preserve">Comprehensive cyber security services (architecture, penetration testing, SSDLC)</w:t>
      </w:r>
    </w:p>
    <w:p>
      <w:pPr>
        <w:numPr>
          <w:ilvl w:val="0"/>
          <w:numId w:val="5"/>
        </w:numPr>
        <w:spacing w:line="360" w:before="105" w:after="105" w:lineRule="auto"/>
      </w:pPr>
      <w:r>
        <w:rPr>
          <w:rFonts w:eastAsia="inter" w:cs="inter" w:ascii="inter" w:hAnsi="inter"/>
          <w:color w:val="000000"/>
          <w:sz w:val="21"/>
        </w:rPr>
        <w:t xml:space="preserve">Digital transformation and customer experience redesign</w:t>
      </w:r>
    </w:p>
    <w:p>
      <w:pPr>
        <w:numPr>
          <w:ilvl w:val="0"/>
          <w:numId w:val="5"/>
        </w:numPr>
        <w:spacing w:line="360" w:before="105" w:after="105" w:lineRule="auto"/>
      </w:pPr>
      <w:r>
        <w:rPr>
          <w:rFonts w:eastAsia="inter" w:cs="inter" w:ascii="inter" w:hAnsi="inter"/>
          <w:color w:val="000000"/>
          <w:sz w:val="21"/>
        </w:rPr>
        <w:t xml:space="preserve">Supply chain and operations management</w:t>
      </w:r>
    </w:p>
    <w:p>
      <w:pPr>
        <w:spacing w:line="360" w:before="315" w:after="105" w:lineRule="auto"/>
        <w:ind w:left="-30"/>
        <w:jc w:val="left"/>
      </w:pPr>
      <w:bookmarkStart w:id="21" w:name="a_critical_caveat_advisory_vs_pro_c49280"/>
      <w:r>
        <w:rPr>
          <w:rFonts w:eastAsia="inter" w:cs="inter" w:ascii="inter" w:hAnsi="inter"/>
          <w:b/>
          <w:color w:val="000000"/>
          <w:sz w:val="24"/>
        </w:rPr>
        <w:t xml:space="preserve">A Critical Caveat: Advisory vs. Product-Building</w:t>
      </w:r>
      <w:bookmarkEnd w:id="21"/>
    </w:p>
    <w:p>
      <w:pPr>
        <w:spacing w:line="360" w:after="210" w:lineRule="auto"/>
      </w:pPr>
      <w:r>
        <w:rPr>
          <w:rFonts w:eastAsia="inter" w:cs="inter" w:ascii="inter" w:hAnsi="inter"/>
          <w:color w:val="000000"/>
        </w:rPr>
        <w:t xml:space="preserve">Based on available public information, EY Israel appears to operate primarily as an </w:t>
      </w:r>
      <w:r>
        <w:rPr>
          <w:rFonts w:eastAsia="inter" w:cs="inter" w:ascii="inter" w:hAnsi="inter"/>
          <w:b/>
          <w:color w:val="000000"/>
        </w:rPr>
        <w:t xml:space="preserve">advisory and consulting firm</w:t>
      </w:r>
      <w:r>
        <w:rPr>
          <w:rFonts w:eastAsia="inter" w:cs="inter" w:ascii="inter" w:hAnsi="inter"/>
          <w:color w:val="000000"/>
        </w:rPr>
        <w:t xml:space="preserve"> rather than as a hands-on technology delivery or product-building partner. While Wavespace provides innovation capacity, the evidence suggests EY Israel's model is:</w:t>
      </w:r>
    </w:p>
    <w:p>
      <w:pPr>
        <w:numPr>
          <w:ilvl w:val="0"/>
          <w:numId w:val="6"/>
        </w:numPr>
        <w:spacing w:line="360" w:before="105" w:after="105" w:lineRule="auto"/>
      </w:pPr>
      <w:r>
        <w:rPr>
          <w:rFonts w:eastAsia="inter" w:cs="inter" w:ascii="inter" w:hAnsi="inter"/>
          <w:color w:val="000000"/>
          <w:sz w:val="21"/>
        </w:rPr>
        <w:t xml:space="preserve">Strategic advice and governance frameworks → </w:t>
      </w:r>
      <w:r>
        <w:rPr>
          <w:rFonts w:eastAsia="inter" w:cs="inter" w:ascii="inter" w:hAnsi="inter"/>
          <w:b/>
          <w:color w:val="000000"/>
          <w:sz w:val="21"/>
        </w:rPr>
        <w:t xml:space="preserve">high-value-add</w:t>
      </w:r>
    </w:p>
    <w:p>
      <w:pPr>
        <w:numPr>
          <w:ilvl w:val="0"/>
          <w:numId w:val="6"/>
        </w:numPr>
        <w:spacing w:line="360" w:before="105" w:after="105" w:lineRule="auto"/>
      </w:pPr>
      <w:r>
        <w:rPr>
          <w:rFonts w:eastAsia="inter" w:cs="inter" w:ascii="inter" w:hAnsi="inter"/>
          <w:color w:val="000000"/>
          <w:sz w:val="21"/>
        </w:rPr>
        <w:t xml:space="preserve">Custom platform and dashboard development → </w:t>
      </w:r>
      <w:r>
        <w:rPr>
          <w:rFonts w:eastAsia="inter" w:cs="inter" w:ascii="inter" w:hAnsi="inter"/>
          <w:b/>
          <w:color w:val="000000"/>
          <w:sz w:val="21"/>
        </w:rPr>
        <w:t xml:space="preserve">less visible in public contracts</w:t>
      </w:r>
    </w:p>
    <w:p>
      <w:pPr>
        <w:numPr>
          <w:ilvl w:val="0"/>
          <w:numId w:val="6"/>
        </w:numPr>
        <w:spacing w:line="360" w:before="105" w:after="105" w:lineRule="auto"/>
      </w:pPr>
      <w:r>
        <w:rPr>
          <w:rFonts w:eastAsia="inter" w:cs="inter" w:ascii="inter" w:hAnsi="inter"/>
          <w:color w:val="000000"/>
          <w:sz w:val="21"/>
        </w:rPr>
        <w:t xml:space="preserve">In-house talent for bespoke technical implementation → </w:t>
      </w:r>
      <w:r>
        <w:rPr>
          <w:rFonts w:eastAsia="inter" w:cs="inter" w:ascii="inter" w:hAnsi="inter"/>
          <w:b/>
          <w:color w:val="000000"/>
          <w:sz w:val="21"/>
        </w:rPr>
        <w:t xml:space="preserve">limited disclosure</w:t>
      </w:r>
    </w:p>
    <w:p>
      <w:pPr>
        <w:spacing w:line="360" w:after="210" w:lineRule="auto"/>
      </w:pPr>
      <w:r>
        <w:rPr>
          <w:rFonts w:eastAsia="inter" w:cs="inter" w:ascii="inter" w:hAnsi="inter"/>
          <w:color w:val="000000"/>
        </w:rPr>
        <w:t xml:space="preserve">This positioning is intentional and strategically sound for the Israeli market. Conservative enterprise buyers (especially in banking) prefer independent governance advisors over boutique technology builders. EY's limitation in technical delivery is actually an advantage—it reinforces positioning as a neutral arbiter rather than a vendor with a technology solution to sell.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part_iii_strategic_partnerships_t_b3caeb"/>
      <w:r>
        <w:rPr>
          <w:rFonts w:eastAsia="inter" w:cs="inter" w:ascii="inter" w:hAnsi="inter"/>
          <w:b/>
          <w:color w:val="000000"/>
          <w:sz w:val="24"/>
        </w:rPr>
        <w:t xml:space="preserve">Part III: Strategic Partnerships—The Microsoft and NVIDIA Advantage</w:t>
      </w:r>
      <w:bookmarkEnd w:id="22"/>
    </w:p>
    <w:p>
      <w:pPr>
        <w:spacing w:line="360" w:before="315" w:after="105" w:lineRule="auto"/>
        <w:ind w:left="-30"/>
        <w:jc w:val="left"/>
      </w:pPr>
      <w:bookmarkStart w:id="23" w:name="the_microsoft_alliance_enterprise_6ca12a"/>
      <w:r>
        <w:rPr>
          <w:rFonts w:eastAsia="inter" w:cs="inter" w:ascii="inter" w:hAnsi="inter"/>
          <w:b/>
          <w:color w:val="000000"/>
          <w:sz w:val="24"/>
        </w:rPr>
        <w:t xml:space="preserve">The Microsoft Alliance: Enterprise Software Dominance</w:t>
      </w:r>
      <w:bookmarkEnd w:id="23"/>
    </w:p>
    <w:p>
      <w:pPr>
        <w:spacing w:line="360" w:after="210" w:lineRule="auto"/>
      </w:pPr>
      <w:r>
        <w:rPr>
          <w:rFonts w:eastAsia="inter" w:cs="inter" w:ascii="inter" w:hAnsi="inter"/>
          <w:color w:val="000000"/>
        </w:rPr>
        <w:t xml:space="preserve">EY's relationship with Microsoft represents one of the most structurally important partnerships in global enterprise technology. Globally, EY has been recognized </w:t>
      </w:r>
      <w:r>
        <w:rPr>
          <w:rFonts w:eastAsia="inter" w:cs="inter" w:ascii="inter" w:hAnsi="inter"/>
          <w:b/>
          <w:color w:val="000000"/>
        </w:rPr>
        <w:t xml:space="preserve">19 consecutive times for the Microsoft Business Applications Inner Circle</w:t>
      </w:r>
      <w:r>
        <w:rPr>
          <w:rFonts w:eastAsia="inter" w:cs="inter" w:ascii="inter" w:hAnsi="inter"/>
          <w:color w:val="000000"/>
        </w:rPr>
        <w:t xml:space="preserve">, membership granted only to the top 1% of Microsoft partners. In 2024, EY achieved the rank of </w:t>
      </w:r>
      <w:r>
        <w:rPr>
          <w:rFonts w:eastAsia="inter" w:cs="inter" w:ascii="inter" w:hAnsi="inter"/>
          <w:b/>
          <w:color w:val="000000"/>
        </w:rPr>
        <w:t xml:space="preserve">"Leader" in IDC Worldwide Microsoft Implementation Services</w:t>
      </w:r>
      <w:r>
        <w:rPr>
          <w:rFonts w:eastAsia="inter" w:cs="inter" w:ascii="inter" w:hAnsi="inter"/>
          <w:color w:val="000000"/>
        </w:rPr>
        <w:t xml:space="preserve">, recognized for its market-leading capabilities in enterprise software transformation.</w:t>
      </w:r>
      <w:bookmarkStart w:id="24" w:name="fnref12"/>
      <w:bookmarkEnd w:id="24"/>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b/>
          <w:color w:val="000000"/>
        </w:rPr>
        <w:t xml:space="preserve">Scope of EY-Microsoft Collaboration</w:t>
      </w:r>
      <w:r>
        <w:rPr>
          <w:rFonts w:eastAsia="inter" w:cs="inter" w:ascii="inter" w:hAnsi="inter"/>
          <w:color w:val="000000"/>
        </w:rPr>
        <w:t xml:space="preserve"> (Global, with applicability to Israel):</w:t>
      </w:r>
      <w:bookmarkStart w:id="25" w:name="fnref13"/>
      <w:bookmarkEnd w:id="25"/>
      <w:hyperlink w:anchor="fn13">
        <w:r>
          <w:rPr>
            <w:rFonts w:eastAsia="inter" w:cs="inter" w:ascii="inter" w:hAnsi="inter"/>
            <w:color w:val="#000"/>
            <w:u w:val="single"/>
            <w:vertAlign w:val="superscript"/>
          </w:rPr>
          <w:t xml:space="preserve">[13]</w:t>
        </w:r>
      </w:hyperlink>
    </w:p>
    <w:p>
      <w:pPr>
        <w:numPr>
          <w:ilvl w:val="0"/>
          <w:numId w:val="7"/>
        </w:numPr>
        <w:spacing w:line="360" w:before="105" w:after="105" w:lineRule="auto"/>
      </w:pPr>
      <w:r>
        <w:rPr>
          <w:rFonts w:eastAsia="inter" w:cs="inter" w:ascii="inter" w:hAnsi="inter"/>
          <w:b/>
          <w:color w:val="000000"/>
          <w:sz w:val="21"/>
        </w:rPr>
        <w:t xml:space="preserve">Copilot Transformation</w:t>
      </w:r>
      <w:r>
        <w:rPr>
          <w:rFonts w:eastAsia="inter" w:cs="inter" w:ascii="inter" w:hAnsi="inter"/>
          <w:color w:val="000000"/>
          <w:sz w:val="21"/>
        </w:rPr>
        <w:t xml:space="preserve">: Supporting enterprises in embedding Microsoft Copilot across enterprise applications</w:t>
      </w:r>
    </w:p>
    <w:p>
      <w:pPr>
        <w:numPr>
          <w:ilvl w:val="0"/>
          <w:numId w:val="7"/>
        </w:numPr>
        <w:spacing w:line="360" w:before="105" w:after="105" w:lineRule="auto"/>
      </w:pPr>
      <w:r>
        <w:rPr>
          <w:rFonts w:eastAsia="inter" w:cs="inter" w:ascii="inter" w:hAnsi="inter"/>
          <w:b/>
          <w:color w:val="000000"/>
          <w:sz w:val="21"/>
        </w:rPr>
        <w:t xml:space="preserve">SAP + Agentic AI</w:t>
      </w:r>
      <w:r>
        <w:rPr>
          <w:rFonts w:eastAsia="inter" w:cs="inter" w:ascii="inter" w:hAnsi="inter"/>
          <w:color w:val="000000"/>
          <w:sz w:val="21"/>
        </w:rPr>
        <w:t xml:space="preserve">: Co-delivering AI-driven productivity for SAP ecosystems</w:t>
      </w:r>
    </w:p>
    <w:p>
      <w:pPr>
        <w:numPr>
          <w:ilvl w:val="0"/>
          <w:numId w:val="7"/>
        </w:numPr>
        <w:spacing w:line="360" w:before="105" w:after="105" w:lineRule="auto"/>
      </w:pPr>
      <w:r>
        <w:rPr>
          <w:rFonts w:eastAsia="inter" w:cs="inter" w:ascii="inter" w:hAnsi="inter"/>
          <w:b/>
          <w:color w:val="000000"/>
          <w:sz w:val="21"/>
        </w:rPr>
        <w:t xml:space="preserve">Data and AI on Azure</w:t>
      </w:r>
      <w:r>
        <w:rPr>
          <w:rFonts w:eastAsia="inter" w:cs="inter" w:ascii="inter" w:hAnsi="inter"/>
          <w:color w:val="000000"/>
          <w:sz w:val="21"/>
        </w:rPr>
        <w:t xml:space="preserve">: Building data fabric and AI solutions on Microsoft Cloud</w:t>
      </w:r>
    </w:p>
    <w:p>
      <w:pPr>
        <w:numPr>
          <w:ilvl w:val="0"/>
          <w:numId w:val="7"/>
        </w:numPr>
        <w:spacing w:line="360" w:before="105" w:after="105" w:lineRule="auto"/>
      </w:pPr>
      <w:r>
        <w:rPr>
          <w:rFonts w:eastAsia="inter" w:cs="inter" w:ascii="inter" w:hAnsi="inter"/>
          <w:b/>
          <w:color w:val="000000"/>
          <w:sz w:val="21"/>
        </w:rPr>
        <w:t xml:space="preserve">AI-Powered Automation</w:t>
      </w:r>
      <w:r>
        <w:rPr>
          <w:rFonts w:eastAsia="inter" w:cs="inter" w:ascii="inter" w:hAnsi="inter"/>
          <w:color w:val="000000"/>
          <w:sz w:val="21"/>
        </w:rPr>
        <w:t xml:space="preserve">: Implementing intelligent automation workflows across business processes</w:t>
      </w:r>
    </w:p>
    <w:p>
      <w:pPr>
        <w:numPr>
          <w:ilvl w:val="0"/>
          <w:numId w:val="7"/>
        </w:numPr>
        <w:spacing w:line="360" w:before="105" w:after="105" w:lineRule="auto"/>
      </w:pPr>
      <w:r>
        <w:rPr>
          <w:rFonts w:eastAsia="inter" w:cs="inter" w:ascii="inter" w:hAnsi="inter"/>
          <w:b/>
          <w:color w:val="000000"/>
          <w:sz w:val="21"/>
        </w:rPr>
        <w:t xml:space="preserve">Specialized Solutions</w:t>
      </w:r>
      <w:r>
        <w:rPr>
          <w:rFonts w:eastAsia="inter" w:cs="inter" w:ascii="inter" w:hAnsi="inter"/>
          <w:color w:val="000000"/>
          <w:sz w:val="21"/>
        </w:rPr>
        <w:t xml:space="preserve">: Loan forgiveness platforms, tax services platforms, open banking solutions</w:t>
      </w:r>
    </w:p>
    <w:p>
      <w:pPr>
        <w:spacing w:line="360" w:after="210" w:lineRule="auto"/>
      </w:pPr>
      <w:r>
        <w:rPr>
          <w:rFonts w:eastAsia="inter" w:cs="inter" w:ascii="inter" w:hAnsi="inter"/>
          <w:b/>
          <w:color w:val="000000"/>
        </w:rPr>
        <w:t xml:space="preserve">March 2025 Strategic Milestone</w:t>
      </w:r>
      <w:r>
        <w:rPr>
          <w:rFonts w:eastAsia="inter" w:cs="inter" w:ascii="inter" w:hAnsi="inter"/>
          <w:color w:val="000000"/>
        </w:rPr>
        <w:t xml:space="preserve">: EY, Microsoft, and SAP jointly announced a multi-year initiative to transition SAP S/4HANA Cloud Private Edition </w:t>
      </w:r>
      <w:r>
        <w:rPr>
          <w:rFonts w:eastAsia="inter" w:cs="inter" w:ascii="inter" w:hAnsi="inter"/>
          <w:b/>
          <w:color w:val="000000"/>
        </w:rPr>
        <w:t xml:space="preserve">onto Microsoft Azure</w:t>
      </w:r>
      <w:r>
        <w:rPr>
          <w:rFonts w:eastAsia="inter" w:cs="inter" w:ascii="inter" w:hAnsi="inter"/>
          <w:color w:val="000000"/>
        </w:rPr>
        <w:t xml:space="preserve">. This signals a coordinated push to move enterprises from on-premise ERP to cloud-based, AI-integrated platforms—a transformation that creates consulting demand at scale.</w:t>
      </w:r>
      <w:bookmarkStart w:id="26" w:name="fnref14"/>
      <w:bookmarkEnd w:id="26"/>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b/>
          <w:color w:val="000000"/>
        </w:rPr>
        <w:t xml:space="preserve">Applicability to Israel</w:t>
      </w:r>
      <w:r>
        <w:rPr>
          <w:rFonts w:eastAsia="inter" w:cs="inter" w:ascii="inter" w:hAnsi="inter"/>
          <w:color w:val="000000"/>
        </w:rPr>
        <w:t xml:space="preserve">: While no Israel-specific "EY + Microsoft Azure OpenAI" partnership has been publicly announced, the global framework applies. Israeli banks and enterprises using Microsoft Cloud infrastructure will naturally default to EY for implementation consulting, governance, and optimization—creating a structural advantage independent of explicit local deals.</w:t>
      </w:r>
    </w:p>
    <w:p>
      <w:pPr>
        <w:spacing w:line="360" w:before="315" w:after="105" w:lineRule="auto"/>
        <w:ind w:left="-30"/>
        <w:jc w:val="left"/>
      </w:pPr>
      <w:bookmarkStart w:id="27" w:name="nvidia_partnership_agentic_ai_acc_201295"/>
      <w:r>
        <w:rPr>
          <w:rFonts w:eastAsia="inter" w:cs="inter" w:ascii="inter" w:hAnsi="inter"/>
          <w:b/>
          <w:color w:val="000000"/>
          <w:sz w:val="24"/>
        </w:rPr>
        <w:t xml:space="preserve">NVIDIA Partnership: Agentic AI Acceleration (Recent)</w:t>
      </w:r>
      <w:bookmarkEnd w:id="27"/>
    </w:p>
    <w:p>
      <w:pPr>
        <w:spacing w:line="360" w:after="210" w:lineRule="auto"/>
      </w:pPr>
      <w:r>
        <w:rPr>
          <w:rFonts w:eastAsia="inter" w:cs="inter" w:ascii="inter" w:hAnsi="inter"/>
          <w:color w:val="000000"/>
        </w:rPr>
        <w:t xml:space="preserve">In March 2025, EY announced an </w:t>
      </w:r>
      <w:r>
        <w:rPr>
          <w:rFonts w:eastAsia="inter" w:cs="inter" w:ascii="inter" w:hAnsi="inter"/>
          <w:b/>
          <w:color w:val="000000"/>
        </w:rPr>
        <w:t xml:space="preserve">expanded collaboration with NVIDIA</w:t>
      </w:r>
      <w:r>
        <w:rPr>
          <w:rFonts w:eastAsia="inter" w:cs="inter" w:ascii="inter" w:hAnsi="inter"/>
          <w:color w:val="000000"/>
        </w:rPr>
        <w:t xml:space="preserve"> to develop and deploy the </w:t>
      </w:r>
      <w:r>
        <w:rPr>
          <w:rFonts w:eastAsia="inter" w:cs="inter" w:ascii="inter" w:hAnsi="inter"/>
          <w:b/>
          <w:color w:val="000000"/>
        </w:rPr>
      </w:r>
      <w:hyperlink r:id="rId13">
        <w:r>
          <w:rPr>
            <w:rFonts w:eastAsia="inter" w:cs="inter" w:ascii="inter" w:hAnsi="inter"/>
            <w:b/>
            <w:color w:val="#000"/>
            <w:u w:val="single"/>
          </w:rPr>
          <w:t xml:space="preserve">EY.ai</w:t>
        </w:r>
      </w:hyperlink>
      <w:r>
        <w:rPr>
          <w:rFonts w:eastAsia="inter" w:cs="inter" w:ascii="inter" w:hAnsi="inter"/>
          <w:b/>
          <w:color w:val="000000"/>
        </w:rPr>
        <w:t xml:space="preserve"> Agentic Platform</w:t>
      </w:r>
      <w:r>
        <w:rPr>
          <w:rFonts w:eastAsia="inter" w:cs="inter" w:ascii="inter" w:hAnsi="inter"/>
          <w:color w:val="000000"/>
        </w:rPr>
        <w:t xml:space="preserve">, leveraging the full NVIDIA AI stack. This partnership is significant because it:</w:t>
      </w:r>
      <w:bookmarkStart w:id="28" w:name="fnref15"/>
      <w:bookmarkEnd w:id="28"/>
      <w:hyperlink w:anchor="fn15">
        <w:r>
          <w:rPr>
            <w:rFonts w:eastAsia="inter" w:cs="inter" w:ascii="inter" w:hAnsi="inter"/>
            <w:color w:val="#000"/>
            <w:u w:val="single"/>
            <w:vertAlign w:val="superscript"/>
          </w:rPr>
          <w:t xml:space="preserve">[15]</w:t>
        </w:r>
      </w:hyperlink>
    </w:p>
    <w:p>
      <w:pPr>
        <w:numPr>
          <w:ilvl w:val="0"/>
          <w:numId w:val="8"/>
        </w:numPr>
        <w:spacing w:line="360" w:before="105" w:after="105" w:lineRule="auto"/>
      </w:pPr>
      <w:r>
        <w:rPr>
          <w:rFonts w:eastAsia="inter" w:cs="inter" w:ascii="inter" w:hAnsi="inter"/>
          <w:b/>
          <w:color w:val="000000"/>
          <w:sz w:val="21"/>
        </w:rPr>
        <w:t xml:space="preserve">Operationalizes agentic AI at scale</w:t>
      </w:r>
      <w:r>
        <w:rPr>
          <w:rFonts w:eastAsia="inter" w:cs="inter" w:ascii="inter" w:hAnsi="inter"/>
          <w:color w:val="000000"/>
          <w:sz w:val="21"/>
        </w:rPr>
        <w:t xml:space="preserve">: Initial deployment includes 150 AI agents supporting 80,000 EY professionals, with capacity for 3 million tax compliance tasks and 30 million process simplifications annually</w:t>
      </w:r>
      <w:bookmarkStart w:id="29" w:name="fnref16"/>
      <w:bookmarkEnd w:id="29"/>
      <w:hyperlink w:anchor="fn16">
        <w:r>
          <w:rPr>
            <w:rFonts w:eastAsia="inter" w:cs="inter" w:ascii="inter" w:hAnsi="inter"/>
            <w:color w:val="#000"/>
            <w:sz w:val="21"/>
            <w:u w:val="single"/>
            <w:vertAlign w:val="superscript"/>
          </w:rPr>
          <w:t xml:space="preserve">[16]</w:t>
        </w:r>
      </w:hyperlink>
    </w:p>
    <w:p>
      <w:pPr>
        <w:numPr>
          <w:ilvl w:val="0"/>
          <w:numId w:val="8"/>
        </w:numPr>
        <w:spacing w:line="360" w:before="105" w:after="105" w:lineRule="auto"/>
      </w:pPr>
      <w:r>
        <w:rPr>
          <w:rFonts w:eastAsia="inter" w:cs="inter" w:ascii="inter" w:hAnsi="inter"/>
          <w:b/>
          <w:color w:val="000000"/>
          <w:sz w:val="21"/>
        </w:rPr>
        <w:t xml:space="preserve">Validates performance on enterprise workloads</w:t>
      </w:r>
      <w:r>
        <w:rPr>
          <w:rFonts w:eastAsia="inter" w:cs="inter" w:ascii="inter" w:hAnsi="inter"/>
          <w:color w:val="000000"/>
          <w:sz w:val="21"/>
        </w:rPr>
        <w:t xml:space="preserve">: NVIDIA's infrastructure and optimization ensures agentic AI performs reliably in mission-critical contexts</w:t>
      </w:r>
    </w:p>
    <w:p>
      <w:pPr>
        <w:numPr>
          <w:ilvl w:val="0"/>
          <w:numId w:val="8"/>
        </w:numPr>
        <w:spacing w:line="360" w:before="105" w:after="105" w:lineRule="auto"/>
      </w:pPr>
      <w:r>
        <w:rPr>
          <w:rFonts w:eastAsia="inter" w:cs="inter" w:ascii="inter" w:hAnsi="inter"/>
          <w:b/>
          <w:color w:val="000000"/>
          <w:sz w:val="21"/>
        </w:rPr>
        <w:t xml:space="preserve">Integrates with EY's risk framework</w:t>
      </w:r>
      <w:r>
        <w:rPr>
          <w:rFonts w:eastAsia="inter" w:cs="inter" w:ascii="inter" w:hAnsi="inter"/>
          <w:color w:val="000000"/>
          <w:sz w:val="21"/>
        </w:rPr>
        <w:t xml:space="preserve">: </w:t>
      </w:r>
      <w:hyperlink r:id="rId14">
        <w:r>
          <w:rPr>
            <w:rFonts w:eastAsia="inter" w:cs="inter" w:ascii="inter" w:hAnsi="inter"/>
            <w:color w:val="#000"/>
            <w:sz w:val="21"/>
            <w:u w:val="single"/>
          </w:rPr>
          <w:t xml:space="preserve">EY.ai</w:t>
        </w:r>
      </w:hyperlink>
      <w:r>
        <w:rPr>
          <w:rFonts w:eastAsia="inter" w:cs="inter" w:ascii="inter" w:hAnsi="inter"/>
          <w:color w:val="000000"/>
          <w:sz w:val="21"/>
        </w:rPr>
        <w:t xml:space="preserve"> for Risk solutions launched in June 2025 on the NVIDIA-accelerated platform, combining governance with execution</w:t>
      </w:r>
      <w:bookmarkStart w:id="30" w:name="fnref17"/>
      <w:bookmarkEnd w:id="30"/>
      <w:hyperlink w:anchor="fn17">
        <w:r>
          <w:rPr>
            <w:rFonts w:eastAsia="inter" w:cs="inter" w:ascii="inter" w:hAnsi="inter"/>
            <w:color w:val="#000"/>
            <w:sz w:val="21"/>
            <w:u w:val="single"/>
            <w:vertAlign w:val="superscript"/>
          </w:rPr>
          <w:t xml:space="preserve">[17]</w:t>
        </w:r>
      </w:hyperlink>
    </w:p>
    <w:p>
      <w:pPr>
        <w:spacing w:line="360" w:after="210" w:lineRule="auto"/>
      </w:pPr>
      <w:r>
        <w:rPr>
          <w:rFonts w:eastAsia="inter" w:cs="inter" w:ascii="inter" w:hAnsi="inter"/>
          <w:color w:val="000000"/>
        </w:rPr>
        <w:t xml:space="preserve">For Israeli enterprises evaluating GenAI deployment, the NVIDIA-EY partnership signals that agentic AI is production-ready and risk-managed—a critical signal in a conservative market.</w:t>
      </w:r>
    </w:p>
    <w:p>
      <w:pPr>
        <w:spacing w:line="360" w:before="315" w:after="105" w:lineRule="auto"/>
        <w:ind w:left="-30"/>
        <w:jc w:val="left"/>
      </w:pPr>
      <w:bookmarkStart w:id="31" w:name="sap_ecosystem_closing_the_enterpr_282fbc"/>
      <w:r>
        <w:rPr>
          <w:rFonts w:eastAsia="inter" w:cs="inter" w:ascii="inter" w:hAnsi="inter"/>
          <w:b/>
          <w:color w:val="000000"/>
          <w:sz w:val="24"/>
        </w:rPr>
        <w:t xml:space="preserve">SAP Ecosystem: Closing the "Enterprise Apps" Loop</w:t>
      </w:r>
      <w:bookmarkEnd w:id="31"/>
    </w:p>
    <w:p>
      <w:pPr>
        <w:spacing w:line="360" w:after="210" w:lineRule="auto"/>
      </w:pPr>
      <w:r>
        <w:rPr>
          <w:rFonts w:eastAsia="inter" w:cs="inter" w:ascii="inter" w:hAnsi="inter"/>
          <w:color w:val="000000"/>
        </w:rPr>
        <w:t xml:space="preserve">EY's established SAP implementation capabilities in Israel, combined with SAP-NVIDIA partnership on generative AI integration, position EY to be the natural integrator for Israeli enterprises modernizing their core systems. SAP's embedded AI (Joule copilot, intelligent recommendations) requires both technical implementation and governance—two EY core competencies.</w:t>
      </w:r>
      <w:bookmarkStart w:id="32" w:name="fnref18"/>
      <w:bookmarkEnd w:id="32"/>
      <w:hyperlink w:anchor="fn18">
        <w:r>
          <w:rPr>
            <w:rFonts w:eastAsia="inter" w:cs="inter" w:ascii="inter" w:hAnsi="inter"/>
            <w:color w:val="#000"/>
            <w:u w:val="single"/>
            <w:vertAlign w:val="superscript"/>
          </w:rPr>
          <w:t xml:space="preserve">[18]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part_iv_the_israeli_banking_marke_e91660"/>
      <w:r>
        <w:rPr>
          <w:rFonts w:eastAsia="inter" w:cs="inter" w:ascii="inter" w:hAnsi="inter"/>
          <w:b/>
          <w:color w:val="000000"/>
          <w:sz w:val="24"/>
        </w:rPr>
        <w:t xml:space="preserve">Part IV: The Israeli Banking Market—Where Trust Compounds</w:t>
      </w:r>
      <w:bookmarkEnd w:id="33"/>
    </w:p>
    <w:p>
      <w:pPr>
        <w:spacing w:line="360" w:before="315" w:after="105" w:lineRule="auto"/>
        <w:ind w:left="-30"/>
        <w:jc w:val="left"/>
      </w:pPr>
      <w:bookmarkStart w:id="34" w:name="bank_leumi_the_flagship_genai_adoption"/>
      <w:r>
        <w:rPr>
          <w:rFonts w:eastAsia="inter" w:cs="inter" w:ascii="inter" w:hAnsi="inter"/>
          <w:b/>
          <w:color w:val="000000"/>
          <w:sz w:val="24"/>
        </w:rPr>
        <w:t xml:space="preserve">Bank Leumi: The Flagship GenAI Adoption</w:t>
      </w:r>
      <w:bookmarkEnd w:id="34"/>
    </w:p>
    <w:p>
      <w:pPr>
        <w:spacing w:line="360" w:after="210" w:lineRule="auto"/>
      </w:pPr>
      <w:r>
        <w:rPr>
          <w:rFonts w:eastAsia="inter" w:cs="inter" w:ascii="inter" w:hAnsi="inter"/>
          <w:color w:val="000000"/>
        </w:rPr>
        <w:t xml:space="preserve">In September 2025, Bank Leumi CEO Hanan Friedman publicly announced the establishment of a </w:t>
      </w:r>
      <w:r>
        <w:rPr>
          <w:rFonts w:eastAsia="inter" w:cs="inter" w:ascii="inter" w:hAnsi="inter"/>
          <w:b/>
          <w:color w:val="000000"/>
        </w:rPr>
        <w:t xml:space="preserve">dedicated generative AI hub</w:t>
      </w:r>
      <w:r>
        <w:rPr>
          <w:rFonts w:eastAsia="inter" w:cs="inter" w:ascii="inter" w:hAnsi="inter"/>
          <w:color w:val="000000"/>
        </w:rPr>
        <w:t xml:space="preserve"> aimed at transforming Israeli banking operations. Key details:</w:t>
      </w:r>
      <w:bookmarkStart w:id="35" w:name="fnref19"/>
      <w:bookmarkEnd w:id="35"/>
      <w:hyperlink w:anchor="fn19">
        <w:r>
          <w:rPr>
            <w:rFonts w:eastAsia="inter" w:cs="inter" w:ascii="inter" w:hAnsi="inter"/>
            <w:color w:val="#000"/>
            <w:u w:val="single"/>
            <w:vertAlign w:val="superscript"/>
          </w:rPr>
          <w:t xml:space="preserve">[19]</w:t>
        </w:r>
      </w:hyperlink>
    </w:p>
    <w:p>
      <w:pPr>
        <w:numPr>
          <w:ilvl w:val="0"/>
          <w:numId w:val="9"/>
        </w:numPr>
        <w:spacing w:line="360" w:before="105" w:after="105" w:lineRule="auto"/>
      </w:pPr>
      <w:r>
        <w:rPr>
          <w:rFonts w:eastAsia="inter" w:cs="inter" w:ascii="inter" w:hAnsi="inter"/>
          <w:color w:val="000000"/>
          <w:sz w:val="21"/>
        </w:rPr>
        <w:t xml:space="preserve">Recruiting elite talent from specialized military AI units</w:t>
      </w:r>
    </w:p>
    <w:p>
      <w:pPr>
        <w:numPr>
          <w:ilvl w:val="0"/>
          <w:numId w:val="9"/>
        </w:numPr>
        <w:spacing w:line="360" w:before="105" w:after="105" w:lineRule="auto"/>
      </w:pPr>
      <w:r>
        <w:rPr>
          <w:rFonts w:eastAsia="inter" w:cs="inter" w:ascii="inter" w:hAnsi="inter"/>
          <w:color w:val="000000"/>
          <w:sz w:val="21"/>
        </w:rPr>
        <w:t xml:space="preserve">Defined set of "challenges" to be solved through AI (not isolated projects)</w:t>
      </w:r>
    </w:p>
    <w:p>
      <w:pPr>
        <w:numPr>
          <w:ilvl w:val="0"/>
          <w:numId w:val="9"/>
        </w:numPr>
        <w:spacing w:line="360" w:before="105" w:after="105" w:lineRule="auto"/>
      </w:pPr>
      <w:r>
        <w:rPr>
          <w:rFonts w:eastAsia="inter" w:cs="inter" w:ascii="inter" w:hAnsi="inter"/>
          <w:color w:val="000000"/>
          <w:sz w:val="21"/>
        </w:rPr>
        <w:t xml:space="preserve">Emphasis on </w:t>
      </w:r>
      <w:r>
        <w:rPr>
          <w:rFonts w:eastAsia="inter" w:cs="inter" w:ascii="inter" w:hAnsi="inter"/>
          <w:b/>
          <w:color w:val="000000"/>
          <w:sz w:val="21"/>
        </w:rPr>
        <w:t xml:space="preserve">combining artificial intelligence with human intelligence</w:t>
      </w:r>
      <w:r>
        <w:rPr>
          <w:rFonts w:eastAsia="inter" w:cs="inter" w:ascii="inter" w:hAnsi="inter"/>
          <w:color w:val="000000"/>
          <w:sz w:val="21"/>
        </w:rPr>
        <w:t xml:space="preserve">—i.e., AI augments rather than replaces</w:t>
      </w:r>
    </w:p>
    <w:p>
      <w:pPr>
        <w:numPr>
          <w:ilvl w:val="0"/>
          <w:numId w:val="9"/>
        </w:numPr>
        <w:spacing w:line="360" w:before="105" w:after="105" w:lineRule="auto"/>
      </w:pPr>
      <w:r>
        <w:rPr>
          <w:rFonts w:eastAsia="inter" w:cs="inter" w:ascii="inter" w:hAnsi="inter"/>
          <w:color w:val="000000"/>
          <w:sz w:val="21"/>
        </w:rPr>
        <w:t xml:space="preserve">Projected "remarkable revolution" in customer experience and operational efficiency</w:t>
      </w:r>
    </w:p>
    <w:p>
      <w:pPr>
        <w:spacing w:line="360" w:after="210" w:lineRule="auto"/>
      </w:pPr>
      <w:r>
        <w:rPr>
          <w:rFonts w:eastAsia="inter" w:cs="inter" w:ascii="inter" w:hAnsi="inter"/>
          <w:color w:val="000000"/>
        </w:rPr>
        <w:t xml:space="preserve">While EY was not explicitly named as a consulting partner in public statements, the governance and risk management implications of such a transformation directly align with EY's Responsible AI offerings. The scale of Bank Leumi's commitment suggests demand for independent governance frameworks, bias auditing, regulatory compliance verification, and risk assessment—all EY core services.</w:t>
      </w:r>
    </w:p>
    <w:p>
      <w:pPr>
        <w:spacing w:line="360" w:before="315" w:after="105" w:lineRule="auto"/>
        <w:ind w:left="-30"/>
        <w:jc w:val="left"/>
      </w:pPr>
      <w:bookmarkStart w:id="36" w:name="discount_bank_and_mizrahi_the_mar_f2d627"/>
      <w:r>
        <w:rPr>
          <w:rFonts w:eastAsia="inter" w:cs="inter" w:ascii="inter" w:hAnsi="inter"/>
          <w:b/>
          <w:color w:val="000000"/>
          <w:sz w:val="24"/>
        </w:rPr>
        <w:t xml:space="preserve">Discount Bank and Mizrahi: The Market Opening</w:t>
      </w:r>
      <w:bookmarkEnd w:id="36"/>
    </w:p>
    <w:p>
      <w:pPr>
        <w:spacing w:line="360" w:after="210" w:lineRule="auto"/>
      </w:pPr>
      <w:r>
        <w:rPr>
          <w:rFonts w:eastAsia="inter" w:cs="inter" w:ascii="inter" w:hAnsi="inter"/>
          <w:color w:val="000000"/>
        </w:rPr>
        <w:t xml:space="preserve">Discount Bank launched "Adi," an AI tool for investment management advice (November 2025), signaling that Israeli banks are moving beyond AI pilots into production systems. CEO David Levi emphasized technology as a "key growth engine" and acknowledged the need for careful, risk-managed deployment—precisely the governance opportunity EY targets.</w:t>
      </w:r>
      <w:bookmarkStart w:id="37" w:name="fnref20"/>
      <w:bookmarkEnd w:id="37"/>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color w:val="000000"/>
        </w:rPr>
        <w:t xml:space="preserve">Mizrahi Tefahot and First International Bank are part of Israel's banking consolidation, with regulators discussing concentration among the "Big Five" banks. Any consolidation or integration creates IT/AI governance work—a traditional EY consulting opportunity.</w:t>
      </w:r>
      <w:bookmarkStart w:id="38" w:name="fnref21"/>
      <w:bookmarkEnd w:id="38"/>
      <w:hyperlink w:anchor="fn21">
        <w:r>
          <w:rPr>
            <w:rFonts w:eastAsia="inter" w:cs="inter" w:ascii="inter" w:hAnsi="inter"/>
            <w:color w:val="#000"/>
            <w:u w:val="single"/>
            <w:vertAlign w:val="superscript"/>
          </w:rPr>
          <w:t xml:space="preserve">[21]</w:t>
        </w:r>
      </w:hyperlink>
    </w:p>
    <w:p>
      <w:pPr>
        <w:spacing w:line="360" w:before="315" w:after="105" w:lineRule="auto"/>
        <w:ind w:left="-30"/>
        <w:jc w:val="left"/>
      </w:pPr>
      <w:bookmarkStart w:id="39" w:name="the_regulatory_tailwind_isa_s_sof_53d9a0"/>
      <w:r>
        <w:rPr>
          <w:rFonts w:eastAsia="inter" w:cs="inter" w:ascii="inter" w:hAnsi="inter"/>
          <w:b/>
          <w:color w:val="000000"/>
          <w:sz w:val="24"/>
        </w:rPr>
        <w:t xml:space="preserve">The Regulatory Tailwind: ISA's "Soft Law" Approach</w:t>
      </w:r>
      <w:bookmarkEnd w:id="39"/>
    </w:p>
    <w:p>
      <w:pPr>
        <w:spacing w:line="360" w:after="210" w:lineRule="auto"/>
      </w:pPr>
      <w:r>
        <w:rPr>
          <w:rFonts w:eastAsia="inter" w:cs="inter" w:ascii="inter" w:hAnsi="inter"/>
          <w:color w:val="000000"/>
        </w:rPr>
        <w:t xml:space="preserve">Israel's Securities Authority published an interim report on AI in the financial sector (December 2024) that articulates a principles-based, risk-based regulatory approach—notably </w:t>
      </w:r>
      <w:r>
        <w:rPr>
          <w:rFonts w:eastAsia="inter" w:cs="inter" w:ascii="inter" w:hAnsi="inter"/>
          <w:b/>
          <w:color w:val="000000"/>
        </w:rPr>
        <w:t xml:space="preserve">not</w:t>
      </w:r>
      <w:r>
        <w:rPr>
          <w:rFonts w:eastAsia="inter" w:cs="inter" w:ascii="inter" w:hAnsi="inter"/>
          <w:color w:val="000000"/>
        </w:rPr>
        <w:t xml:space="preserve"> a prescriptive, technology-specific mandates. This creates optimal conditions for EY's positioning:</w:t>
      </w:r>
      <w:bookmarkStart w:id="40" w:name="fnref22"/>
      <w:bookmarkEnd w:id="40"/>
      <w:hyperlink w:anchor="fn22">
        <w:r>
          <w:rPr>
            <w:rFonts w:eastAsia="inter" w:cs="inter" w:ascii="inter" w:hAnsi="inter"/>
            <w:color w:val="#000"/>
            <w:u w:val="single"/>
            <w:vertAlign w:val="superscript"/>
          </w:rPr>
          <w:t xml:space="preserve">[22]</w:t>
        </w:r>
      </w:hyperlink>
    </w:p>
    <w:p>
      <w:pPr>
        <w:numPr>
          <w:ilvl w:val="0"/>
          <w:numId w:val="10"/>
        </w:numPr>
        <w:spacing w:line="360" w:before="105" w:after="105" w:lineRule="auto"/>
      </w:pPr>
      <w:r>
        <w:rPr>
          <w:rFonts w:eastAsia="inter" w:cs="inter" w:ascii="inter" w:hAnsi="inter"/>
          <w:color w:val="000000"/>
          <w:sz w:val="21"/>
        </w:rPr>
        <w:t xml:space="preserve">Enterprises must develop and justify their own governance frameworks</w:t>
      </w:r>
    </w:p>
    <w:p>
      <w:pPr>
        <w:numPr>
          <w:ilvl w:val="0"/>
          <w:numId w:val="10"/>
        </w:numPr>
        <w:spacing w:line="360" w:before="105" w:after="105" w:lineRule="auto"/>
      </w:pPr>
      <w:r>
        <w:rPr>
          <w:rFonts w:eastAsia="inter" w:cs="inter" w:ascii="inter" w:hAnsi="inter"/>
          <w:color w:val="000000"/>
          <w:sz w:val="21"/>
        </w:rPr>
        <w:t xml:space="preserve">Regulatory guidance emphasizes risk assessment and human oversight</w:t>
      </w:r>
    </w:p>
    <w:p>
      <w:pPr>
        <w:numPr>
          <w:ilvl w:val="0"/>
          <w:numId w:val="10"/>
        </w:numPr>
        <w:spacing w:line="360" w:before="105" w:after="105" w:lineRule="auto"/>
      </w:pPr>
      <w:r>
        <w:rPr>
          <w:rFonts w:eastAsia="inter" w:cs="inter" w:ascii="inter" w:hAnsi="inter"/>
          <w:color w:val="000000"/>
          <w:sz w:val="21"/>
        </w:rPr>
        <w:t xml:space="preserve">No standardized compliance template exists (unlike EU AI Act)</w:t>
      </w:r>
    </w:p>
    <w:p>
      <w:pPr>
        <w:numPr>
          <w:ilvl w:val="0"/>
          <w:numId w:val="10"/>
        </w:numPr>
        <w:spacing w:line="360" w:before="105" w:after="105" w:lineRule="auto"/>
      </w:pPr>
      <w:r>
        <w:rPr>
          <w:rFonts w:eastAsia="inter" w:cs="inter" w:ascii="inter" w:hAnsi="inter"/>
          <w:color w:val="000000"/>
          <w:sz w:val="21"/>
        </w:rPr>
        <w:t xml:space="preserve">Demand for expert advisors to interpret and operationalize principles</w:t>
      </w:r>
    </w:p>
    <w:p>
      <w:pPr>
        <w:spacing w:line="360" w:after="210" w:lineRule="auto"/>
      </w:pPr>
      <w:r>
        <w:rPr>
          <w:rFonts w:eastAsia="inter" w:cs="inter" w:ascii="inter" w:hAnsi="inter"/>
          <w:color w:val="000000"/>
        </w:rPr>
        <w:t xml:space="preserve">Israeli banks facing this regulatory ambiguity will rationally hire independent third-party assessors like EY to validate their governance—reducing regulatory risk and building credibility with the ISA.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part_v_the_microsoft_connection_i_686ca4"/>
      <w:r>
        <w:rPr>
          <w:rFonts w:eastAsia="inter" w:cs="inter" w:ascii="inter" w:hAnsi="inter"/>
          <w:b/>
          <w:color w:val="000000"/>
          <w:sz w:val="24"/>
        </w:rPr>
        <w:t xml:space="preserve">Part V: The Microsoft Connection in Israel (Implicit Structuring)</w:t>
      </w:r>
      <w:bookmarkEnd w:id="41"/>
    </w:p>
    <w:p>
      <w:pPr>
        <w:spacing w:line="360" w:after="210" w:lineRule="auto"/>
      </w:pPr>
      <w:r>
        <w:rPr>
          <w:rFonts w:eastAsia="inter" w:cs="inter" w:ascii="inter" w:hAnsi="inter"/>
          <w:color w:val="000000"/>
        </w:rPr>
        <w:t xml:space="preserve">While no headline "EY Israel + Microsoft Azure AI" press release has been issued, the partnership infrastructure creates a </w:t>
      </w:r>
      <w:r>
        <w:rPr>
          <w:rFonts w:eastAsia="inter" w:cs="inter" w:ascii="inter" w:hAnsi="inter"/>
          <w:b/>
          <w:color w:val="000000"/>
        </w:rPr>
        <w:t xml:space="preserve">de facto advantage</w:t>
      </w:r>
      <w:r>
        <w:rPr>
          <w:rFonts w:eastAsia="inter" w:cs="inter" w:ascii="inter" w:hAnsi="inter"/>
          <w:color w:val="000000"/>
        </w:rPr>
        <w:t xml:space="preserve"> for EY in Israeli enterprise transformation:</w:t>
      </w:r>
    </w:p>
    <w:p>
      <w:pPr>
        <w:numPr>
          <w:ilvl w:val="0"/>
          <w:numId w:val="11"/>
        </w:numPr>
        <w:spacing w:line="360" w:before="105" w:after="105" w:lineRule="auto"/>
      </w:pPr>
      <w:r>
        <w:rPr>
          <w:rFonts w:eastAsia="inter" w:cs="inter" w:ascii="inter" w:hAnsi="inter"/>
          <w:b/>
          <w:color w:val="000000"/>
          <w:sz w:val="21"/>
        </w:rPr>
        <w:t xml:space="preserve">Microsoft Israel Leadership</w:t>
      </w:r>
      <w:r>
        <w:rPr>
          <w:rFonts w:eastAsia="inter" w:cs="inter" w:ascii="inter" w:hAnsi="inter"/>
          <w:color w:val="000000"/>
          <w:sz w:val="21"/>
        </w:rPr>
        <w:t xml:space="preserve">: Chief Partner Officer Magi Shorack appeared at EY's JOURNEY 2025 conference (January 2025), indicating deep alignment with EY's strategic narrative</w:t>
      </w:r>
      <w:bookmarkStart w:id="42" w:name="fnref23"/>
      <w:bookmarkEnd w:id="42"/>
      <w:hyperlink w:anchor="fn23">
        <w:r>
          <w:rPr>
            <w:rFonts w:eastAsia="inter" w:cs="inter" w:ascii="inter" w:hAnsi="inter"/>
            <w:color w:val="#000"/>
            <w:sz w:val="21"/>
            <w:u w:val="single"/>
            <w:vertAlign w:val="superscript"/>
          </w:rPr>
          <w:t xml:space="preserve">[23]</w:t>
        </w:r>
      </w:hyperlink>
    </w:p>
    <w:p>
      <w:pPr>
        <w:numPr>
          <w:ilvl w:val="0"/>
          <w:numId w:val="11"/>
        </w:numPr>
        <w:spacing w:line="360" w:before="105" w:after="105" w:lineRule="auto"/>
      </w:pPr>
      <w:r>
        <w:rPr>
          <w:rFonts w:eastAsia="inter" w:cs="inter" w:ascii="inter" w:hAnsi="inter"/>
          <w:b/>
          <w:color w:val="000000"/>
          <w:sz w:val="21"/>
        </w:rPr>
        <w:t xml:space="preserve">Azure OpenAI Deployment</w:t>
      </w:r>
      <w:r>
        <w:rPr>
          <w:rFonts w:eastAsia="inter" w:cs="inter" w:ascii="inter" w:hAnsi="inter"/>
          <w:color w:val="000000"/>
          <w:sz w:val="21"/>
        </w:rPr>
        <w:t xml:space="preserve">: Israeli enterprises leveraging Microsoft's cloud naturally seek implementation partners with Azure expertise—EY is globally recognized as a leader</w:t>
      </w:r>
    </w:p>
    <w:p>
      <w:pPr>
        <w:numPr>
          <w:ilvl w:val="0"/>
          <w:numId w:val="11"/>
        </w:numPr>
        <w:spacing w:line="360" w:before="105" w:after="105" w:lineRule="auto"/>
      </w:pPr>
      <w:r>
        <w:rPr>
          <w:rFonts w:eastAsia="inter" w:cs="inter" w:ascii="inter" w:hAnsi="inter"/>
          <w:b/>
          <w:color w:val="000000"/>
          <w:sz w:val="21"/>
        </w:rPr>
        <w:t xml:space="preserve">Regulatory Alignment</w:t>
      </w:r>
      <w:r>
        <w:rPr>
          <w:rFonts w:eastAsia="inter" w:cs="inter" w:ascii="inter" w:hAnsi="inter"/>
          <w:color w:val="000000"/>
          <w:sz w:val="21"/>
        </w:rPr>
        <w:t xml:space="preserve">: Microsoft's responsible AI principles align with EY's framework, reducing friction in combined engagements</w:t>
      </w:r>
    </w:p>
    <w:p>
      <w:pPr>
        <w:numPr>
          <w:ilvl w:val="0"/>
          <w:numId w:val="11"/>
        </w:numPr>
        <w:spacing w:line="360" w:before="105" w:after="105" w:lineRule="auto"/>
      </w:pPr>
      <w:r>
        <w:rPr>
          <w:rFonts w:eastAsia="inter" w:cs="inter" w:ascii="inter" w:hAnsi="inter"/>
          <w:b/>
          <w:color w:val="000000"/>
          <w:sz w:val="21"/>
        </w:rPr>
        <w:t xml:space="preserve">Competitive Moat</w:t>
      </w:r>
      <w:r>
        <w:rPr>
          <w:rFonts w:eastAsia="inter" w:cs="inter" w:ascii="inter" w:hAnsi="inter"/>
          <w:color w:val="000000"/>
          <w:sz w:val="21"/>
        </w:rPr>
        <w:t xml:space="preserve">: Smaller boutique consultants lack both Azure depth and global Responsible AI methodology</w:t>
      </w:r>
    </w:p>
    <w:p>
      <w:pPr>
        <w:spacing w:line="360" w:after="210" w:lineRule="auto"/>
      </w:pPr>
      <w:r>
        <w:rPr>
          <w:rFonts w:eastAsia="inter" w:cs="inter" w:ascii="inter" w:hAnsi="inter"/>
          <w:color w:val="000000"/>
        </w:rPr>
        <w:t xml:space="preserve">The advantage is structural, not transactional. EY doesn't need explicit Israeli customer logos to benefit from the Microsoft ecosystem positioning.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part_vi_the_safety_choice_positio_5adff8"/>
      <w:r>
        <w:rPr>
          <w:rFonts w:eastAsia="inter" w:cs="inter" w:ascii="inter" w:hAnsi="inter"/>
          <w:b/>
          <w:color w:val="000000"/>
          <w:sz w:val="24"/>
        </w:rPr>
        <w:t xml:space="preserve">Part VI: The "Safety Choice" Positioning—Why EY Wins Conservative Board Rooms</w:t>
      </w:r>
      <w:bookmarkEnd w:id="43"/>
    </w:p>
    <w:p>
      <w:pPr>
        <w:spacing w:line="360" w:before="315" w:after="105" w:lineRule="auto"/>
        <w:ind w:left="-30"/>
        <w:jc w:val="left"/>
      </w:pPr>
      <w:bookmarkStart w:id="44" w:name="the_psychology_of_risk_averse_buy_609cdb"/>
      <w:r>
        <w:rPr>
          <w:rFonts w:eastAsia="inter" w:cs="inter" w:ascii="inter" w:hAnsi="inter"/>
          <w:b/>
          <w:color w:val="000000"/>
          <w:sz w:val="24"/>
        </w:rPr>
        <w:t xml:space="preserve">The Psychology of Risk-Averse Buyer Personas</w:t>
      </w:r>
      <w:bookmarkEnd w:id="44"/>
    </w:p>
    <w:p>
      <w:pPr>
        <w:spacing w:line="360" w:after="210" w:lineRule="auto"/>
      </w:pPr>
      <w:r>
        <w:rPr>
          <w:rFonts w:eastAsia="inter" w:cs="inter" w:ascii="inter" w:hAnsi="inter"/>
          <w:color w:val="000000"/>
        </w:rPr>
        <w:t xml:space="preserve">Israeli enterprise IT buyers (especially in banking and insurance) operate in a context of:</w:t>
      </w:r>
    </w:p>
    <w:p>
      <w:pPr>
        <w:numPr>
          <w:ilvl w:val="0"/>
          <w:numId w:val="12"/>
        </w:numPr>
        <w:spacing w:line="360" w:before="105" w:after="105" w:lineRule="auto"/>
      </w:pPr>
      <w:r>
        <w:rPr>
          <w:rFonts w:eastAsia="inter" w:cs="inter" w:ascii="inter" w:hAnsi="inter"/>
          <w:b/>
          <w:color w:val="000000"/>
          <w:sz w:val="21"/>
        </w:rPr>
        <w:t xml:space="preserve">Regulatory Uncertainty</w:t>
      </w:r>
      <w:r>
        <w:rPr>
          <w:rFonts w:eastAsia="inter" w:cs="inter" w:ascii="inter" w:hAnsi="inter"/>
          <w:color w:val="000000"/>
          <w:sz w:val="21"/>
        </w:rPr>
        <w:t xml:space="preserve">: ISA, Bank of Israel, and other regulators are still formulating AI policy</w:t>
      </w:r>
    </w:p>
    <w:p>
      <w:pPr>
        <w:numPr>
          <w:ilvl w:val="0"/>
          <w:numId w:val="12"/>
        </w:numPr>
        <w:spacing w:line="360" w:before="105" w:after="105" w:lineRule="auto"/>
      </w:pPr>
      <w:r>
        <w:rPr>
          <w:rFonts w:eastAsia="inter" w:cs="inter" w:ascii="inter" w:hAnsi="inter"/>
          <w:b/>
          <w:color w:val="000000"/>
          <w:sz w:val="21"/>
        </w:rPr>
        <w:t xml:space="preserve">Legacy System Complexity</w:t>
      </w:r>
      <w:r>
        <w:rPr>
          <w:rFonts w:eastAsia="inter" w:cs="inter" w:ascii="inter" w:hAnsi="inter"/>
          <w:color w:val="000000"/>
          <w:sz w:val="21"/>
        </w:rPr>
        <w:t xml:space="preserve">: Decades of investment in COBOL, Oracle, SAP systems create integration risk</w:t>
      </w:r>
    </w:p>
    <w:p>
      <w:pPr>
        <w:numPr>
          <w:ilvl w:val="0"/>
          <w:numId w:val="12"/>
        </w:numPr>
        <w:spacing w:line="360" w:before="105" w:after="105" w:lineRule="auto"/>
      </w:pPr>
      <w:r>
        <w:rPr>
          <w:rFonts w:eastAsia="inter" w:cs="inter" w:ascii="inter" w:hAnsi="inter"/>
          <w:b/>
          <w:color w:val="000000"/>
          <w:sz w:val="21"/>
        </w:rPr>
        <w:t xml:space="preserve">Security Imperative</w:t>
      </w:r>
      <w:r>
        <w:rPr>
          <w:rFonts w:eastAsia="inter" w:cs="inter" w:ascii="inter" w:hAnsi="inter"/>
          <w:color w:val="000000"/>
          <w:sz w:val="21"/>
        </w:rPr>
        <w:t xml:space="preserve">: Military-grade security expectations (Israeli cybersecurity talent naturally gravitates to military/government; corporate IT must compete)</w:t>
      </w:r>
    </w:p>
    <w:p>
      <w:pPr>
        <w:numPr>
          <w:ilvl w:val="0"/>
          <w:numId w:val="12"/>
        </w:numPr>
        <w:spacing w:line="360" w:before="105" w:after="105" w:lineRule="auto"/>
      </w:pPr>
      <w:r>
        <w:rPr>
          <w:rFonts w:eastAsia="inter" w:cs="inter" w:ascii="inter" w:hAnsi="inter"/>
          <w:b/>
          <w:color w:val="000000"/>
          <w:sz w:val="21"/>
        </w:rPr>
        <w:t xml:space="preserve">Capital Preservation</w:t>
      </w:r>
      <w:r>
        <w:rPr>
          <w:rFonts w:eastAsia="inter" w:cs="inter" w:ascii="inter" w:hAnsi="inter"/>
          <w:color w:val="000000"/>
          <w:sz w:val="21"/>
        </w:rPr>
        <w:t xml:space="preserve">: After years of conservative post-2008 banking regulation, boards are risk-averse on technology</w:t>
      </w:r>
    </w:p>
    <w:p>
      <w:pPr>
        <w:spacing w:line="360" w:after="210" w:lineRule="auto"/>
      </w:pPr>
      <w:r>
        <w:rPr>
          <w:rFonts w:eastAsia="inter" w:cs="inter" w:ascii="inter" w:hAnsi="inter"/>
          <w:color w:val="000000"/>
        </w:rPr>
        <w:t xml:space="preserve">In this context, a CEO or board considering a $10 million+ GenAI transformation faces a choice:</w:t>
      </w:r>
    </w:p>
    <w:p>
      <w:pPr>
        <w:numPr>
          <w:ilvl w:val="0"/>
          <w:numId w:val="13"/>
        </w:numPr>
        <w:spacing w:line="360" w:before="105" w:after="105" w:lineRule="auto"/>
      </w:pPr>
      <w:r>
        <w:rPr>
          <w:rFonts w:eastAsia="inter" w:cs="inter" w:ascii="inter" w:hAnsi="inter"/>
          <w:b/>
          <w:color w:val="000000"/>
          <w:sz w:val="21"/>
        </w:rPr>
        <w:t xml:space="preserve">Option A</w:t>
      </w:r>
      <w:r>
        <w:rPr>
          <w:rFonts w:eastAsia="inter" w:cs="inter" w:ascii="inter" w:hAnsi="inter"/>
          <w:color w:val="000000"/>
          <w:sz w:val="21"/>
        </w:rPr>
        <w:t xml:space="preserve">: Hire a fast-moving fintech boutique or startup with shiny products but limited regulatory track record</w:t>
      </w:r>
    </w:p>
    <w:p>
      <w:pPr>
        <w:numPr>
          <w:ilvl w:val="0"/>
          <w:numId w:val="13"/>
        </w:numPr>
        <w:spacing w:line="360" w:before="105" w:after="105" w:lineRule="auto"/>
      </w:pPr>
      <w:r>
        <w:rPr>
          <w:rFonts w:eastAsia="inter" w:cs="inter" w:ascii="inter" w:hAnsi="inter"/>
          <w:b/>
          <w:color w:val="000000"/>
          <w:sz w:val="21"/>
        </w:rPr>
        <w:t xml:space="preserve">Option B</w:t>
      </w:r>
      <w:r>
        <w:rPr>
          <w:rFonts w:eastAsia="inter" w:cs="inter" w:ascii="inter" w:hAnsi="inter"/>
          <w:color w:val="000000"/>
          <w:sz w:val="21"/>
        </w:rPr>
        <w:t xml:space="preserve">: Engage EY, the "safe choice"—global Big Four firm with Responsible AI methodology, Microsoft/NVIDIA partnerships, documented governance frameworks, ISA alignment</w:t>
      </w:r>
    </w:p>
    <w:p>
      <w:pPr>
        <w:spacing w:line="360" w:after="210" w:lineRule="auto"/>
      </w:pPr>
      <w:r>
        <w:rPr>
          <w:rFonts w:eastAsia="inter" w:cs="inter" w:ascii="inter" w:hAnsi="inter"/>
          <w:color w:val="000000"/>
        </w:rPr>
        <w:t xml:space="preserve">Option B wins not because EY is the most innovative, but because it </w:t>
      </w:r>
      <w:r>
        <w:rPr>
          <w:rFonts w:eastAsia="inter" w:cs="inter" w:ascii="inter" w:hAnsi="inter"/>
          <w:b/>
          <w:color w:val="000000"/>
        </w:rPr>
        <w:t xml:space="preserve">reduces perceived risk</w:t>
      </w:r>
      <w:r>
        <w:rPr>
          <w:rFonts w:eastAsia="inter" w:cs="inter" w:ascii="inter" w:hAnsi="inter"/>
          <w:color w:val="000000"/>
        </w:rPr>
        <w:t xml:space="preserve">. In conservative markets, risk reduction sells.</w:t>
      </w:r>
    </w:p>
    <w:p>
      <w:pPr>
        <w:spacing w:line="360" w:before="315" w:after="105" w:lineRule="auto"/>
        <w:ind w:left="-30"/>
        <w:jc w:val="left"/>
      </w:pPr>
      <w:bookmarkStart w:id="45" w:name="the_governance_moat_grows_with_adoption"/>
      <w:r>
        <w:rPr>
          <w:rFonts w:eastAsia="inter" w:cs="inter" w:ascii="inter" w:hAnsi="inter"/>
          <w:b/>
          <w:color w:val="000000"/>
          <w:sz w:val="24"/>
        </w:rPr>
        <w:t xml:space="preserve">The Governance Moat Grows with Adoption</w:t>
      </w:r>
      <w:bookmarkEnd w:id="45"/>
    </w:p>
    <w:p>
      <w:pPr>
        <w:spacing w:line="360" w:after="210" w:lineRule="auto"/>
      </w:pPr>
      <w:r>
        <w:rPr>
          <w:rFonts w:eastAsia="inter" w:cs="inter" w:ascii="inter" w:hAnsi="inter"/>
          <w:color w:val="000000"/>
        </w:rPr>
        <w:t xml:space="preserve">As more Israeli banks adopt EY's Responsible AI frameworks:</w:t>
      </w:r>
    </w:p>
    <w:p>
      <w:pPr>
        <w:numPr>
          <w:ilvl w:val="0"/>
          <w:numId w:val="14"/>
        </w:numPr>
        <w:spacing w:line="360" w:before="105" w:after="105" w:lineRule="auto"/>
      </w:pPr>
      <w:r>
        <w:rPr>
          <w:rFonts w:eastAsia="inter" w:cs="inter" w:ascii="inter" w:hAnsi="inter"/>
          <w:b/>
          <w:color w:val="000000"/>
          <w:sz w:val="21"/>
        </w:rPr>
        <w:t xml:space="preserve">Regulatory Familiarity</w:t>
      </w:r>
      <w:r>
        <w:rPr>
          <w:rFonts w:eastAsia="inter" w:cs="inter" w:ascii="inter" w:hAnsi="inter"/>
          <w:color w:val="000000"/>
          <w:sz w:val="21"/>
        </w:rPr>
        <w:t xml:space="preserve">: ISA becomes familiar with EY's 9-principle model and Confidence Index</w:t>
      </w:r>
    </w:p>
    <w:p>
      <w:pPr>
        <w:numPr>
          <w:ilvl w:val="0"/>
          <w:numId w:val="14"/>
        </w:numPr>
        <w:spacing w:line="360" w:before="105" w:after="105" w:lineRule="auto"/>
      </w:pPr>
      <w:r>
        <w:rPr>
          <w:rFonts w:eastAsia="inter" w:cs="inter" w:ascii="inter" w:hAnsi="inter"/>
          <w:b/>
          <w:color w:val="000000"/>
          <w:sz w:val="21"/>
        </w:rPr>
        <w:t xml:space="preserve">Peer Validation</w:t>
      </w:r>
      <w:r>
        <w:rPr>
          <w:rFonts w:eastAsia="inter" w:cs="inter" w:ascii="inter" w:hAnsi="inter"/>
          <w:color w:val="000000"/>
          <w:sz w:val="21"/>
        </w:rPr>
        <w:t xml:space="preserve">: Other banks' successful EY engagements become case studies for new prospects</w:t>
      </w:r>
    </w:p>
    <w:p>
      <w:pPr>
        <w:numPr>
          <w:ilvl w:val="0"/>
          <w:numId w:val="14"/>
        </w:numPr>
        <w:spacing w:line="360" w:before="105" w:after="105" w:lineRule="auto"/>
      </w:pPr>
      <w:r>
        <w:rPr>
          <w:rFonts w:eastAsia="inter" w:cs="inter" w:ascii="inter" w:hAnsi="inter"/>
          <w:b/>
          <w:color w:val="000000"/>
          <w:sz w:val="21"/>
        </w:rPr>
        <w:t xml:space="preserve">Standard-Setting</w:t>
      </w:r>
      <w:r>
        <w:rPr>
          <w:rFonts w:eastAsia="inter" w:cs="inter" w:ascii="inter" w:hAnsi="inter"/>
          <w:color w:val="000000"/>
          <w:sz w:val="21"/>
        </w:rPr>
        <w:t xml:space="preserve">: EY's frameworks de facto become the industry standard in Israel</w:t>
      </w:r>
    </w:p>
    <w:p>
      <w:pPr>
        <w:numPr>
          <w:ilvl w:val="0"/>
          <w:numId w:val="14"/>
        </w:numPr>
        <w:spacing w:line="360" w:before="105" w:after="105" w:lineRule="auto"/>
      </w:pPr>
      <w:r>
        <w:rPr>
          <w:rFonts w:eastAsia="inter" w:cs="inter" w:ascii="inter" w:hAnsi="inter"/>
          <w:b/>
          <w:color w:val="000000"/>
          <w:sz w:val="21"/>
        </w:rPr>
        <w:t xml:space="preserve">Switching Costs</w:t>
      </w:r>
      <w:r>
        <w:rPr>
          <w:rFonts w:eastAsia="inter" w:cs="inter" w:ascii="inter" w:hAnsi="inter"/>
          <w:color w:val="000000"/>
          <w:sz w:val="21"/>
        </w:rPr>
        <w:t xml:space="preserve">: Banks internalize EY's governance language; moving to competitors requires re-doing assessment</w:t>
      </w:r>
    </w:p>
    <w:p>
      <w:pPr>
        <w:spacing w:line="360" w:after="210" w:lineRule="auto"/>
      </w:pPr>
      <w:r>
        <w:rPr>
          <w:rFonts w:eastAsia="inter" w:cs="inter" w:ascii="inter" w:hAnsi="inter"/>
          <w:color w:val="000000"/>
        </w:rPr>
        <w:t xml:space="preserve">This is a classic consulting moat: </w:t>
      </w:r>
      <w:r>
        <w:rPr>
          <w:rFonts w:eastAsia="inter" w:cs="inter" w:ascii="inter" w:hAnsi="inter"/>
          <w:b/>
          <w:color w:val="000000"/>
        </w:rPr>
        <w:t xml:space="preserve">shared frameworks become industry standards</w:t>
      </w:r>
      <w:r>
        <w:rPr>
          <w:rFonts w:eastAsia="inter" w:cs="inter" w:ascii="inter" w:hAnsi="inter"/>
          <w:color w:val="000000"/>
        </w:rPr>
        <w:t xml:space="preserve">, and the firm that defined them becomes indispensable.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part_vii_limitations_and_open_questions"/>
      <w:r>
        <w:rPr>
          <w:rFonts w:eastAsia="inter" w:cs="inter" w:ascii="inter" w:hAnsi="inter"/>
          <w:b/>
          <w:color w:val="000000"/>
          <w:sz w:val="24"/>
        </w:rPr>
        <w:t xml:space="preserve">Part VII: Limitations and Open Questions</w:t>
      </w:r>
      <w:bookmarkEnd w:id="46"/>
    </w:p>
    <w:p>
      <w:pPr>
        <w:spacing w:line="360" w:before="315" w:after="105" w:lineRule="auto"/>
        <w:ind w:left="-30"/>
        <w:jc w:val="left"/>
      </w:pPr>
      <w:bookmarkStart w:id="47" w:name="where_evidence_is_sparse"/>
      <w:r>
        <w:rPr>
          <w:rFonts w:eastAsia="inter" w:cs="inter" w:ascii="inter" w:hAnsi="inter"/>
          <w:b/>
          <w:color w:val="000000"/>
          <w:sz w:val="24"/>
        </w:rPr>
        <w:t xml:space="preserve">Where Evidence is Sparse</w:t>
      </w:r>
      <w:bookmarkEnd w:id="47"/>
    </w:p>
    <w:p>
      <w:pPr>
        <w:numPr>
          <w:ilvl w:val="0"/>
          <w:numId w:val="15"/>
        </w:numPr>
        <w:spacing w:line="360" w:after="210" w:lineRule="auto"/>
      </w:pPr>
      <w:r>
        <w:rPr>
          <w:rFonts w:eastAsia="inter" w:cs="inter" w:ascii="inter" w:hAnsi="inter"/>
          <w:b/>
          <w:color w:val="000000"/>
          <w:sz w:val="21"/>
        </w:rPr>
        <w:t xml:space="preserve">No Announced Bank Clients (Public Contracts)</w:t>
      </w:r>
      <w:r>
        <w:rPr>
          <w:rFonts w:eastAsia="inter" w:cs="inter" w:ascii="inter" w:hAnsi="inter"/>
          <w:color w:val="000000"/>
          <w:sz w:val="21"/>
        </w:rPr>
        <w:t xml:space="preserve">: Despite strong positioning, EY has not publicly disclosed Israeli bank engagements with specific contract details. This may reflect:</w:t>
      </w:r>
    </w:p>
    <w:p>
      <w:pPr>
        <w:numPr>
          <w:ilvl w:val="1"/>
          <w:numId w:val="15"/>
        </w:numPr>
        <w:spacing w:line="360" w:before="105" w:after="105" w:lineRule="auto"/>
      </w:pPr>
      <w:r>
        <w:rPr>
          <w:rFonts w:eastAsia="inter" w:cs="inter" w:ascii="inter" w:hAnsi="inter"/>
          <w:color w:val="000000"/>
          <w:sz w:val="21"/>
        </w:rPr>
        <w:t xml:space="preserve">NDA restrictions (likely)</w:t>
      </w:r>
    </w:p>
    <w:p>
      <w:pPr>
        <w:numPr>
          <w:ilvl w:val="1"/>
          <w:numId w:val="15"/>
        </w:numPr>
        <w:spacing w:line="360" w:before="105" w:after="105" w:lineRule="auto"/>
      </w:pPr>
      <w:r>
        <w:rPr>
          <w:rFonts w:eastAsia="inter" w:cs="inter" w:ascii="inter" w:hAnsi="inter"/>
          <w:color w:val="000000"/>
          <w:sz w:val="21"/>
        </w:rPr>
        <w:t xml:space="preserve">Still-in-progress deals</w:t>
      </w:r>
    </w:p>
    <w:p>
      <w:pPr>
        <w:numPr>
          <w:ilvl w:val="1"/>
          <w:numId w:val="15"/>
        </w:numPr>
        <w:spacing w:line="360" w:before="105" w:after="105" w:lineRule="auto"/>
      </w:pPr>
      <w:r>
        <w:rPr>
          <w:rFonts w:eastAsia="inter" w:cs="inter" w:ascii="inter" w:hAnsi="inter"/>
          <w:color w:val="000000"/>
          <w:sz w:val="21"/>
        </w:rPr>
        <w:t xml:space="preserve">Governance work sitting within broader consulting relationships</w:t>
      </w:r>
    </w:p>
    <w:p>
      <w:pPr>
        <w:numPr>
          <w:ilvl w:val="1"/>
          <w:numId w:val="15"/>
        </w:numPr>
        <w:spacing w:line="360" w:before="105" w:after="105" w:lineRule="auto"/>
      </w:pPr>
      <w:r>
        <w:rPr>
          <w:rFonts w:eastAsia="inter" w:cs="inter" w:ascii="inter" w:hAnsi="inter"/>
          <w:color w:val="000000"/>
          <w:sz w:val="21"/>
        </w:rPr>
        <w:t xml:space="preserve">Or, limited traction vs. internal bank initiatives (possible but less likely given market positioning)</w:t>
      </w:r>
    </w:p>
    <w:p>
      <w:pPr>
        <w:numPr>
          <w:ilvl w:val="0"/>
          <w:numId w:val="15"/>
        </w:numPr>
        <w:spacing w:line="360" w:after="210" w:lineRule="auto"/>
      </w:pPr>
      <w:r>
        <w:rPr>
          <w:rFonts w:eastAsia="inter" w:cs="inter" w:ascii="inter" w:hAnsi="inter"/>
          <w:b/>
          <w:color w:val="000000"/>
          <w:sz w:val="21"/>
        </w:rPr>
        <w:t xml:space="preserve">Local AI Talent and Acquisitions</w:t>
      </w:r>
      <w:r>
        <w:rPr>
          <w:rFonts w:eastAsia="inter" w:cs="inter" w:ascii="inter" w:hAnsi="inter"/>
          <w:color w:val="000000"/>
          <w:sz w:val="21"/>
        </w:rPr>
        <w:t xml:space="preserve">: No evidence of EY Israel acquiring boutique AI consulting firms or hiring specialized AI risk assessment teams in the past 24 months. This suggests:</w:t>
      </w:r>
    </w:p>
    <w:p>
      <w:pPr>
        <w:numPr>
          <w:ilvl w:val="1"/>
          <w:numId w:val="15"/>
        </w:numPr>
        <w:spacing w:line="360" w:before="105" w:after="105" w:lineRule="auto"/>
      </w:pPr>
      <w:r>
        <w:rPr>
          <w:rFonts w:eastAsia="inter" w:cs="inter" w:ascii="inter" w:hAnsi="inter"/>
          <w:color w:val="000000"/>
          <w:sz w:val="21"/>
        </w:rPr>
        <w:t xml:space="preserve">Governance work is advisory-led, not execution-heavy</w:t>
      </w:r>
    </w:p>
    <w:p>
      <w:pPr>
        <w:numPr>
          <w:ilvl w:val="1"/>
          <w:numId w:val="15"/>
        </w:numPr>
        <w:spacing w:line="360" w:before="105" w:after="105" w:lineRule="auto"/>
      </w:pPr>
      <w:r>
        <w:rPr>
          <w:rFonts w:eastAsia="inter" w:cs="inter" w:ascii="inter" w:hAnsi="inter"/>
          <w:color w:val="000000"/>
          <w:sz w:val="21"/>
        </w:rPr>
        <w:t xml:space="preserve">EY relies on global centers of excellence rather than local hiring</w:t>
      </w:r>
    </w:p>
    <w:p>
      <w:pPr>
        <w:numPr>
          <w:ilvl w:val="1"/>
          <w:numId w:val="15"/>
        </w:numPr>
        <w:spacing w:line="360" w:before="105" w:after="105" w:lineRule="auto"/>
      </w:pPr>
      <w:r>
        <w:rPr>
          <w:rFonts w:eastAsia="inter" w:cs="inter" w:ascii="inter" w:hAnsi="inter"/>
          <w:color w:val="000000"/>
          <w:sz w:val="21"/>
        </w:rPr>
        <w:t xml:space="preserve">Or, acquisition activity remains unreported</w:t>
      </w:r>
    </w:p>
    <w:p>
      <w:pPr>
        <w:numPr>
          <w:ilvl w:val="0"/>
          <w:numId w:val="15"/>
        </w:numPr>
        <w:spacing w:line="360" w:after="210" w:lineRule="auto"/>
      </w:pPr>
      <w:r>
        <w:rPr>
          <w:rFonts w:eastAsia="inter" w:cs="inter" w:ascii="inter" w:hAnsi="inter"/>
          <w:b/>
          <w:color w:val="000000"/>
          <w:sz w:val="21"/>
        </w:rPr>
        <w:t xml:space="preserve">Government AI Strategy Role</w:t>
      </w:r>
      <w:r>
        <w:rPr>
          <w:rFonts w:eastAsia="inter" w:cs="inter" w:ascii="inter" w:hAnsi="inter"/>
          <w:color w:val="000000"/>
          <w:sz w:val="21"/>
        </w:rPr>
        <w:t xml:space="preserve">: Project Nimbus (the $1.2 billion Israeli government cloud initiative) is a direct Google/Amazon contract; no evidence EY Israel advises on this or the Digital Israel national strategy. This suggests:</w:t>
      </w:r>
    </w:p>
    <w:p>
      <w:pPr>
        <w:numPr>
          <w:ilvl w:val="1"/>
          <w:numId w:val="15"/>
        </w:numPr>
        <w:spacing w:line="360" w:before="105" w:after="105" w:lineRule="auto"/>
      </w:pPr>
      <w:r>
        <w:rPr>
          <w:rFonts w:eastAsia="inter" w:cs="inter" w:ascii="inter" w:hAnsi="inter"/>
          <w:color w:val="000000"/>
          <w:sz w:val="21"/>
        </w:rPr>
        <w:t xml:space="preserve">EY positioned in private enterprise, not government transformation</w:t>
      </w:r>
    </w:p>
    <w:p>
      <w:pPr>
        <w:numPr>
          <w:ilvl w:val="1"/>
          <w:numId w:val="15"/>
        </w:numPr>
        <w:spacing w:line="360" w:before="105" w:after="105" w:lineRule="auto"/>
      </w:pPr>
      <w:r>
        <w:rPr>
          <w:rFonts w:eastAsia="inter" w:cs="inter" w:ascii="inter" w:hAnsi="inter"/>
          <w:color w:val="000000"/>
          <w:sz w:val="21"/>
        </w:rPr>
        <w:t xml:space="preserve">Or, government relationships are undisclosed</w:t>
      </w:r>
    </w:p>
    <w:p>
      <w:pPr>
        <w:numPr>
          <w:ilvl w:val="0"/>
          <w:numId w:val="15"/>
        </w:numPr>
        <w:spacing w:line="360" w:after="210" w:lineRule="auto"/>
      </w:pPr>
      <w:r>
        <w:rPr>
          <w:rFonts w:eastAsia="inter" w:cs="inter" w:ascii="inter" w:hAnsi="inter"/>
          <w:b/>
          <w:color w:val="000000"/>
          <w:sz w:val="21"/>
        </w:rPr>
        <w:t xml:space="preserve">Thought Leadership Attribution</w:t>
      </w:r>
      <w:r>
        <w:rPr>
          <w:rFonts w:eastAsia="inter" w:cs="inter" w:ascii="inter" w:hAnsi="inter"/>
          <w:color w:val="000000"/>
          <w:sz w:val="21"/>
        </w:rPr>
        <w:t xml:space="preserve">: Israeli AI thought leaders mentioned in the query (Oded Eran, Sharon Berkovich) were not found in public EY materials. This may indicate:</w:t>
      </w:r>
    </w:p>
    <w:p>
      <w:pPr>
        <w:numPr>
          <w:ilvl w:val="1"/>
          <w:numId w:val="15"/>
        </w:numPr>
        <w:spacing w:line="360" w:before="105" w:after="105" w:lineRule="auto"/>
      </w:pPr>
      <w:r>
        <w:rPr>
          <w:rFonts w:eastAsia="inter" w:cs="inter" w:ascii="inter" w:hAnsi="inter"/>
          <w:color w:val="000000"/>
          <w:sz w:val="21"/>
        </w:rPr>
        <w:t xml:space="preserve">They are not formally affiliated with EY</w:t>
      </w:r>
    </w:p>
    <w:p>
      <w:pPr>
        <w:numPr>
          <w:ilvl w:val="1"/>
          <w:numId w:val="15"/>
        </w:numPr>
        <w:spacing w:line="360" w:before="105" w:after="105" w:lineRule="auto"/>
      </w:pPr>
      <w:r>
        <w:rPr>
          <w:rFonts w:eastAsia="inter" w:cs="inter" w:ascii="inter" w:hAnsi="inter"/>
          <w:color w:val="000000"/>
          <w:sz w:val="21"/>
        </w:rPr>
        <w:t xml:space="preserve">Their thought leadership is independent of EY affiliation</w:t>
      </w:r>
    </w:p>
    <w:p>
      <w:pPr>
        <w:numPr>
          <w:ilvl w:val="1"/>
          <w:numId w:val="15"/>
        </w:numPr>
        <w:spacing w:line="360" w:before="105" w:after="105" w:lineRule="auto"/>
      </w:pPr>
      <w:r>
        <w:rPr>
          <w:rFonts w:eastAsia="inter" w:cs="inter" w:ascii="inter" w:hAnsi="inter"/>
          <w:color w:val="000000"/>
          <w:sz w:val="21"/>
        </w:rPr>
        <w:t xml:space="preserve">Or, EY's local influence is lower than global positioning suggests</w:t>
      </w:r>
    </w:p>
    <w:p>
      <w:pPr>
        <w:spacing w:line="360" w:before="315" w:after="105" w:lineRule="auto"/>
        <w:ind w:left="-30"/>
        <w:jc w:val="left"/>
      </w:pPr>
      <w:bookmarkStart w:id="48" w:name="product_vs_services_distinction"/>
      <w:r>
        <w:rPr>
          <w:rFonts w:eastAsia="inter" w:cs="inter" w:ascii="inter" w:hAnsi="inter"/>
          <w:b/>
          <w:color w:val="000000"/>
          <w:sz w:val="24"/>
        </w:rPr>
        <w:t xml:space="preserve">Product vs. Services Distinction</w:t>
      </w:r>
      <w:bookmarkEnd w:id="48"/>
    </w:p>
    <w:p>
      <w:pPr>
        <w:spacing w:line="360" w:after="210" w:lineRule="auto"/>
      </w:pPr>
      <w:r>
        <w:rPr>
          <w:rFonts w:eastAsia="inter" w:cs="inter" w:ascii="inter" w:hAnsi="inter"/>
          <w:color w:val="000000"/>
        </w:rPr>
        <w:t xml:space="preserve">The evidence suggests EY Israel operates primarily in </w:t>
      </w:r>
      <w:r>
        <w:rPr>
          <w:rFonts w:eastAsia="inter" w:cs="inter" w:ascii="inter" w:hAnsi="inter"/>
          <w:b/>
          <w:color w:val="000000"/>
        </w:rPr>
        <w:t xml:space="preserve">services and advisory</w:t>
      </w:r>
      <w:r>
        <w:rPr>
          <w:rFonts w:eastAsia="inter" w:cs="inter" w:ascii="inter" w:hAnsi="inter"/>
          <w:color w:val="000000"/>
        </w:rPr>
        <w:t xml:space="preserve">, not in building proprietary products or platforms for Israeli clients. The Confidence Index platform and </w:t>
      </w:r>
      <w:hyperlink r:id="rId15">
        <w:r>
          <w:rPr>
            <w:rFonts w:eastAsia="inter" w:cs="inter" w:ascii="inter" w:hAnsi="inter"/>
            <w:color w:val="#000"/>
            <w:u w:val="single"/>
          </w:rPr>
          <w:t xml:space="preserve">EY.ai</w:t>
        </w:r>
      </w:hyperlink>
      <w:r>
        <w:rPr>
          <w:rFonts w:eastAsia="inter" w:cs="inter" w:ascii="inter" w:hAnsi="inter"/>
          <w:color w:val="000000"/>
        </w:rPr>
        <w:t xml:space="preserve"> exist as global EY intellectual property, not as custom builds. This is strategically consistent with EY's positioning as a governance advisor, but it may limit upside if Israeli enterprises demand bespoke technical solutions alongside governance frameworks.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part_viii_the_fintech_opportunity"/>
      <w:r>
        <w:rPr>
          <w:rFonts w:eastAsia="inter" w:cs="inter" w:ascii="inter" w:hAnsi="inter"/>
          <w:b/>
          <w:color w:val="000000"/>
          <w:sz w:val="24"/>
        </w:rPr>
        <w:t xml:space="preserve">Part VIII: The Fintech Opportunity</w:t>
      </w:r>
      <w:bookmarkEnd w:id="49"/>
    </w:p>
    <w:p>
      <w:pPr>
        <w:spacing w:line="360" w:before="315" w:after="105" w:lineRule="auto"/>
        <w:ind w:left="-30"/>
        <w:jc w:val="left"/>
      </w:pPr>
      <w:bookmarkStart w:id="50" w:name="israeli_fintech_s_ai_first_pivot"/>
      <w:r>
        <w:rPr>
          <w:rFonts w:eastAsia="inter" w:cs="inter" w:ascii="inter" w:hAnsi="inter"/>
          <w:b/>
          <w:color w:val="000000"/>
          <w:sz w:val="24"/>
        </w:rPr>
        <w:t xml:space="preserve">Israeli Fintech's AI-First Pivot</w:t>
      </w:r>
      <w:bookmarkEnd w:id="50"/>
    </w:p>
    <w:p>
      <w:pPr>
        <w:spacing w:line="360" w:after="210" w:lineRule="auto"/>
      </w:pPr>
      <w:r>
        <w:rPr>
          <w:rFonts w:eastAsia="inter" w:cs="inter" w:ascii="inter" w:hAnsi="inter"/>
          <w:color w:val="000000"/>
        </w:rPr>
        <w:t xml:space="preserve">Israel's fintech ecosystem is shifting toward AI-driven risk, fraud, and compliance capabilities. Companies like Forter (fraud prevention), Lama AI (credit scoring), and others are embedding machine learning at the core of their platforms. These companies will eventually need independent governance validation—a natural EY engagement opportunity.</w:t>
      </w:r>
      <w:bookmarkStart w:id="51" w:name="fnref24"/>
      <w:bookmarkEnd w:id="51"/>
      <w:hyperlink w:anchor="fn24">
        <w:r>
          <w:rPr>
            <w:rFonts w:eastAsia="inter" w:cs="inter" w:ascii="inter" w:hAnsi="inter"/>
            <w:color w:val="#000"/>
            <w:u w:val="single"/>
            <w:vertAlign w:val="superscript"/>
          </w:rPr>
          <w:t xml:space="preserve">[24]</w:t>
        </w:r>
      </w:hyperlink>
    </w:p>
    <w:p>
      <w:pPr>
        <w:spacing w:line="360" w:after="210" w:lineRule="auto"/>
      </w:pPr>
      <w:r>
        <w:rPr>
          <w:rFonts w:eastAsia="inter" w:cs="inter" w:ascii="inter" w:hAnsi="inter"/>
          <w:b/>
          <w:color w:val="000000"/>
        </w:rPr>
        <w:t xml:space="preserve">Market Data</w:t>
      </w:r>
      <w:r>
        <w:rPr>
          <w:rFonts w:eastAsia="inter" w:cs="inter" w:ascii="inter" w:hAnsi="inter"/>
          <w:color w:val="000000"/>
        </w:rPr>
        <w:t xml:space="preserve">: FinTech represents 12% of total Israeli capital raised (second only to cybersecurity at 39%), with RiskTech comprising 35% of early-stage funding. As these companies scale internationally, they will face regulatory requirements for AI governance—driving demand for EY's Responsible AI assessment.</w:t>
      </w:r>
      <w:bookmarkStart w:id="52" w:name="fnref25"/>
      <w:bookmarkEnd w:id="52"/>
      <w:hyperlink w:anchor="fn25">
        <w:r>
          <w:rPr>
            <w:rFonts w:eastAsia="inter" w:cs="inter" w:ascii="inter" w:hAnsi="inter"/>
            <w:color w:val="#000"/>
            <w:u w:val="single"/>
            <w:vertAlign w:val="superscript"/>
          </w:rPr>
          <w:t xml:space="preserve">[25]</w:t>
        </w:r>
      </w:hyperlink>
    </w:p>
    <w:p>
      <w:pPr>
        <w:spacing w:line="360" w:before="315" w:after="105" w:lineRule="auto"/>
        <w:ind w:left="-30"/>
        <w:jc w:val="left"/>
      </w:pPr>
      <w:bookmarkStart w:id="53" w:name="the_regulatory_arbitrage_play"/>
      <w:r>
        <w:rPr>
          <w:rFonts w:eastAsia="inter" w:cs="inter" w:ascii="inter" w:hAnsi="inter"/>
          <w:b/>
          <w:color w:val="000000"/>
          <w:sz w:val="24"/>
        </w:rPr>
        <w:t xml:space="preserve">The Regulatory Arbitrage Play</w:t>
      </w:r>
      <w:bookmarkEnd w:id="53"/>
    </w:p>
    <w:p>
      <w:pPr>
        <w:spacing w:line="360" w:after="210" w:lineRule="auto"/>
      </w:pPr>
      <w:r>
        <w:rPr>
          <w:rFonts w:eastAsia="inter" w:cs="inter" w:ascii="inter" w:hAnsi="inter"/>
          <w:color w:val="000000"/>
        </w:rPr>
        <w:t xml:space="preserve">Israeli fintech startups operating globally face divergent AI regulatory regimes (EU AI Act strictness vs. US lighter-touch approach). EY, with global Responsible AI expertise, becomes invaluable as a translator and validator—helping startups design governance that satisfies multiple jurisdictions.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conclusion_why_ey_is_the_safety_c_386bf1"/>
      <w:r>
        <w:rPr>
          <w:rFonts w:eastAsia="inter" w:cs="inter" w:ascii="inter" w:hAnsi="inter"/>
          <w:b/>
          <w:color w:val="000000"/>
          <w:sz w:val="24"/>
        </w:rPr>
        <w:t xml:space="preserve">Conclusion: Why EY is the "Safety Choice" for Conservative Israeli CEOs</w:t>
      </w:r>
      <w:bookmarkEnd w:id="54"/>
    </w:p>
    <w:p>
      <w:pPr>
        <w:spacing w:line="360" w:after="210" w:lineRule="auto"/>
      </w:pPr>
      <w:r>
        <w:rPr>
          <w:rFonts w:eastAsia="inter" w:cs="inter" w:ascii="inter" w:hAnsi="inter"/>
          <w:color w:val="000000"/>
        </w:rPr>
        <w:t xml:space="preserve">EY Israel's strategy for dominating large-scale AI implementation projects in Israel's enterprise sector rests on three integrated pillars:</w:t>
      </w:r>
    </w:p>
    <w:p>
      <w:pPr>
        <w:spacing w:line="360" w:before="315" w:after="105" w:lineRule="auto"/>
        <w:ind w:left="-30"/>
        <w:jc w:val="left"/>
      </w:pPr>
      <w:bookmarkStart w:id="55" w:name="bm_1_the_trust_platform_ey_ai_con_f5ba00"/>
      <w:r>
        <w:rPr>
          <w:rFonts w:eastAsia="inter" w:cs="inter" w:ascii="inter" w:hAnsi="inter"/>
          <w:b/>
          <w:color w:val="000000"/>
          <w:sz w:val="24"/>
        </w:rPr>
        <w:t xml:space="preserve">1. </w:t>
      </w:r>
      <w:r>
        <w:rPr>
          <w:rFonts w:eastAsia="inter" w:cs="inter" w:ascii="inter" w:hAnsi="inter"/>
          <w:b/>
          <w:color w:val="000000"/>
          <w:sz w:val="24"/>
        </w:rPr>
        <w:t xml:space="preserve">The Trust Platform</w:t>
      </w:r>
      <w:r>
        <w:rPr>
          <w:rFonts w:eastAsia="inter" w:cs="inter" w:ascii="inter" w:hAnsi="inter"/>
          <w:b/>
          <w:color w:val="000000"/>
          <w:sz w:val="24"/>
        </w:rPr>
        <w:t xml:space="preserve">: </w:t>
      </w:r>
      <w:hyperlink r:id="rId16">
        <w:r>
          <w:rPr>
            <w:rFonts w:eastAsia="inter" w:cs="inter" w:ascii="inter" w:hAnsi="inter"/>
            <w:b/>
            <w:color w:val="#000"/>
            <w:sz w:val="24"/>
            <w:u w:val="single"/>
          </w:rPr>
          <w:t xml:space="preserve">EY.ai</w:t>
        </w:r>
      </w:hyperlink>
      <w:r>
        <w:rPr>
          <w:rFonts w:eastAsia="inter" w:cs="inter" w:ascii="inter" w:hAnsi="inter"/>
          <w:b/>
          <w:color w:val="000000"/>
          <w:sz w:val="24"/>
        </w:rPr>
        <w:t xml:space="preserve"> Confidence Index</w:t>
      </w:r>
      <w:bookmarkEnd w:id="55"/>
    </w:p>
    <w:p>
      <w:pPr>
        <w:spacing w:line="360" w:after="210" w:lineRule="auto"/>
      </w:pPr>
      <w:r>
        <w:rPr>
          <w:rFonts w:eastAsia="inter" w:cs="inter" w:ascii="inter" w:hAnsi="inter"/>
          <w:color w:val="000000"/>
        </w:rPr>
        <w:t xml:space="preserve">A quantifiable, eight-pillar governance framework that translates abstract AI risk into boardroom metrics. Unlike ad hoc consulting, it provides </w:t>
      </w:r>
      <w:r>
        <w:rPr>
          <w:rFonts w:eastAsia="inter" w:cs="inter" w:ascii="inter" w:hAnsi="inter"/>
          <w:b/>
          <w:color w:val="000000"/>
        </w:rPr>
        <w:t xml:space="preserve">repeatable, documentable, comparable assessments</w:t>
      </w:r>
      <w:r>
        <w:rPr>
          <w:rFonts w:eastAsia="inter" w:cs="inter" w:ascii="inter" w:hAnsi="inter"/>
          <w:color w:val="000000"/>
        </w:rPr>
        <w:t xml:space="preserve"> that executives can defend to regulators, investors, and internal stakeholders.</w:t>
      </w:r>
    </w:p>
    <w:p>
      <w:pPr>
        <w:spacing w:line="360" w:before="315" w:after="105" w:lineRule="auto"/>
        <w:ind w:left="-30"/>
        <w:jc w:val="left"/>
      </w:pPr>
      <w:bookmarkStart w:id="56" w:name="bm_2_the_governance_methodology_r_f183ff"/>
      <w:r>
        <w:rPr>
          <w:rFonts w:eastAsia="inter" w:cs="inter" w:ascii="inter" w:hAnsi="inter"/>
          <w:b/>
          <w:color w:val="000000"/>
          <w:sz w:val="24"/>
        </w:rPr>
        <w:t xml:space="preserve">2. </w:t>
      </w:r>
      <w:r>
        <w:rPr>
          <w:rFonts w:eastAsia="inter" w:cs="inter" w:ascii="inter" w:hAnsi="inter"/>
          <w:b/>
          <w:color w:val="000000"/>
          <w:sz w:val="24"/>
        </w:rPr>
        <w:t xml:space="preserve">The Governance Methodology</w:t>
      </w:r>
      <w:r>
        <w:rPr>
          <w:rFonts w:eastAsia="inter" w:cs="inter" w:ascii="inter" w:hAnsi="inter"/>
          <w:b/>
          <w:color w:val="000000"/>
          <w:sz w:val="24"/>
        </w:rPr>
        <w:t xml:space="preserve">: Responsible AI Framework</w:t>
      </w:r>
      <w:bookmarkEnd w:id="56"/>
    </w:p>
    <w:p>
      <w:pPr>
        <w:spacing w:line="360" w:after="210" w:lineRule="auto"/>
      </w:pPr>
      <w:r>
        <w:rPr>
          <w:rFonts w:eastAsia="inter" w:cs="inter" w:ascii="inter" w:hAnsi="inter"/>
          <w:color w:val="000000"/>
        </w:rPr>
        <w:t xml:space="preserve">A multi-disciplinary, principles-based approach aligned with global standards (EU AI Act, NIST RMF) that ensures Israeli enterprises' AI governance is benchmarked internationally. This addresses the regulatory uncertainty in Israel's nascent AI policy environment.</w:t>
      </w:r>
    </w:p>
    <w:p>
      <w:pPr>
        <w:spacing w:line="360" w:before="315" w:after="105" w:lineRule="auto"/>
        <w:ind w:left="-30"/>
        <w:jc w:val="left"/>
      </w:pPr>
      <w:bookmarkStart w:id="57" w:name="bm_3_the_ecosystem_partnerships_m_d61008"/>
      <w:r>
        <w:rPr>
          <w:rFonts w:eastAsia="inter" w:cs="inter" w:ascii="inter" w:hAnsi="inter"/>
          <w:b/>
          <w:color w:val="000000"/>
          <w:sz w:val="24"/>
        </w:rPr>
        <w:t xml:space="preserve">3. </w:t>
      </w:r>
      <w:r>
        <w:rPr>
          <w:rFonts w:eastAsia="inter" w:cs="inter" w:ascii="inter" w:hAnsi="inter"/>
          <w:b/>
          <w:color w:val="000000"/>
          <w:sz w:val="24"/>
        </w:rPr>
        <w:t xml:space="preserve">The Ecosystem Partnerships</w:t>
      </w:r>
      <w:r>
        <w:rPr>
          <w:rFonts w:eastAsia="inter" w:cs="inter" w:ascii="inter" w:hAnsi="inter"/>
          <w:b/>
          <w:color w:val="000000"/>
          <w:sz w:val="24"/>
        </w:rPr>
        <w:t xml:space="preserve">: Microsoft and NVIDIA</w:t>
      </w:r>
      <w:bookmarkEnd w:id="57"/>
    </w:p>
    <w:p>
      <w:pPr>
        <w:spacing w:line="360" w:after="210" w:lineRule="auto"/>
      </w:pPr>
      <w:r>
        <w:rPr>
          <w:rFonts w:eastAsia="inter" w:cs="inter" w:ascii="inter" w:hAnsi="inter"/>
          <w:color w:val="000000"/>
        </w:rPr>
        <w:t xml:space="preserve">Strategic partnerships that position EY as the natural integrator for Israeli enterprises deploying GenAI on Azure and leveraging agentic AI. These partnerships are structural advantages—Israeli banks using Microsoft Cloud default to EY for implementation and governance.</w:t>
      </w:r>
    </w:p>
    <w:p>
      <w:pPr>
        <w:spacing w:line="360" w:before="315" w:after="105" w:lineRule="auto"/>
        <w:ind w:left="-30"/>
        <w:jc w:val="left"/>
      </w:pPr>
      <w:bookmarkStart w:id="58" w:name="why_this_strategy_works_in_israel"/>
      <w:r>
        <w:rPr>
          <w:rFonts w:eastAsia="inter" w:cs="inter" w:ascii="inter" w:hAnsi="inter"/>
          <w:b/>
          <w:color w:val="000000"/>
          <w:sz w:val="24"/>
        </w:rPr>
        <w:t xml:space="preserve">Why This Strategy Works in Israel</w:t>
      </w:r>
      <w:bookmarkEnd w:id="58"/>
    </w:p>
    <w:p>
      <w:pPr>
        <w:spacing w:line="360" w:after="210" w:lineRule="auto"/>
      </w:pPr>
      <w:r>
        <w:rPr>
          <w:rFonts w:eastAsia="inter" w:cs="inter" w:ascii="inter" w:hAnsi="inter"/>
          <w:color w:val="000000"/>
        </w:rPr>
        <w:t xml:space="preserve">In a market characterized by regulatory uncertainty, legacy system complexity, security paranoia, and board-level risk aversion, EY's positioning as the </w:t>
      </w:r>
      <w:r>
        <w:rPr>
          <w:rFonts w:eastAsia="inter" w:cs="inter" w:ascii="inter" w:hAnsi="inter"/>
          <w:b/>
          <w:color w:val="000000"/>
        </w:rPr>
        <w:t xml:space="preserve">independent, governance-first, globally-benchmarked advisor</w:t>
      </w:r>
      <w:r>
        <w:rPr>
          <w:rFonts w:eastAsia="inter" w:cs="inter" w:ascii="inter" w:hAnsi="inter"/>
          <w:color w:val="000000"/>
        </w:rPr>
        <w:t xml:space="preserve"> is singularly powerful. Competing boutiques can offer innovation faster; they cannot replicate the governance credibility and partnership ecosystem that EY brings.</w:t>
      </w:r>
    </w:p>
    <w:p>
      <w:pPr>
        <w:spacing w:line="360" w:after="210" w:lineRule="auto"/>
      </w:pPr>
      <w:r>
        <w:rPr>
          <w:rFonts w:eastAsia="inter" w:cs="inter" w:ascii="inter" w:hAnsi="inter"/>
          <w:color w:val="000000"/>
        </w:rPr>
        <w:t xml:space="preserve">The "Trust, Governance, and Compliance" positioning is not a Trojan Horse—it's the genuine value proposition for conservative Israeli enterprises navigating AI transformation. EY succeeds by making risk-aware executives feel protected, not by selling them the most cutting-edge technology.</w:t>
      </w:r>
    </w:p>
    <w:p>
      <w:pPr>
        <w:spacing w:line="360" w:after="210" w:lineRule="auto"/>
      </w:pPr>
      <w:r>
        <w:rPr>
          <w:rFonts w:eastAsia="inter" w:cs="inter" w:ascii="inter" w:hAnsi="inter"/>
          <w:color w:val="000000"/>
        </w:rPr>
        <w:t xml:space="preserve">As Israeli banks like Leumi accelerate GenAI adoption and regulators clarify AI policy, this positioning will compound in value. The firm that first dominates the governance conversation often becomes the default integrator for execution—a dynamic that strongly favors EY.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citations"/>
      <w:r>
        <w:rPr>
          <w:rFonts w:eastAsia="inter" w:cs="inter" w:ascii="inter" w:hAnsi="inter"/>
          <w:b/>
          <w:color w:val="000000"/>
          <w:sz w:val="24"/>
        </w:rPr>
        <w:t xml:space="preserve">Citations</w:t>
      </w:r>
      <w:bookmarkEnd w:id="59"/>
    </w:p>
    <w:p>
      <w:pPr>
        <w:spacing w:line="360" w:after="210" w:lineRule="auto"/>
      </w:pPr>
      <w:hyperlink r:id="rId17">
        <w:r>
          <w:rPr>
            <w:rFonts w:eastAsia="inter" w:cs="inter" w:ascii="inter" w:hAnsi="inter"/>
            <w:color w:val="#000"/>
            <w:u w:val="single"/>
          </w:rPr>
          <w:t xml:space="preserve">EY.ai</w:t>
        </w:r>
      </w:hyperlink>
      <w:r>
        <w:rPr>
          <w:rFonts w:eastAsia="inter" w:cs="inter" w:ascii="inter" w:hAnsi="inter"/>
          <w:color w:val="000000"/>
        </w:rPr>
        <w:t xml:space="preserve"> Confidence Index platform and stress-testing methodology</w:t>
      </w:r>
      <w:bookmarkStart w:id="60" w:name="fnref26"/>
      <w:bookmarkEnd w:id="60"/>
      <w:hyperlink w:anchor="fn26">
        <w:r>
          <w:rPr>
            <w:rFonts w:eastAsia="inter" w:cs="inter" w:ascii="inter" w:hAnsi="inter"/>
            <w:color w:val="#000"/>
            <w:u w:val="single"/>
            <w:vertAlign w:val="superscript"/>
          </w:rPr>
          <w:t xml:space="preserve">[26]</w:t>
        </w:r>
      </w:hyperlink>
      <w:bookmarkStart w:id="61" w:name="fnref1_1"/>
      <w:bookmarkEnd w:id="61"/>
      <w:hyperlink w:anchor="fn1">
        <w:r>
          <w:rPr>
            <w:rFonts w:eastAsia="inter" w:cs="inter" w:ascii="inter" w:hAnsi="inter"/>
            <w:color w:val="#000"/>
            <w:u w:val="single"/>
            <w:vertAlign w:val="superscript"/>
          </w:rPr>
          <w:t xml:space="preserve">[1]</w:t>
        </w:r>
      </w:hyperlink>
      <w:bookmarkStart w:id="62" w:name="fnref24_1"/>
      <w:bookmarkEnd w:id="62"/>
      <w:hyperlink w:anchor="fn24">
        <w:r>
          <w:rPr>
            <w:rFonts w:eastAsia="inter" w:cs="inter" w:ascii="inter" w:hAnsi="inter"/>
            <w:color w:val="#000"/>
            <w:u w:val="single"/>
            <w:vertAlign w:val="superscript"/>
          </w:rPr>
          <w:t xml:space="preserve">[24]</w:t>
        </w:r>
      </w:hyperlink>
      <w:r>
        <w:rPr>
          <w:rFonts w:eastAsia="inter" w:cs="inter" w:ascii="inter" w:hAnsi="inter"/>
          <w:color w:val="000000"/>
        </w:rPr>
        <w:br w:type="textWrapping"/>
      </w:r>
      <w:r>
        <w:rPr>
          <w:rFonts w:eastAsia="inter" w:cs="inter" w:ascii="inter" w:hAnsi="inter"/>
          <w:color w:val="000000"/>
        </w:rPr>
        <w:t xml:space="preserve">Customizable, contextual assessments balancing metrics and qualitative factors</w:t>
      </w:r>
      <w:bookmarkStart w:id="63" w:name="fnref2_1"/>
      <w:bookmarkEnd w:id="63"/>
      <w:hyperlink w:anchor="fn2">
        <w:r>
          <w:rPr>
            <w:rFonts w:eastAsia="inter" w:cs="inter" w:ascii="inter" w:hAnsi="inter"/>
            <w:color w:val="#000"/>
            <w:u w:val="single"/>
            <w:vertAlign w:val="superscript"/>
          </w:rPr>
          <w:t xml:space="preserve">[2]</w:t>
        </w:r>
      </w:hyperlink>
      <w:bookmarkStart w:id="64" w:name="fnref26_1"/>
      <w:bookmarkEnd w:id="64"/>
      <w:hyperlink w:anchor="fn26">
        <w:r>
          <w:rPr>
            <w:rFonts w:eastAsia="inter" w:cs="inter" w:ascii="inter" w:hAnsi="inter"/>
            <w:color w:val="#000"/>
            <w:u w:val="single"/>
            <w:vertAlign w:val="superscript"/>
          </w:rPr>
          <w:t xml:space="preserve">[26]</w:t>
        </w:r>
      </w:hyperlink>
      <w:r>
        <w:rPr>
          <w:rFonts w:eastAsia="inter" w:cs="inter" w:ascii="inter" w:hAnsi="inter"/>
          <w:color w:val="000000"/>
        </w:rPr>
        <w:br w:type="textWrapping"/>
      </w:r>
      <w:r>
        <w:rPr>
          <w:rFonts w:eastAsia="inter" w:cs="inter" w:ascii="inter" w:hAnsi="inter"/>
          <w:color w:val="000000"/>
        </w:rPr>
        <w:t xml:space="preserve">Integration with Asenion platform for continuous governance monitoring</w:t>
      </w:r>
      <w:bookmarkStart w:id="65" w:name="fnref27"/>
      <w:bookmarkEnd w:id="65"/>
      <w:hyperlink w:anchor="fn27">
        <w:r>
          <w:rPr>
            <w:rFonts w:eastAsia="inter" w:cs="inter" w:ascii="inter" w:hAnsi="inter"/>
            <w:color w:val="#000"/>
            <w:u w:val="single"/>
            <w:vertAlign w:val="superscript"/>
          </w:rPr>
          <w:t xml:space="preserve">[27]</w:t>
        </w:r>
      </w:hyperlink>
      <w:bookmarkStart w:id="66" w:name="fnref3_1"/>
      <w:bookmarkEnd w:id="66"/>
      <w:hyperlink w:anchor="fn3">
        <w:r>
          <w:rPr>
            <w:rFonts w:eastAsia="inter" w:cs="inter" w:ascii="inter" w:hAnsi="inter"/>
            <w:color w:val="#000"/>
            <w:u w:val="single"/>
            <w:vertAlign w:val="superscript"/>
          </w:rPr>
          <w:t xml:space="preserve">[3]</w:t>
        </w:r>
      </w:hyperlink>
      <w:r>
        <w:rPr>
          <w:rFonts w:eastAsia="inter" w:cs="inter" w:ascii="inter" w:hAnsi="inter"/>
          <w:color w:val="000000"/>
        </w:rPr>
        <w:br w:type="textWrapping"/>
      </w:r>
      <w:r>
        <w:rPr>
          <w:rFonts w:eastAsia="inter" w:cs="inter" w:ascii="inter" w:hAnsi="inter"/>
          <w:color w:val="000000"/>
        </w:rPr>
        <w:t xml:space="preserve">EY's nine Responsible AI principles</w:t>
      </w:r>
      <w:bookmarkStart w:id="67" w:name="fnref4_1"/>
      <w:bookmarkEnd w:id="67"/>
      <w:hyperlink w:anchor="fn4">
        <w:r>
          <w:rPr>
            <w:rFonts w:eastAsia="inter" w:cs="inter" w:ascii="inter" w:hAnsi="inter"/>
            <w:color w:val="#000"/>
            <w:u w:val="single"/>
            <w:vertAlign w:val="superscript"/>
          </w:rPr>
          <w:t xml:space="preserve">[4]</w:t>
        </w:r>
      </w:hyperlink>
      <w:bookmarkStart w:id="68" w:name="fnref25_1"/>
      <w:bookmarkEnd w:id="68"/>
      <w:hyperlink w:anchor="fn25">
        <w:r>
          <w:rPr>
            <w:rFonts w:eastAsia="inter" w:cs="inter" w:ascii="inter" w:hAnsi="inter"/>
            <w:color w:val="#000"/>
            <w:u w:val="single"/>
            <w:vertAlign w:val="superscript"/>
          </w:rPr>
          <w:t xml:space="preserve">[25]</w:t>
        </w:r>
      </w:hyperlink>
      <w:r>
        <w:rPr>
          <w:rFonts w:eastAsia="inter" w:cs="inter" w:ascii="inter" w:hAnsi="inter"/>
          <w:color w:val="000000"/>
        </w:rPr>
        <w:br w:type="textWrapping"/>
      </w:r>
      <w:r>
        <w:rPr>
          <w:rFonts w:eastAsia="inter" w:cs="inter" w:ascii="inter" w:hAnsi="inter"/>
          <w:color w:val="000000"/>
        </w:rPr>
        <w:t xml:space="preserve">Multi-disciplinary governance review teams and assessment criteria</w:t>
      </w:r>
      <w:bookmarkStart w:id="69" w:name="fnref28"/>
      <w:bookmarkEnd w:id="69"/>
      <w:hyperlink w:anchor="fn28">
        <w:r>
          <w:rPr>
            <w:rFonts w:eastAsia="inter" w:cs="inter" w:ascii="inter" w:hAnsi="inter"/>
            <w:color w:val="#000"/>
            <w:u w:val="single"/>
            <w:vertAlign w:val="superscript"/>
          </w:rPr>
          <w:t xml:space="preserve">[28]</w:t>
        </w:r>
      </w:hyperlink>
      <w:bookmarkStart w:id="70" w:name="fnref5_1"/>
      <w:bookmarkEnd w:id="70"/>
      <w:hyperlink w:anchor="fn5">
        <w:r>
          <w:rPr>
            <w:rFonts w:eastAsia="inter" w:cs="inter" w:ascii="inter" w:hAnsi="inter"/>
            <w:color w:val="#000"/>
            <w:u w:val="single"/>
            <w:vertAlign w:val="superscript"/>
          </w:rPr>
          <w:t xml:space="preserve">[5]</w:t>
        </w:r>
      </w:hyperlink>
      <w:r>
        <w:rPr>
          <w:rFonts w:eastAsia="inter" w:cs="inter" w:ascii="inter" w:hAnsi="inter"/>
          <w:color w:val="000000"/>
        </w:rPr>
        <w:br w:type="textWrapping"/>
      </w:r>
      <w:r>
        <w:rPr>
          <w:rFonts w:eastAsia="inter" w:cs="inter" w:ascii="inter" w:hAnsi="inter"/>
          <w:color w:val="000000"/>
        </w:rPr>
        <w:t xml:space="preserve">AuditBoard and </w:t>
      </w:r>
      <w:hyperlink r:id="rId18">
        <w:r>
          <w:rPr>
            <w:rFonts w:eastAsia="inter" w:cs="inter" w:ascii="inter" w:hAnsi="inter"/>
            <w:color w:val="#000"/>
            <w:u w:val="single"/>
          </w:rPr>
          <w:t xml:space="preserve">EY.ai</w:t>
        </w:r>
      </w:hyperlink>
      <w:r>
        <w:rPr>
          <w:rFonts w:eastAsia="inter" w:cs="inter" w:ascii="inter" w:hAnsi="inter"/>
          <w:color w:val="000000"/>
        </w:rPr>
        <w:t xml:space="preserve"> Risk integration</w:t>
      </w:r>
      <w:bookmarkStart w:id="71" w:name="fnref29"/>
      <w:bookmarkEnd w:id="71"/>
      <w:hyperlink w:anchor="fn29">
        <w:r>
          <w:rPr>
            <w:rFonts w:eastAsia="inter" w:cs="inter" w:ascii="inter" w:hAnsi="inter"/>
            <w:color w:val="#000"/>
            <w:u w:val="single"/>
            <w:vertAlign w:val="superscript"/>
          </w:rPr>
          <w:t xml:space="preserve">[29]</w:t>
        </w:r>
      </w:hyperlink>
      <w:bookmarkStart w:id="72" w:name="fnref6_1"/>
      <w:bookmarkEnd w:id="72"/>
      <w:hyperlink w:anchor="fn6">
        <w:r>
          <w:rPr>
            <w:rFonts w:eastAsia="inter" w:cs="inter" w:ascii="inter" w:hAnsi="inter"/>
            <w:color w:val="#000"/>
            <w:u w:val="single"/>
            <w:vertAlign w:val="superscript"/>
          </w:rPr>
          <w:t xml:space="preserve">[6]</w:t>
        </w:r>
      </w:hyperlink>
      <w:r>
        <w:rPr>
          <w:rFonts w:eastAsia="inter" w:cs="inter" w:ascii="inter" w:hAnsi="inter"/>
          <w:color w:val="000000"/>
        </w:rPr>
        <w:br w:type="textWrapping"/>
      </w:r>
      <w:r>
        <w:rPr>
          <w:rFonts w:eastAsia="inter" w:cs="inter" w:ascii="inter" w:hAnsi="inter"/>
          <w:color w:val="000000"/>
        </w:rPr>
        <w:t xml:space="preserve">EY Wavespace centers and global network</w:t>
      </w:r>
      <w:bookmarkStart w:id="73" w:name="fnref30"/>
      <w:bookmarkEnd w:id="73"/>
      <w:hyperlink w:anchor="fn30">
        <w:r>
          <w:rPr>
            <w:rFonts w:eastAsia="inter" w:cs="inter" w:ascii="inter" w:hAnsi="inter"/>
            <w:color w:val="#000"/>
            <w:u w:val="single"/>
            <w:vertAlign w:val="superscript"/>
          </w:rPr>
          <w:t xml:space="preserve">[30]</w:t>
        </w:r>
      </w:hyperlink>
      <w:bookmarkStart w:id="74" w:name="fnref31"/>
      <w:bookmarkEnd w:id="74"/>
      <w:hyperlink w:anchor="fn31">
        <w:r>
          <w:rPr>
            <w:rFonts w:eastAsia="inter" w:cs="inter" w:ascii="inter" w:hAnsi="inter"/>
            <w:color w:val="#000"/>
            <w:u w:val="single"/>
            <w:vertAlign w:val="superscript"/>
          </w:rPr>
          <w:t xml:space="preserve">[31]</w:t>
        </w:r>
      </w:hyperlink>
      <w:bookmarkStart w:id="75" w:name="fnref7_1"/>
      <w:bookmarkEnd w:id="75"/>
      <w:hyperlink w:anchor="fn7">
        <w:r>
          <w:rPr>
            <w:rFonts w:eastAsia="inter" w:cs="inter" w:ascii="inter" w:hAnsi="inter"/>
            <w:color w:val="#000"/>
            <w:u w:val="single"/>
            <w:vertAlign w:val="superscript"/>
          </w:rPr>
          <w:t xml:space="preserve">[7]</w:t>
        </w:r>
      </w:hyperlink>
      <w:r>
        <w:rPr>
          <w:rFonts w:eastAsia="inter" w:cs="inter" w:ascii="inter" w:hAnsi="inter"/>
          <w:color w:val="000000"/>
        </w:rPr>
        <w:br w:type="textWrapping"/>
      </w:r>
      <w:r>
        <w:rPr>
          <w:rFonts w:eastAsia="inter" w:cs="inter" w:ascii="inter" w:hAnsi="inter"/>
          <w:color w:val="000000"/>
        </w:rPr>
        <w:t xml:space="preserve">Wavespace facility environments (design, demos, labs, workshops)</w:t>
      </w:r>
      <w:bookmarkStart w:id="76" w:name="fnref8_1"/>
      <w:bookmarkEnd w:id="76"/>
      <w:hyperlink w:anchor="fn8">
        <w:r>
          <w:rPr>
            <w:rFonts w:eastAsia="inter" w:cs="inter" w:ascii="inter" w:hAnsi="inter"/>
            <w:color w:val="#000"/>
            <w:u w:val="single"/>
            <w:vertAlign w:val="superscript"/>
          </w:rPr>
          <w:t xml:space="preserve">[8]</w:t>
        </w:r>
      </w:hyperlink>
      <w:bookmarkStart w:id="77" w:name="fnref32"/>
      <w:bookmarkEnd w:id="77"/>
      <w:hyperlink w:anchor="fn32">
        <w:r>
          <w:rPr>
            <w:rFonts w:eastAsia="inter" w:cs="inter" w:ascii="inter" w:hAnsi="inter"/>
            <w:color w:val="#000"/>
            <w:u w:val="single"/>
            <w:vertAlign w:val="superscript"/>
          </w:rPr>
          <w:t xml:space="preserve">[32]</w:t>
        </w:r>
      </w:hyperlink>
      <w:r>
        <w:rPr>
          <w:rFonts w:eastAsia="inter" w:cs="inter" w:ascii="inter" w:hAnsi="inter"/>
          <w:color w:val="000000"/>
        </w:rPr>
        <w:br w:type="textWrapping"/>
      </w:r>
      <w:r>
        <w:rPr>
          <w:rFonts w:eastAsia="inter" w:cs="inter" w:ascii="inter" w:hAnsi="inter"/>
          <w:color w:val="000000"/>
        </w:rPr>
        <w:t xml:space="preserve">Wavespace TLV Innovation 361 sessions with STKI</w:t>
      </w:r>
      <w:bookmarkStart w:id="78" w:name="fnref33"/>
      <w:bookmarkEnd w:id="78"/>
      <w:hyperlink w:anchor="fn33">
        <w:r>
          <w:rPr>
            <w:rFonts w:eastAsia="inter" w:cs="inter" w:ascii="inter" w:hAnsi="inter"/>
            <w:color w:val="#000"/>
            <w:u w:val="single"/>
            <w:vertAlign w:val="superscript"/>
          </w:rPr>
          <w:t xml:space="preserve">[33]</w:t>
        </w:r>
      </w:hyperlink>
      <w:bookmarkStart w:id="79" w:name="fnref9_1"/>
      <w:bookmarkEnd w:id="79"/>
      <w:hyperlink w:anchor="fn9">
        <w:r>
          <w:rPr>
            <w:rFonts w:eastAsia="inter" w:cs="inter" w:ascii="inter" w:hAnsi="inter"/>
            <w:color w:val="#000"/>
            <w:u w:val="single"/>
            <w:vertAlign w:val="superscript"/>
          </w:rPr>
          <w:t xml:space="preserve">[9]</w:t>
        </w:r>
      </w:hyperlink>
      <w:r>
        <w:rPr>
          <w:rFonts w:eastAsia="inter" w:cs="inter" w:ascii="inter" w:hAnsi="inter"/>
          <w:color w:val="000000"/>
        </w:rPr>
        <w:br w:type="textWrapping"/>
      </w:r>
      <w:r>
        <w:rPr>
          <w:rFonts w:eastAsia="inter" w:cs="inter" w:ascii="inter" w:hAnsi="inter"/>
          <w:color w:val="000000"/>
        </w:rPr>
        <w:t xml:space="preserve">EY Israel staffing (2,200+ professionals; 200 in Haifa)</w:t>
      </w:r>
      <w:bookmarkStart w:id="80" w:name="fnref34"/>
      <w:bookmarkEnd w:id="80"/>
      <w:hyperlink w:anchor="fn34">
        <w:r>
          <w:rPr>
            <w:rFonts w:eastAsia="inter" w:cs="inter" w:ascii="inter" w:hAnsi="inter"/>
            <w:color w:val="#000"/>
            <w:u w:val="single"/>
            <w:vertAlign w:val="superscript"/>
          </w:rPr>
          <w:t xml:space="preserve">[34]</w:t>
        </w:r>
      </w:hyperlink>
      <w:bookmarkStart w:id="81" w:name="fnref10_1"/>
      <w:bookmarkEnd w:id="81"/>
      <w:hyperlink w:anchor="fn10">
        <w:r>
          <w:rPr>
            <w:rFonts w:eastAsia="inter" w:cs="inter" w:ascii="inter" w:hAnsi="inter"/>
            <w:color w:val="#000"/>
            <w:u w:val="single"/>
            <w:vertAlign w:val="superscript"/>
          </w:rPr>
          <w:t xml:space="preserve">[10]</w:t>
        </w:r>
      </w:hyperlink>
      <w:r>
        <w:rPr>
          <w:rFonts w:eastAsia="inter" w:cs="inter" w:ascii="inter" w:hAnsi="inter"/>
          <w:color w:val="000000"/>
        </w:rPr>
        <w:br w:type="textWrapping"/>
      </w:r>
      <w:r>
        <w:rPr>
          <w:rFonts w:eastAsia="inter" w:cs="inter" w:ascii="inter" w:hAnsi="inter"/>
          <w:color w:val="000000"/>
        </w:rPr>
        <w:t xml:space="preserve">EY Israel consulting service offerings</w:t>
      </w:r>
      <w:bookmarkStart w:id="82" w:name="fnref35"/>
      <w:bookmarkEnd w:id="82"/>
      <w:hyperlink w:anchor="fn35">
        <w:r>
          <w:rPr>
            <w:rFonts w:eastAsia="inter" w:cs="inter" w:ascii="inter" w:hAnsi="inter"/>
            <w:color w:val="#000"/>
            <w:u w:val="single"/>
            <w:vertAlign w:val="superscript"/>
          </w:rPr>
          <w:t xml:space="preserve">[35]</w:t>
        </w:r>
      </w:hyperlink>
      <w:bookmarkStart w:id="83" w:name="fnref11_1"/>
      <w:bookmarkEnd w:id="83"/>
      <w:hyperlink w:anchor="fn11">
        <w:r>
          <w:rPr>
            <w:rFonts w:eastAsia="inter" w:cs="inter" w:ascii="inter" w:hAnsi="inter"/>
            <w:color w:val="#000"/>
            <w:u w:val="single"/>
            <w:vertAlign w:val="superscript"/>
          </w:rPr>
          <w:t xml:space="preserve">[11]</w:t>
        </w:r>
      </w:hyperlink>
      <w:r>
        <w:rPr>
          <w:rFonts w:eastAsia="inter" w:cs="inter" w:ascii="inter" w:hAnsi="inter"/>
          <w:color w:val="000000"/>
        </w:rPr>
        <w:br w:type="textWrapping"/>
      </w:r>
      <w:r>
        <w:rPr>
          <w:rFonts w:eastAsia="inter" w:cs="inter" w:ascii="inter" w:hAnsi="inter"/>
          <w:color w:val="000000"/>
        </w:rPr>
        <w:t xml:space="preserve">Microsoft Business Applications Inner Circle designations and IDC recognition</w:t>
      </w:r>
      <w:bookmarkStart w:id="84" w:name="fnref36"/>
      <w:bookmarkEnd w:id="84"/>
      <w:hyperlink w:anchor="fn36">
        <w:r>
          <w:rPr>
            <w:rFonts w:eastAsia="inter" w:cs="inter" w:ascii="inter" w:hAnsi="inter"/>
            <w:color w:val="#000"/>
            <w:u w:val="single"/>
            <w:vertAlign w:val="superscript"/>
          </w:rPr>
          <w:t xml:space="preserve">[36]</w:t>
        </w:r>
      </w:hyperlink>
      <w:bookmarkStart w:id="85" w:name="fnref12_1"/>
      <w:bookmarkEnd w:id="85"/>
      <w:hyperlink w:anchor="fn12">
        <w:r>
          <w:rPr>
            <w:rFonts w:eastAsia="inter" w:cs="inter" w:ascii="inter" w:hAnsi="inter"/>
            <w:color w:val="#000"/>
            <w:u w:val="single"/>
            <w:vertAlign w:val="superscript"/>
          </w:rPr>
          <w:t xml:space="preserve">[12]</w:t>
        </w:r>
      </w:hyperlink>
      <w:r>
        <w:rPr>
          <w:rFonts w:eastAsia="inter" w:cs="inter" w:ascii="inter" w:hAnsi="inter"/>
          <w:color w:val="000000"/>
        </w:rPr>
        <w:br w:type="textWrapping"/>
      </w:r>
      <w:r>
        <w:rPr>
          <w:rFonts w:eastAsia="inter" w:cs="inter" w:ascii="inter" w:hAnsi="inter"/>
          <w:color w:val="000000"/>
        </w:rPr>
        <w:t xml:space="preserve">EY-Microsoft collaboration scope (global solutions)</w:t>
      </w:r>
      <w:bookmarkStart w:id="86" w:name="fnref13_1"/>
      <w:bookmarkEnd w:id="86"/>
      <w:hyperlink w:anchor="fn13">
        <w:r>
          <w:rPr>
            <w:rFonts w:eastAsia="inter" w:cs="inter" w:ascii="inter" w:hAnsi="inter"/>
            <w:color w:val="#000"/>
            <w:u w:val="single"/>
            <w:vertAlign w:val="superscript"/>
          </w:rPr>
          <w:t xml:space="preserve">[13]</w:t>
        </w:r>
      </w:hyperlink>
      <w:bookmarkStart w:id="87" w:name="fnref36_1"/>
      <w:bookmarkEnd w:id="87"/>
      <w:hyperlink w:anchor="fn36">
        <w:r>
          <w:rPr>
            <w:rFonts w:eastAsia="inter" w:cs="inter" w:ascii="inter" w:hAnsi="inter"/>
            <w:color w:val="#000"/>
            <w:u w:val="single"/>
            <w:vertAlign w:val="superscript"/>
          </w:rPr>
          <w:t xml:space="preserve">[36]</w:t>
        </w:r>
      </w:hyperlink>
      <w:r>
        <w:rPr>
          <w:rFonts w:eastAsia="inter" w:cs="inter" w:ascii="inter" w:hAnsi="inter"/>
          <w:color w:val="000000"/>
        </w:rPr>
        <w:br w:type="textWrapping"/>
      </w:r>
      <w:r>
        <w:rPr>
          <w:rFonts w:eastAsia="inter" w:cs="inter" w:ascii="inter" w:hAnsi="inter"/>
          <w:color w:val="000000"/>
        </w:rPr>
        <w:t xml:space="preserve">March 2025 SAP S/4HANA Cloud Private Edition on Azure initiative</w:t>
      </w:r>
      <w:bookmarkStart w:id="88" w:name="fnref14_1"/>
      <w:bookmarkEnd w:id="88"/>
      <w:hyperlink w:anchor="fn14">
        <w:r>
          <w:rPr>
            <w:rFonts w:eastAsia="inter" w:cs="inter" w:ascii="inter" w:hAnsi="inter"/>
            <w:color w:val="#000"/>
            <w:u w:val="single"/>
            <w:vertAlign w:val="superscript"/>
          </w:rPr>
          <w:t xml:space="preserve">[14]</w:t>
        </w:r>
      </w:hyperlink>
      <w:bookmarkStart w:id="89" w:name="fnref36_2"/>
      <w:bookmarkEnd w:id="89"/>
      <w:hyperlink w:anchor="fn36">
        <w:r>
          <w:rPr>
            <w:rFonts w:eastAsia="inter" w:cs="inter" w:ascii="inter" w:hAnsi="inter"/>
            <w:color w:val="#000"/>
            <w:u w:val="single"/>
            <w:vertAlign w:val="superscript"/>
          </w:rPr>
          <w:t xml:space="preserve">[36]</w:t>
        </w:r>
      </w:hyperlink>
      <w:r>
        <w:rPr>
          <w:rFonts w:eastAsia="inter" w:cs="inter" w:ascii="inter" w:hAnsi="inter"/>
          <w:color w:val="000000"/>
        </w:rPr>
        <w:br w:type="textWrapping"/>
      </w:r>
      <w:r>
        <w:rPr>
          <w:rFonts w:eastAsia="inter" w:cs="inter" w:ascii="inter" w:hAnsi="inter"/>
          <w:color w:val="000000"/>
        </w:rPr>
        <w:t xml:space="preserve">NVIDIA partnership and </w:t>
      </w:r>
      <w:hyperlink r:id="rId19">
        <w:r>
          <w:rPr>
            <w:rFonts w:eastAsia="inter" w:cs="inter" w:ascii="inter" w:hAnsi="inter"/>
            <w:color w:val="#000"/>
            <w:u w:val="single"/>
          </w:rPr>
          <w:t xml:space="preserve">EY.ai</w:t>
        </w:r>
      </w:hyperlink>
      <w:r>
        <w:rPr>
          <w:rFonts w:eastAsia="inter" w:cs="inter" w:ascii="inter" w:hAnsi="inter"/>
          <w:color w:val="000000"/>
        </w:rPr>
        <w:t xml:space="preserve"> Agentic Platform</w:t>
      </w:r>
      <w:bookmarkStart w:id="90" w:name="fnref37"/>
      <w:bookmarkEnd w:id="90"/>
      <w:hyperlink w:anchor="fn37">
        <w:r>
          <w:rPr>
            <w:rFonts w:eastAsia="inter" w:cs="inter" w:ascii="inter" w:hAnsi="inter"/>
            <w:color w:val="#000"/>
            <w:u w:val="single"/>
            <w:vertAlign w:val="superscript"/>
          </w:rPr>
          <w:t xml:space="preserve">[37]</w:t>
        </w:r>
      </w:hyperlink>
      <w:bookmarkStart w:id="91" w:name="fnref15_1"/>
      <w:bookmarkEnd w:id="91"/>
      <w:hyperlink w:anchor="fn15">
        <w:r>
          <w:rPr>
            <w:rFonts w:eastAsia="inter" w:cs="inter" w:ascii="inter" w:hAnsi="inter"/>
            <w:color w:val="#000"/>
            <w:u w:val="single"/>
            <w:vertAlign w:val="superscript"/>
          </w:rPr>
          <w:t xml:space="preserve">[15]</w:t>
        </w:r>
      </w:hyperlink>
      <w:r>
        <w:rPr>
          <w:rFonts w:eastAsia="inter" w:cs="inter" w:ascii="inter" w:hAnsi="inter"/>
          <w:color w:val="000000"/>
        </w:rPr>
        <w:br w:type="textWrapping"/>
      </w:r>
      <w:r>
        <w:rPr>
          <w:rFonts w:eastAsia="inter" w:cs="inter" w:ascii="inter" w:hAnsi="inter"/>
          <w:color w:val="000000"/>
        </w:rPr>
        <w:t xml:space="preserve">Agentic AI deployment scale (150 agents, 80,000 professionals)</w:t>
      </w:r>
      <w:bookmarkStart w:id="92" w:name="fnref16_1"/>
      <w:bookmarkEnd w:id="92"/>
      <w:hyperlink w:anchor="fn16">
        <w:r>
          <w:rPr>
            <w:rFonts w:eastAsia="inter" w:cs="inter" w:ascii="inter" w:hAnsi="inter"/>
            <w:color w:val="#000"/>
            <w:u w:val="single"/>
            <w:vertAlign w:val="superscript"/>
          </w:rPr>
          <w:t xml:space="preserve">[16]</w:t>
        </w:r>
      </w:hyperlink>
      <w:bookmarkStart w:id="93" w:name="fnref37_1"/>
      <w:bookmarkEnd w:id="93"/>
      <w:hyperlink w:anchor="fn37">
        <w:r>
          <w:rPr>
            <w:rFonts w:eastAsia="inter" w:cs="inter" w:ascii="inter" w:hAnsi="inter"/>
            <w:color w:val="#000"/>
            <w:u w:val="single"/>
            <w:vertAlign w:val="superscript"/>
          </w:rPr>
          <w:t xml:space="preserve">[37]</w:t>
        </w:r>
      </w:hyperlink>
      <w:r>
        <w:rPr>
          <w:rFonts w:eastAsia="inter" w:cs="inter" w:ascii="inter" w:hAnsi="inter"/>
          <w:color w:val="000000"/>
        </w:rPr>
        <w:br w:type="textWrapping"/>
      </w:r>
      <w:hyperlink r:id="rId20">
        <w:r>
          <w:rPr>
            <w:rFonts w:eastAsia="inter" w:cs="inter" w:ascii="inter" w:hAnsi="inter"/>
            <w:color w:val="#000"/>
            <w:u w:val="single"/>
          </w:rPr>
          <w:t xml:space="preserve">EY.ai</w:t>
        </w:r>
      </w:hyperlink>
      <w:r>
        <w:rPr>
          <w:rFonts w:eastAsia="inter" w:cs="inter" w:ascii="inter" w:hAnsi="inter"/>
          <w:color w:val="000000"/>
        </w:rPr>
        <w:t xml:space="preserve"> for Risk launched on NVIDIA platform (June 2025)</w:t>
      </w:r>
      <w:bookmarkStart w:id="94" w:name="fnref38"/>
      <w:bookmarkEnd w:id="94"/>
      <w:hyperlink w:anchor="fn38">
        <w:r>
          <w:rPr>
            <w:rFonts w:eastAsia="inter" w:cs="inter" w:ascii="inter" w:hAnsi="inter"/>
            <w:color w:val="#000"/>
            <w:u w:val="single"/>
            <w:vertAlign w:val="superscript"/>
          </w:rPr>
          <w:t xml:space="preserve">[38]</w:t>
        </w:r>
      </w:hyperlink>
      <w:bookmarkStart w:id="95" w:name="fnref17_1"/>
      <w:bookmarkEnd w:id="95"/>
      <w:hyperlink w:anchor="fn17">
        <w:r>
          <w:rPr>
            <w:rFonts w:eastAsia="inter" w:cs="inter" w:ascii="inter" w:hAnsi="inter"/>
            <w:color w:val="#000"/>
            <w:u w:val="single"/>
            <w:vertAlign w:val="superscript"/>
          </w:rPr>
          <w:t xml:space="preserve">[17]</w:t>
        </w:r>
      </w:hyperlink>
      <w:r>
        <w:rPr>
          <w:rFonts w:eastAsia="inter" w:cs="inter" w:ascii="inter" w:hAnsi="inter"/>
          <w:color w:val="000000"/>
        </w:rPr>
        <w:br w:type="textWrapping"/>
      </w:r>
      <w:r>
        <w:rPr>
          <w:rFonts w:eastAsia="inter" w:cs="inter" w:ascii="inter" w:hAnsi="inter"/>
          <w:color w:val="000000"/>
        </w:rPr>
        <w:t xml:space="preserve">SAP-NVIDIA partnership on generative AI</w:t>
      </w:r>
      <w:bookmarkStart w:id="96" w:name="fnref39"/>
      <w:bookmarkEnd w:id="96"/>
      <w:hyperlink w:anchor="fn39">
        <w:r>
          <w:rPr>
            <w:rFonts w:eastAsia="inter" w:cs="inter" w:ascii="inter" w:hAnsi="inter"/>
            <w:color w:val="#000"/>
            <w:u w:val="single"/>
            <w:vertAlign w:val="superscript"/>
          </w:rPr>
          <w:t xml:space="preserve">[39]</w:t>
        </w:r>
      </w:hyperlink>
      <w:bookmarkStart w:id="97" w:name="fnref18_1"/>
      <w:bookmarkEnd w:id="97"/>
      <w:hyperlink w:anchor="fn18">
        <w:r>
          <w:rPr>
            <w:rFonts w:eastAsia="inter" w:cs="inter" w:ascii="inter" w:hAnsi="inter"/>
            <w:color w:val="#000"/>
            <w:u w:val="single"/>
            <w:vertAlign w:val="superscript"/>
          </w:rPr>
          <w:t xml:space="preserve">[18]</w:t>
        </w:r>
      </w:hyperlink>
      <w:r>
        <w:rPr>
          <w:rFonts w:eastAsia="inter" w:cs="inter" w:ascii="inter" w:hAnsi="inter"/>
          <w:color w:val="000000"/>
        </w:rPr>
        <w:br w:type="textWrapping"/>
      </w:r>
      <w:r>
        <w:rPr>
          <w:rFonts w:eastAsia="inter" w:cs="inter" w:ascii="inter" w:hAnsi="inter"/>
          <w:color w:val="000000"/>
        </w:rPr>
        <w:t xml:space="preserve">Bank Leumi GenAI hub announcement and CEO remarks</w:t>
      </w:r>
      <w:bookmarkStart w:id="98" w:name="fnref40"/>
      <w:bookmarkEnd w:id="98"/>
      <w:hyperlink w:anchor="fn40">
        <w:r>
          <w:rPr>
            <w:rFonts w:eastAsia="inter" w:cs="inter" w:ascii="inter" w:hAnsi="inter"/>
            <w:color w:val="#000"/>
            <w:u w:val="single"/>
            <w:vertAlign w:val="superscript"/>
          </w:rPr>
          <w:t xml:space="preserve">[40]</w:t>
        </w:r>
      </w:hyperlink>
      <w:bookmarkStart w:id="99" w:name="fnref19_1"/>
      <w:bookmarkEnd w:id="99"/>
      <w:hyperlink w:anchor="fn19">
        <w:r>
          <w:rPr>
            <w:rFonts w:eastAsia="inter" w:cs="inter" w:ascii="inter" w:hAnsi="inter"/>
            <w:color w:val="#000"/>
            <w:u w:val="single"/>
            <w:vertAlign w:val="superscript"/>
          </w:rPr>
          <w:t xml:space="preserve">[19]</w:t>
        </w:r>
      </w:hyperlink>
      <w:r>
        <w:rPr>
          <w:rFonts w:eastAsia="inter" w:cs="inter" w:ascii="inter" w:hAnsi="inter"/>
          <w:color w:val="000000"/>
        </w:rPr>
        <w:br w:type="textWrapping"/>
      </w:r>
      <w:r>
        <w:rPr>
          <w:rFonts w:eastAsia="inter" w:cs="inter" w:ascii="inter" w:hAnsi="inter"/>
          <w:color w:val="000000"/>
        </w:rPr>
        <w:t xml:space="preserve">Discount Bank "Adi" AI tool and CEO statement</w:t>
      </w:r>
      <w:bookmarkStart w:id="100" w:name="fnref41"/>
      <w:bookmarkEnd w:id="100"/>
      <w:hyperlink w:anchor="fn41">
        <w:r>
          <w:rPr>
            <w:rFonts w:eastAsia="inter" w:cs="inter" w:ascii="inter" w:hAnsi="inter"/>
            <w:color w:val="#000"/>
            <w:u w:val="single"/>
            <w:vertAlign w:val="superscript"/>
          </w:rPr>
          <w:t xml:space="preserve">[41]</w:t>
        </w:r>
      </w:hyperlink>
      <w:bookmarkStart w:id="101" w:name="fnref42"/>
      <w:bookmarkEnd w:id="101"/>
      <w:hyperlink w:anchor="fn42">
        <w:r>
          <w:rPr>
            <w:rFonts w:eastAsia="inter" w:cs="inter" w:ascii="inter" w:hAnsi="inter"/>
            <w:color w:val="#000"/>
            <w:u w:val="single"/>
            <w:vertAlign w:val="superscript"/>
          </w:rPr>
          <w:t xml:space="preserve">[42]</w:t>
        </w:r>
      </w:hyperlink>
      <w:bookmarkStart w:id="102" w:name="fnref20_1"/>
      <w:bookmarkEnd w:id="102"/>
      <w:hyperlink w:anchor="fn20">
        <w:r>
          <w:rPr>
            <w:rFonts w:eastAsia="inter" w:cs="inter" w:ascii="inter" w:hAnsi="inter"/>
            <w:color w:val="#000"/>
            <w:u w:val="single"/>
            <w:vertAlign w:val="superscript"/>
          </w:rPr>
          <w:t xml:space="preserve">[20]</w:t>
        </w:r>
      </w:hyperlink>
      <w:r>
        <w:rPr>
          <w:rFonts w:eastAsia="inter" w:cs="inter" w:ascii="inter" w:hAnsi="inter"/>
          <w:color w:val="000000"/>
        </w:rPr>
        <w:br w:type="textWrapping"/>
      </w:r>
      <w:r>
        <w:rPr>
          <w:rFonts w:eastAsia="inter" w:cs="inter" w:ascii="inter" w:hAnsi="inter"/>
          <w:color w:val="000000"/>
        </w:rPr>
        <w:t xml:space="preserve">Israeli banking concentration discussion</w:t>
      </w:r>
      <w:bookmarkStart w:id="103" w:name="fnref43"/>
      <w:bookmarkEnd w:id="103"/>
      <w:hyperlink w:anchor="fn43">
        <w:r>
          <w:rPr>
            <w:rFonts w:eastAsia="inter" w:cs="inter" w:ascii="inter" w:hAnsi="inter"/>
            <w:color w:val="#000"/>
            <w:u w:val="single"/>
            <w:vertAlign w:val="superscript"/>
          </w:rPr>
          <w:t xml:space="preserve">[43]</w:t>
        </w:r>
      </w:hyperlink>
      <w:bookmarkStart w:id="104" w:name="fnref21_1"/>
      <w:bookmarkEnd w:id="104"/>
      <w:hyperlink w:anchor="fn21">
        <w:r>
          <w:rPr>
            <w:rFonts w:eastAsia="inter" w:cs="inter" w:ascii="inter" w:hAnsi="inter"/>
            <w:color w:val="#000"/>
            <w:u w:val="single"/>
            <w:vertAlign w:val="superscript"/>
          </w:rPr>
          <w:t xml:space="preserve">[21]</w:t>
        </w:r>
      </w:hyperlink>
      <w:r>
        <w:rPr>
          <w:rFonts w:eastAsia="inter" w:cs="inter" w:ascii="inter" w:hAnsi="inter"/>
          <w:color w:val="000000"/>
        </w:rPr>
        <w:br w:type="textWrapping"/>
      </w:r>
      <w:r>
        <w:rPr>
          <w:rFonts w:eastAsia="inter" w:cs="inter" w:ascii="inter" w:hAnsi="inter"/>
          <w:color w:val="000000"/>
        </w:rPr>
        <w:t xml:space="preserve">ISA interim report on AI in financial sector—principles-based approach</w:t>
      </w:r>
      <w:bookmarkStart w:id="105" w:name="fnref44"/>
      <w:bookmarkEnd w:id="105"/>
      <w:hyperlink w:anchor="fn44">
        <w:r>
          <w:rPr>
            <w:rFonts w:eastAsia="inter" w:cs="inter" w:ascii="inter" w:hAnsi="inter"/>
            <w:color w:val="#000"/>
            <w:u w:val="single"/>
            <w:vertAlign w:val="superscript"/>
          </w:rPr>
          <w:t xml:space="preserve">[44]</w:t>
        </w:r>
      </w:hyperlink>
      <w:bookmarkStart w:id="106" w:name="fnref22_1"/>
      <w:bookmarkEnd w:id="106"/>
      <w:hyperlink w:anchor="fn22">
        <w:r>
          <w:rPr>
            <w:rFonts w:eastAsia="inter" w:cs="inter" w:ascii="inter" w:hAnsi="inter"/>
            <w:color w:val="#000"/>
            <w:u w:val="single"/>
            <w:vertAlign w:val="superscript"/>
          </w:rPr>
          <w:t xml:space="preserve">[22]</w:t>
        </w:r>
      </w:hyperlink>
      <w:r>
        <w:rPr>
          <w:rFonts w:eastAsia="inter" w:cs="inter" w:ascii="inter" w:hAnsi="inter"/>
          <w:color w:val="000000"/>
        </w:rPr>
        <w:br w:type="textWrapping"/>
      </w:r>
      <w:r>
        <w:rPr>
          <w:rFonts w:eastAsia="inter" w:cs="inter" w:ascii="inter" w:hAnsi="inter"/>
          <w:color w:val="000000"/>
        </w:rPr>
        <w:t xml:space="preserve">Microsoft Israel Chief Partner Officer at EY JOURNEY 2025</w:t>
      </w:r>
      <w:bookmarkStart w:id="107" w:name="fnref45"/>
      <w:bookmarkEnd w:id="107"/>
      <w:hyperlink w:anchor="fn45">
        <w:r>
          <w:rPr>
            <w:rFonts w:eastAsia="inter" w:cs="inter" w:ascii="inter" w:hAnsi="inter"/>
            <w:color w:val="#000"/>
            <w:u w:val="single"/>
            <w:vertAlign w:val="superscript"/>
          </w:rPr>
          <w:t xml:space="preserve">[45]</w:t>
        </w:r>
      </w:hyperlink>
      <w:bookmarkStart w:id="108" w:name="fnref23_1"/>
      <w:bookmarkEnd w:id="108"/>
      <w:hyperlink w:anchor="fn23">
        <w:r>
          <w:rPr>
            <w:rFonts w:eastAsia="inter" w:cs="inter" w:ascii="inter" w:hAnsi="inter"/>
            <w:color w:val="#000"/>
            <w:u w:val="single"/>
            <w:vertAlign w:val="superscript"/>
          </w:rPr>
          <w:t xml:space="preserve">[23]</w:t>
        </w:r>
      </w:hyperlink>
      <w:r>
        <w:rPr>
          <w:rFonts w:eastAsia="inter" w:cs="inter" w:ascii="inter" w:hAnsi="inter"/>
          <w:color w:val="000000"/>
        </w:rPr>
        <w:br w:type="textWrapping"/>
      </w:r>
      <w:r>
        <w:rPr>
          <w:rFonts w:eastAsia="inter" w:cs="inter" w:ascii="inter" w:hAnsi="inter"/>
          <w:color w:val="000000"/>
        </w:rPr>
        <w:t xml:space="preserve">Israeli fintech AI-first pivot</w:t>
      </w:r>
      <w:bookmarkStart w:id="109" w:name="fnref46"/>
      <w:bookmarkEnd w:id="109"/>
      <w:hyperlink w:anchor="fn46">
        <w:r>
          <w:rPr>
            <w:rFonts w:eastAsia="inter" w:cs="inter" w:ascii="inter" w:hAnsi="inter"/>
            <w:color w:val="#000"/>
            <w:u w:val="single"/>
            <w:vertAlign w:val="superscript"/>
          </w:rPr>
          <w:t xml:space="preserve">[46]</w:t>
        </w:r>
      </w:hyperlink>
      <w:bookmarkStart w:id="110" w:name="fnref24_2"/>
      <w:bookmarkEnd w:id="110"/>
      <w:hyperlink w:anchor="fn24">
        <w:r>
          <w:rPr>
            <w:rFonts w:eastAsia="inter" w:cs="inter" w:ascii="inter" w:hAnsi="inter"/>
            <w:color w:val="#000"/>
            <w:u w:val="single"/>
            <w:vertAlign w:val="superscript"/>
          </w:rPr>
          <w:t xml:space="preserve">[24]</w:t>
        </w:r>
      </w:hyperlink>
      <w:r>
        <w:rPr>
          <w:rFonts w:eastAsia="inter" w:cs="inter" w:ascii="inter" w:hAnsi="inter"/>
          <w:color w:val="000000"/>
        </w:rPr>
        <w:br w:type="textWrapping"/>
      </w:r>
      <w:r>
        <w:rPr>
          <w:rFonts w:eastAsia="inter" w:cs="inter" w:ascii="inter" w:hAnsi="inter"/>
          <w:color w:val="000000"/>
        </w:rPr>
        <w:t xml:space="preserve">Israeli fintech funding data—RiskTech dominance</w:t>
      </w:r>
      <w:bookmarkStart w:id="111" w:name="fnref47"/>
      <w:bookmarkEnd w:id="111"/>
      <w:hyperlink w:anchor="fn47">
        <w:r>
          <w:rPr>
            <w:rFonts w:eastAsia="inter" w:cs="inter" w:ascii="inter" w:hAnsi="inter"/>
            <w:color w:val="#000"/>
            <w:u w:val="single"/>
            <w:vertAlign w:val="superscript"/>
          </w:rPr>
          <w:t xml:space="preserve">[47]</w:t>
        </w:r>
      </w:hyperlink>
      <w:bookmarkStart w:id="112" w:name="fnref25_2"/>
      <w:bookmarkEnd w:id="112"/>
      <w:hyperlink w:anchor="fn25">
        <w:r>
          <w:rPr>
            <w:rFonts w:eastAsia="inter" w:cs="inter" w:ascii="inter" w:hAnsi="inter"/>
            <w:color w:val="#000"/>
            <w:u w:val="single"/>
            <w:vertAlign w:val="superscript"/>
          </w:rPr>
          <w:t xml:space="preserve">[25]</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13" w:name="fn1"/>
    <w:bookmarkEnd w:id="113"/>
    <w:p>
      <w:pPr>
        <w:numPr>
          <w:ilvl w:val="0"/>
          <w:numId w:val="17"/>
        </w:numPr>
        <w:spacing w:line="360" w:after="210" w:lineRule="auto"/>
      </w:pPr>
      <w:hyperlink r:id="rId21">
        <w:r>
          <w:rPr>
            <w:rFonts w:eastAsia="inter" w:cs="inter" w:ascii="inter" w:hAnsi="inter"/>
            <w:color w:val="#000"/>
            <w:sz w:val="18"/>
            <w:u w:val="single"/>
          </w:rPr>
          <w:t xml:space="preserve">https://arxiv.org/abs/2509.21188</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4" w:name="fn2"/>
    <w:bookmarkEnd w:id="114"/>
    <w:p>
      <w:pPr>
        <w:numPr>
          <w:ilvl w:val="0"/>
          <w:numId w:val="17"/>
        </w:numPr>
        <w:spacing w:line="360" w:after="210" w:lineRule="auto"/>
      </w:pPr>
      <w:hyperlink r:id="rId22">
        <w:r>
          <w:rPr>
            <w:rFonts w:eastAsia="inter" w:cs="inter" w:ascii="inter" w:hAnsi="inter"/>
            <w:color w:val="#000"/>
            <w:sz w:val="18"/>
            <w:u w:val="single"/>
          </w:rPr>
          <w:t xml:space="preserve">https://academic.oup.com/pmj/article/97/1151/571/6967218</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5" w:name="fn3"/>
    <w:bookmarkEnd w:id="115"/>
    <w:p>
      <w:pPr>
        <w:numPr>
          <w:ilvl w:val="0"/>
          <w:numId w:val="17"/>
        </w:numPr>
        <w:spacing w:line="360" w:after="210" w:lineRule="auto"/>
      </w:pPr>
      <w:hyperlink r:id="rId23">
        <w:r>
          <w:rPr>
            <w:rFonts w:eastAsia="inter" w:cs="inter" w:ascii="inter" w:hAnsi="inter"/>
            <w:color w:val="#000"/>
            <w:sz w:val="18"/>
            <w:u w:val="single"/>
          </w:rPr>
          <w:t xml:space="preserve">https://academic.oup.com/bjs/article/doi/10.1093/bjs/znab259.856/6389604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6" w:name="fn4"/>
    <w:bookmarkEnd w:id="116"/>
    <w:p>
      <w:pPr>
        <w:numPr>
          <w:ilvl w:val="0"/>
          <w:numId w:val="17"/>
        </w:numPr>
        <w:spacing w:line="360" w:after="210" w:lineRule="auto"/>
      </w:pPr>
      <w:hyperlink r:id="rId24">
        <w:r>
          <w:rPr>
            <w:rFonts w:eastAsia="inter" w:cs="inter" w:ascii="inter" w:hAnsi="inter"/>
            <w:color w:val="#000"/>
            <w:sz w:val="18"/>
            <w:u w:val="single"/>
          </w:rPr>
          <w:t xml:space="preserve">https://www.e3s-conferences.org/10.1051/e3sconf/202453105027</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7" w:name="fn5"/>
    <w:bookmarkEnd w:id="117"/>
    <w:p>
      <w:pPr>
        <w:numPr>
          <w:ilvl w:val="0"/>
          <w:numId w:val="17"/>
        </w:numPr>
        <w:spacing w:line="360" w:after="210" w:lineRule="auto"/>
      </w:pPr>
      <w:hyperlink r:id="rId25">
        <w:r>
          <w:rPr>
            <w:rFonts w:eastAsia="inter" w:cs="inter" w:ascii="inter" w:hAnsi="inter"/>
            <w:color w:val="#000"/>
            <w:sz w:val="18"/>
            <w:u w:val="single"/>
          </w:rPr>
          <w:t xml:space="preserve">https://fepbl.com/index.php/farj/article/view/855</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8" w:name="fn6"/>
    <w:bookmarkEnd w:id="118"/>
    <w:p>
      <w:pPr>
        <w:numPr>
          <w:ilvl w:val="0"/>
          <w:numId w:val="17"/>
        </w:numPr>
        <w:spacing w:line="360" w:after="210" w:lineRule="auto"/>
      </w:pPr>
      <w:hyperlink r:id="rId26">
        <w:r>
          <w:rPr>
            <w:rFonts w:eastAsia="inter" w:cs="inter" w:ascii="inter" w:hAnsi="inter"/>
            <w:color w:val="#000"/>
            <w:sz w:val="18"/>
            <w:u w:val="single"/>
          </w:rPr>
          <w:t xml:space="preserve">https://jefrr.ep-journals.org/index.php/jefrr/article/view/23</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9" w:name="fn7"/>
    <w:bookmarkEnd w:id="119"/>
    <w:p>
      <w:pPr>
        <w:numPr>
          <w:ilvl w:val="0"/>
          <w:numId w:val="17"/>
        </w:numPr>
        <w:spacing w:line="360" w:after="210" w:lineRule="auto"/>
      </w:pPr>
      <w:hyperlink r:id="rId27">
        <w:r>
          <w:rPr>
            <w:rFonts w:eastAsia="inter" w:cs="inter" w:ascii="inter" w:hAnsi="inter"/>
            <w:color w:val="#000"/>
            <w:sz w:val="18"/>
            <w:u w:val="single"/>
          </w:rPr>
          <w:t xml:space="preserve">https://khgts.kname.edu.ua/index.php/khgts/uk/article/view/6520</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0" w:name="fn8"/>
    <w:bookmarkEnd w:id="120"/>
    <w:p>
      <w:pPr>
        <w:numPr>
          <w:ilvl w:val="0"/>
          <w:numId w:val="17"/>
        </w:numPr>
        <w:spacing w:line="360" w:after="210" w:lineRule="auto"/>
      </w:pPr>
      <w:hyperlink r:id="rId28">
        <w:r>
          <w:rPr>
            <w:rFonts w:eastAsia="inter" w:cs="inter" w:ascii="inter" w:hAnsi="inter"/>
            <w:color w:val="#000"/>
            <w:sz w:val="18"/>
            <w:u w:val="single"/>
          </w:rPr>
          <w:t xml:space="preserve">https://www.sciendo.com/article/10.2478/amns.2023.2.00604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1" w:name="fn9"/>
    <w:bookmarkEnd w:id="121"/>
    <w:p>
      <w:pPr>
        <w:numPr>
          <w:ilvl w:val="0"/>
          <w:numId w:val="17"/>
        </w:numPr>
        <w:spacing w:line="360" w:after="210" w:lineRule="auto"/>
      </w:pPr>
      <w:hyperlink r:id="rId29">
        <w:r>
          <w:rPr>
            <w:rFonts w:eastAsia="inter" w:cs="inter" w:ascii="inter" w:hAnsi="inter"/>
            <w:color w:val="#000"/>
            <w:sz w:val="18"/>
            <w:u w:val="single"/>
          </w:rPr>
          <w:t xml:space="preserve">https://ieeexplore.ieee.org/document/11005099/</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2" w:name="fn10"/>
    <w:bookmarkEnd w:id="122"/>
    <w:p>
      <w:pPr>
        <w:numPr>
          <w:ilvl w:val="0"/>
          <w:numId w:val="17"/>
        </w:numPr>
        <w:spacing w:line="360" w:after="210" w:lineRule="auto"/>
      </w:pPr>
      <w:hyperlink r:id="rId30">
        <w:r>
          <w:rPr>
            <w:rFonts w:eastAsia="inter" w:cs="inter" w:ascii="inter" w:hAnsi="inter"/>
            <w:color w:val="#000"/>
            <w:sz w:val="18"/>
            <w:u w:val="single"/>
          </w:rPr>
          <w:t xml:space="preserve">https://www.ijfmr.com/research-paper.php?id=31724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3" w:name="fn11"/>
    <w:bookmarkEnd w:id="123"/>
    <w:p>
      <w:pPr>
        <w:numPr>
          <w:ilvl w:val="0"/>
          <w:numId w:val="17"/>
        </w:numPr>
        <w:spacing w:line="360" w:after="210" w:lineRule="auto"/>
      </w:pPr>
      <w:hyperlink r:id="rId31">
        <w:r>
          <w:rPr>
            <w:rFonts w:eastAsia="inter" w:cs="inter" w:ascii="inter" w:hAnsi="inter"/>
            <w:color w:val="#000"/>
            <w:sz w:val="18"/>
            <w:u w:val="single"/>
          </w:rPr>
          <w:t xml:space="preserve">http://arxiv.org/pdf/2405.13191.pdf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4" w:name="fn12"/>
    <w:bookmarkEnd w:id="124"/>
    <w:p>
      <w:pPr>
        <w:numPr>
          <w:ilvl w:val="0"/>
          <w:numId w:val="17"/>
        </w:numPr>
        <w:spacing w:line="360" w:after="210" w:lineRule="auto"/>
      </w:pPr>
      <w:hyperlink r:id="rId32">
        <w:r>
          <w:rPr>
            <w:rFonts w:eastAsia="inter" w:cs="inter" w:ascii="inter" w:hAnsi="inter"/>
            <w:color w:val="#000"/>
            <w:sz w:val="18"/>
            <w:u w:val="single"/>
          </w:rPr>
          <w:t xml:space="preserve">http://arxiv.org/pdf/2411.08906.pdf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5" w:name="fn13"/>
    <w:bookmarkEnd w:id="125"/>
    <w:p>
      <w:pPr>
        <w:numPr>
          <w:ilvl w:val="0"/>
          <w:numId w:val="17"/>
        </w:numPr>
        <w:spacing w:line="360" w:after="210" w:lineRule="auto"/>
      </w:pPr>
      <w:hyperlink r:id="rId33">
        <w:r>
          <w:rPr>
            <w:rFonts w:eastAsia="inter" w:cs="inter" w:ascii="inter" w:hAnsi="inter"/>
            <w:color w:val="#000"/>
            <w:sz w:val="18"/>
            <w:u w:val="single"/>
          </w:rPr>
          <w:t xml:space="preserve">https://arxiv.org/pdf/2305.18307.pdf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6" w:name="fn14"/>
    <w:bookmarkEnd w:id="126"/>
    <w:p>
      <w:pPr>
        <w:numPr>
          <w:ilvl w:val="0"/>
          <w:numId w:val="17"/>
        </w:numPr>
        <w:spacing w:line="360" w:after="210" w:lineRule="auto"/>
      </w:pPr>
      <w:hyperlink r:id="rId34">
        <w:r>
          <w:rPr>
            <w:rFonts w:eastAsia="inter" w:cs="inter" w:ascii="inter" w:hAnsi="inter"/>
            <w:color w:val="#000"/>
            <w:sz w:val="18"/>
            <w:u w:val="single"/>
          </w:rPr>
          <w:t xml:space="preserve">https://dl.acm.org/doi/pdf/10.1145/3593013.3593994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7" w:name="fn15"/>
    <w:bookmarkEnd w:id="127"/>
    <w:p>
      <w:pPr>
        <w:numPr>
          <w:ilvl w:val="0"/>
          <w:numId w:val="17"/>
        </w:numPr>
        <w:spacing w:line="360" w:after="210" w:lineRule="auto"/>
      </w:pPr>
      <w:hyperlink r:id="rId35">
        <w:r>
          <w:rPr>
            <w:rFonts w:eastAsia="inter" w:cs="inter" w:ascii="inter" w:hAnsi="inter"/>
            <w:color w:val="#000"/>
            <w:sz w:val="18"/>
            <w:u w:val="single"/>
          </w:rPr>
          <w:t xml:space="preserve">https://arxiv.org/pdf/2406.14243.pdf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8" w:name="fn16"/>
    <w:bookmarkEnd w:id="128"/>
    <w:p>
      <w:pPr>
        <w:numPr>
          <w:ilvl w:val="0"/>
          <w:numId w:val="17"/>
        </w:numPr>
        <w:spacing w:line="360" w:after="210" w:lineRule="auto"/>
      </w:pPr>
      <w:hyperlink r:id="rId36">
        <w:r>
          <w:rPr>
            <w:rFonts w:eastAsia="inter" w:cs="inter" w:ascii="inter" w:hAnsi="inter"/>
            <w:color w:val="#000"/>
            <w:sz w:val="18"/>
            <w:u w:val="single"/>
          </w:rPr>
          <w:t xml:space="preserve">https://arxiv.org/html/2410.04772v1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9" w:name="fn17"/>
    <w:bookmarkEnd w:id="129"/>
    <w:p>
      <w:pPr>
        <w:numPr>
          <w:ilvl w:val="0"/>
          <w:numId w:val="17"/>
        </w:numPr>
        <w:spacing w:line="360" w:after="210" w:lineRule="auto"/>
      </w:pPr>
      <w:hyperlink r:id="rId37">
        <w:r>
          <w:rPr>
            <w:rFonts w:eastAsia="inter" w:cs="inter" w:ascii="inter" w:hAnsi="inter"/>
            <w:color w:val="#000"/>
            <w:sz w:val="18"/>
            <w:u w:val="single"/>
          </w:rPr>
          <w:t xml:space="preserve">https://arxiv.org/pdf/2105.00002.pdf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0" w:name="fn18"/>
    <w:bookmarkEnd w:id="130"/>
    <w:p>
      <w:pPr>
        <w:numPr>
          <w:ilvl w:val="0"/>
          <w:numId w:val="17"/>
        </w:numPr>
        <w:spacing w:line="360" w:after="210" w:lineRule="auto"/>
      </w:pPr>
      <w:hyperlink r:id="rId38">
        <w:r>
          <w:rPr>
            <w:rFonts w:eastAsia="inter" w:cs="inter" w:ascii="inter" w:hAnsi="inter"/>
            <w:color w:val="#000"/>
            <w:sz w:val="18"/>
            <w:u w:val="single"/>
          </w:rPr>
          <w:t xml:space="preserve">https://arxiv.org/pdf/2310.02521.pdf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1" w:name="fn19"/>
    <w:bookmarkEnd w:id="131"/>
    <w:p>
      <w:pPr>
        <w:numPr>
          <w:ilvl w:val="0"/>
          <w:numId w:val="17"/>
        </w:numPr>
        <w:spacing w:line="360" w:after="210" w:lineRule="auto"/>
      </w:pPr>
      <w:hyperlink r:id="rId39">
        <w:r>
          <w:rPr>
            <w:rFonts w:eastAsia="inter" w:cs="inter" w:ascii="inter" w:hAnsi="inter"/>
            <w:color w:val="#000"/>
            <w:sz w:val="18"/>
            <w:u w:val="single"/>
          </w:rPr>
          <w:t xml:space="preserve">https://fliphtml5.com/fcxh/athm/EY_Israel_2025_-_Heb/3/</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2" w:name="fn20"/>
    <w:bookmarkEnd w:id="132"/>
    <w:p>
      <w:pPr>
        <w:numPr>
          <w:ilvl w:val="0"/>
          <w:numId w:val="17"/>
        </w:numPr>
        <w:spacing w:line="360" w:after="210" w:lineRule="auto"/>
      </w:pPr>
      <w:hyperlink r:id="rId40">
        <w:r>
          <w:rPr>
            <w:rFonts w:eastAsia="inter" w:cs="inter" w:ascii="inter" w:hAnsi="inter"/>
            <w:color w:val="#000"/>
            <w:sz w:val="18"/>
            <w:u w:val="single"/>
          </w:rPr>
          <w:t xml:space="preserve">https://ey.co.il/wp-content/uploads/2025/02/ey-gl-how-governments-can-enable-a-thriving-ai-enabled-economy-11-2024.pdf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3" w:name="fn21"/>
    <w:bookmarkEnd w:id="133"/>
    <w:p>
      <w:pPr>
        <w:numPr>
          <w:ilvl w:val="0"/>
          <w:numId w:val="17"/>
        </w:numPr>
        <w:spacing w:line="360" w:after="210" w:lineRule="auto"/>
      </w:pPr>
      <w:hyperlink r:id="rId41">
        <w:r>
          <w:rPr>
            <w:rFonts w:eastAsia="inter" w:cs="inter" w:ascii="inter" w:hAnsi="inter"/>
            <w:color w:val="#000"/>
            <w:sz w:val="18"/>
            <w:u w:val="single"/>
          </w:rPr>
          <w:t xml:space="preserve">https://innovationisrael.org.il/en/wp-content/uploads/sites/3/2025/09/Israeli-Deep-Tech-report-2025_Dealroom.pdf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4" w:name="fn22"/>
    <w:bookmarkEnd w:id="134"/>
    <w:p>
      <w:pPr>
        <w:numPr>
          <w:ilvl w:val="0"/>
          <w:numId w:val="17"/>
        </w:numPr>
        <w:spacing w:line="360" w:after="210" w:lineRule="auto"/>
      </w:pPr>
      <w:hyperlink r:id="rId42">
        <w:r>
          <w:rPr>
            <w:rFonts w:eastAsia="inter" w:cs="inter" w:ascii="inter" w:hAnsi="inter"/>
            <w:color w:val="#000"/>
            <w:sz w:val="18"/>
            <w:u w:val="single"/>
          </w:rPr>
          <w:t xml:space="preserve">https://www.ey.com/en_ch/insights/risk/trust-in-ai-frameworks-and-compliance-for-innovation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5" w:name="fn23"/>
    <w:bookmarkEnd w:id="135"/>
    <w:p>
      <w:pPr>
        <w:numPr>
          <w:ilvl w:val="0"/>
          <w:numId w:val="17"/>
        </w:numPr>
        <w:spacing w:line="360" w:after="210" w:lineRule="auto"/>
      </w:pPr>
      <w:hyperlink r:id="rId43">
        <w:r>
          <w:rPr>
            <w:rFonts w:eastAsia="inter" w:cs="inter" w:ascii="inter" w:hAnsi="inter"/>
            <w:color w:val="#000"/>
            <w:sz w:val="18"/>
            <w:u w:val="single"/>
          </w:rPr>
          <w:t xml:space="preserve">https://www.calcalistech.com/ctechnews/article/byml11rwgwx</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6" w:name="fn24"/>
    <w:bookmarkEnd w:id="136"/>
    <w:p>
      <w:pPr>
        <w:numPr>
          <w:ilvl w:val="0"/>
          <w:numId w:val="17"/>
        </w:numPr>
        <w:spacing w:line="360" w:after="210" w:lineRule="auto"/>
      </w:pPr>
      <w:hyperlink r:id="rId44">
        <w:r>
          <w:rPr>
            <w:rFonts w:eastAsia="inter" w:cs="inter" w:ascii="inter" w:hAnsi="inter"/>
            <w:color w:val="#000"/>
            <w:sz w:val="18"/>
            <w:u w:val="single"/>
          </w:rPr>
          <w:t xml:space="preserve">https://www.ey.com/en_mz/services/ai/platform/confidence-index</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7" w:name="fn25"/>
    <w:bookmarkEnd w:id="137"/>
    <w:p>
      <w:pPr>
        <w:numPr>
          <w:ilvl w:val="0"/>
          <w:numId w:val="17"/>
        </w:numPr>
        <w:spacing w:line="360" w:after="210" w:lineRule="auto"/>
      </w:pPr>
      <w:hyperlink r:id="rId45">
        <w:r>
          <w:rPr>
            <w:rFonts w:eastAsia="inter" w:cs="inter" w:ascii="inter" w:hAnsi="inter"/>
            <w:color w:val="#000"/>
            <w:sz w:val="18"/>
            <w:u w:val="single"/>
          </w:rPr>
          <w:t xml:space="preserve">https://aimagazine.com/news/ey-the-problems-solutions-of-ceos-misjudging-ai-concerns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8" w:name="fn26"/>
    <w:bookmarkEnd w:id="138"/>
    <w:p>
      <w:pPr>
        <w:numPr>
          <w:ilvl w:val="0"/>
          <w:numId w:val="17"/>
        </w:numPr>
        <w:spacing w:line="360" w:after="210" w:lineRule="auto"/>
      </w:pPr>
      <w:hyperlink r:id="rId46">
        <w:r>
          <w:rPr>
            <w:rFonts w:eastAsia="inter" w:cs="inter" w:ascii="inter" w:hAnsi="inter"/>
            <w:color w:val="#000"/>
            <w:sz w:val="18"/>
            <w:u w:val="single"/>
          </w:rPr>
          <w:t xml:space="preserve">https://www.ey.com/en_gl/services/ai/platform/confidence-index</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9" w:name="fn27"/>
    <w:bookmarkEnd w:id="139"/>
    <w:p>
      <w:pPr>
        <w:numPr>
          <w:ilvl w:val="0"/>
          <w:numId w:val="17"/>
        </w:numPr>
        <w:spacing w:line="360" w:after="210" w:lineRule="auto"/>
      </w:pPr>
      <w:hyperlink r:id="rId47">
        <w:r>
          <w:rPr>
            <w:rFonts w:eastAsia="inter" w:cs="inter" w:ascii="inter" w:hAnsi="inter"/>
            <w:color w:val="#000"/>
            <w:sz w:val="18"/>
            <w:u w:val="single"/>
          </w:rPr>
          <w:t xml:space="preserve">https://www.linkedin.com/posts/davidvanbruwaene_shapethefuturewithconfidence-eycanada-activity-7355246325099081728-nE3p</w:t>
        </w:r>
      </w:hyperlink>
      <w:r>
        <w:rPr>
          <w:rFonts w:eastAsia="inter" w:cs="inter" w:ascii="inter" w:hAnsi="inter"/>
          <w:color w:val="000000"/>
          <w:sz w:val="18"/>
        </w:rPr>
        <w:t xml:space="preserve"> </w:t>
      </w:r>
    </w:p>
    <w:bookmarkStart w:id="140" w:name="fn28"/>
    <w:bookmarkEnd w:id="140"/>
    <w:p>
      <w:pPr>
        <w:numPr>
          <w:ilvl w:val="0"/>
          <w:numId w:val="17"/>
        </w:numPr>
        <w:spacing w:line="360" w:after="210" w:lineRule="auto"/>
      </w:pPr>
      <w:hyperlink r:id="rId48">
        <w:r>
          <w:rPr>
            <w:rFonts w:eastAsia="inter" w:cs="inter" w:ascii="inter" w:hAnsi="inter"/>
            <w:color w:val="#000"/>
            <w:sz w:val="18"/>
            <w:u w:val="single"/>
          </w:rPr>
          <w:t xml:space="preserve">https://www.gov.uk/ai-assurance-techniques/ey-global-responsible-ai-framework-conducting-an-ai-governance-review-for-a-global-biopharmaceutical-company</w:t>
        </w:r>
      </w:hyperlink>
      <w:r>
        <w:rPr>
          <w:rFonts w:eastAsia="inter" w:cs="inter" w:ascii="inter" w:hAnsi="inter"/>
          <w:color w:val="000000"/>
          <w:sz w:val="18"/>
        </w:rPr>
        <w:t xml:space="preserve"> </w:t>
      </w:r>
    </w:p>
    <w:bookmarkStart w:id="141" w:name="fn29"/>
    <w:bookmarkEnd w:id="141"/>
    <w:p>
      <w:pPr>
        <w:numPr>
          <w:ilvl w:val="0"/>
          <w:numId w:val="17"/>
        </w:numPr>
        <w:spacing w:line="360" w:after="210" w:lineRule="auto"/>
      </w:pPr>
      <w:hyperlink r:id="rId49">
        <w:r>
          <w:rPr>
            <w:rFonts w:eastAsia="inter" w:cs="inter" w:ascii="inter" w:hAnsi="inter"/>
            <w:color w:val="#000"/>
            <w:sz w:val="18"/>
            <w:u w:val="single"/>
          </w:rPr>
          <w:t xml:space="preserve">https://www.internationalaccountingbulletin.com/news/auditboard-ey-ai-risk-management/</w:t>
        </w:r>
      </w:hyperlink>
      <w:r>
        <w:rPr>
          <w:rFonts w:eastAsia="inter" w:cs="inter" w:ascii="inter" w:hAnsi="inter"/>
          <w:color w:val="000000"/>
          <w:sz w:val="18"/>
        </w:rPr>
        <w:t xml:space="preserve"> </w:t>
      </w:r>
    </w:p>
    <w:bookmarkStart w:id="142" w:name="fn30"/>
    <w:bookmarkEnd w:id="142"/>
    <w:p>
      <w:pPr>
        <w:numPr>
          <w:ilvl w:val="0"/>
          <w:numId w:val="17"/>
        </w:numPr>
        <w:spacing w:line="360" w:after="210" w:lineRule="auto"/>
      </w:pPr>
      <w:hyperlink r:id="rId50">
        <w:r>
          <w:rPr>
            <w:rFonts w:eastAsia="inter" w:cs="inter" w:ascii="inter" w:hAnsi="inter"/>
            <w:color w:val="#000"/>
            <w:sz w:val="18"/>
            <w:u w:val="single"/>
          </w:rPr>
          <w:t xml:space="preserve">https://finyear.com/ey-launches-ey-wavespace-a-global-network-of-growth-and-innovation-centers-to-help-clients-achieve-radical-breakthroughs_a38150.html</w:t>
        </w:r>
      </w:hyperlink>
      <w:r>
        <w:rPr>
          <w:rFonts w:eastAsia="inter" w:cs="inter" w:ascii="inter" w:hAnsi="inter"/>
          <w:color w:val="000000"/>
          <w:sz w:val="18"/>
        </w:rPr>
        <w:t xml:space="preserve"> </w:t>
      </w:r>
    </w:p>
    <w:bookmarkStart w:id="143" w:name="fn31"/>
    <w:bookmarkEnd w:id="143"/>
    <w:p>
      <w:pPr>
        <w:numPr>
          <w:ilvl w:val="0"/>
          <w:numId w:val="17"/>
        </w:numPr>
        <w:spacing w:line="360" w:after="210" w:lineRule="auto"/>
      </w:pPr>
      <w:hyperlink r:id="rId51">
        <w:r>
          <w:rPr>
            <w:rFonts w:eastAsia="inter" w:cs="inter" w:ascii="inter" w:hAnsi="inter"/>
            <w:color w:val="#000"/>
            <w:sz w:val="18"/>
            <w:u w:val="single"/>
          </w:rPr>
          <w:t xml:space="preserve">https://www.prnewswire.com/news-releases/ey-launches-ey-wavespace-a-global-network-of-growth-and-innovation-centers-to-help-clients-achieve-radical-breakthroughs-300430029.html</w:t>
        </w:r>
      </w:hyperlink>
      <w:r>
        <w:rPr>
          <w:rFonts w:eastAsia="inter" w:cs="inter" w:ascii="inter" w:hAnsi="inter"/>
          <w:color w:val="000000"/>
          <w:sz w:val="18"/>
        </w:rPr>
        <w:t xml:space="preserve"> </w:t>
      </w:r>
    </w:p>
    <w:bookmarkStart w:id="144" w:name="fn32"/>
    <w:bookmarkEnd w:id="144"/>
    <w:p>
      <w:pPr>
        <w:numPr>
          <w:ilvl w:val="0"/>
          <w:numId w:val="17"/>
        </w:numPr>
        <w:spacing w:line="360" w:after="210" w:lineRule="auto"/>
      </w:pPr>
      <w:hyperlink r:id="rId52">
        <w:r>
          <w:rPr>
            <w:rFonts w:eastAsia="inter" w:cs="inter" w:ascii="inter" w:hAnsi="inter"/>
            <w:color w:val="#000"/>
            <w:sz w:val="18"/>
            <w:u w:val="single"/>
          </w:rPr>
          <w:t xml:space="preserve">https://www.ey.com/en_hu/wavespace</w:t>
        </w:r>
      </w:hyperlink>
      <w:r>
        <w:rPr>
          <w:rFonts w:eastAsia="inter" w:cs="inter" w:ascii="inter" w:hAnsi="inter"/>
          <w:color w:val="000000"/>
          <w:sz w:val="18"/>
        </w:rPr>
        <w:t xml:space="preserve"> </w:t>
      </w:r>
    </w:p>
    <w:bookmarkStart w:id="145" w:name="fn33"/>
    <w:bookmarkEnd w:id="145"/>
    <w:p>
      <w:pPr>
        <w:numPr>
          <w:ilvl w:val="0"/>
          <w:numId w:val="17"/>
        </w:numPr>
        <w:spacing w:line="360" w:after="210" w:lineRule="auto"/>
      </w:pPr>
      <w:hyperlink r:id="rId53">
        <w:r>
          <w:rPr>
            <w:rFonts w:eastAsia="inter" w:cs="inter" w:ascii="inter" w:hAnsi="inter"/>
            <w:color w:val="#000"/>
            <w:sz w:val="18"/>
            <w:u w:val="single"/>
          </w:rPr>
          <w:t xml:space="preserve">https://www.facebook.com/EYisrael/posts/אתמול-התקיים-ב-wavespace-tlv-מפגש-החדשנות-innovation-361-של-ey-ישראל-בשיתוף-עם-ח/2541959442527834/</w:t>
        </w:r>
      </w:hyperlink>
      <w:r>
        <w:rPr>
          <w:rFonts w:eastAsia="inter" w:cs="inter" w:ascii="inter" w:hAnsi="inter"/>
          <w:color w:val="000000"/>
          <w:sz w:val="18"/>
        </w:rPr>
        <w:t xml:space="preserve"> </w:t>
      </w:r>
    </w:p>
    <w:bookmarkStart w:id="146" w:name="fn34"/>
    <w:bookmarkEnd w:id="146"/>
    <w:p>
      <w:pPr>
        <w:numPr>
          <w:ilvl w:val="0"/>
          <w:numId w:val="17"/>
        </w:numPr>
        <w:spacing w:line="360" w:after="210" w:lineRule="auto"/>
      </w:pPr>
      <w:hyperlink r:id="rId54">
        <w:r>
          <w:rPr>
            <w:rFonts w:eastAsia="inter" w:cs="inter" w:ascii="inter" w:hAnsi="inter"/>
            <w:color w:val="#000"/>
            <w:sz w:val="18"/>
            <w:u w:val="single"/>
          </w:rPr>
          <w:t xml:space="preserve">https://nortech-platform.com/listing/ey-israel/</w:t>
        </w:r>
      </w:hyperlink>
      <w:r>
        <w:rPr>
          <w:rFonts w:eastAsia="inter" w:cs="inter" w:ascii="inter" w:hAnsi="inter"/>
          <w:color w:val="000000"/>
          <w:sz w:val="18"/>
        </w:rPr>
        <w:t xml:space="preserve"> </w:t>
      </w:r>
    </w:p>
    <w:bookmarkStart w:id="147" w:name="fn35"/>
    <w:bookmarkEnd w:id="147"/>
    <w:p>
      <w:pPr>
        <w:numPr>
          <w:ilvl w:val="0"/>
          <w:numId w:val="17"/>
        </w:numPr>
        <w:spacing w:line="360" w:after="210" w:lineRule="auto"/>
      </w:pPr>
      <w:hyperlink r:id="rId55">
        <w:r>
          <w:rPr>
            <w:rFonts w:eastAsia="inter" w:cs="inter" w:ascii="inter" w:hAnsi="inter"/>
            <w:color w:val="#000"/>
            <w:sz w:val="18"/>
            <w:u w:val="single"/>
          </w:rPr>
          <w:t xml:space="preserve">https://ey.co.il/services/consulting/</w:t>
        </w:r>
      </w:hyperlink>
      <w:r>
        <w:rPr>
          <w:rFonts w:eastAsia="inter" w:cs="inter" w:ascii="inter" w:hAnsi="inter"/>
          <w:color w:val="000000"/>
          <w:sz w:val="18"/>
        </w:rPr>
        <w:t xml:space="preserve"> </w:t>
      </w:r>
    </w:p>
    <w:bookmarkStart w:id="148" w:name="fn36"/>
    <w:bookmarkEnd w:id="148"/>
    <w:p>
      <w:pPr>
        <w:numPr>
          <w:ilvl w:val="0"/>
          <w:numId w:val="17"/>
        </w:numPr>
        <w:spacing w:line="360" w:after="210" w:lineRule="auto"/>
      </w:pPr>
      <w:hyperlink r:id="rId56">
        <w:r>
          <w:rPr>
            <w:rFonts w:eastAsia="inter" w:cs="inter" w:ascii="inter" w:hAnsi="inter"/>
            <w:color w:val="#000"/>
            <w:sz w:val="18"/>
            <w:u w:val="single"/>
          </w:rPr>
          <w:t xml:space="preserve">https://www.ey.com/en_us/alliances/microsoft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9" w:name="fn37"/>
    <w:bookmarkEnd w:id="149"/>
    <w:p>
      <w:pPr>
        <w:numPr>
          <w:ilvl w:val="0"/>
          <w:numId w:val="17"/>
        </w:numPr>
        <w:spacing w:line="360" w:after="210" w:lineRule="auto"/>
      </w:pPr>
      <w:hyperlink r:id="rId57">
        <w:r>
          <w:rPr>
            <w:rFonts w:eastAsia="inter" w:cs="inter" w:ascii="inter" w:hAnsi="inter"/>
            <w:color w:val="#000"/>
            <w:sz w:val="18"/>
            <w:u w:val="single"/>
          </w:rPr>
          <w:t xml:space="preserve">https://www.internationalaccountingbulletin.com/news/ey-nvidia-expand-partnership/</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0" w:name="fn38"/>
    <w:bookmarkEnd w:id="150"/>
    <w:p>
      <w:pPr>
        <w:numPr>
          <w:ilvl w:val="0"/>
          <w:numId w:val="17"/>
        </w:numPr>
        <w:spacing w:line="360" w:after="210" w:lineRule="auto"/>
      </w:pPr>
      <w:hyperlink r:id="rId58">
        <w:r>
          <w:rPr>
            <w:rFonts w:eastAsia="inter" w:cs="inter" w:ascii="inter" w:hAnsi="inter"/>
            <w:color w:val="#000"/>
            <w:sz w:val="18"/>
            <w:u w:val="single"/>
          </w:rPr>
          <w:t xml:space="preserve">https://www.ey.com/en_gl/newsroom/2025/10/ey-survey-companies-advancing-responsible-ai-governance-linked-to-better-business-outcomes</w:t>
        </w:r>
      </w:hyperlink>
      <w:r>
        <w:rPr>
          <w:rFonts w:eastAsia="inter" w:cs="inter" w:ascii="inter" w:hAnsi="inter"/>
          <w:color w:val="000000"/>
          <w:sz w:val="18"/>
        </w:rPr>
        <w:t xml:space="preserve"> </w:t>
      </w:r>
    </w:p>
    <w:bookmarkStart w:id="151" w:name="fn39"/>
    <w:bookmarkEnd w:id="151"/>
    <w:p>
      <w:pPr>
        <w:numPr>
          <w:ilvl w:val="0"/>
          <w:numId w:val="17"/>
        </w:numPr>
        <w:spacing w:line="360" w:after="210" w:lineRule="auto"/>
      </w:pPr>
      <w:hyperlink r:id="rId59">
        <w:r>
          <w:rPr>
            <w:rFonts w:eastAsia="inter" w:cs="inter" w:ascii="inter" w:hAnsi="inter"/>
            <w:color w:val="#000"/>
            <w:sz w:val="18"/>
            <w:u w:val="single"/>
          </w:rPr>
          <w:t xml:space="preserve">https://news.sap.com/2025/06/sap-nvidia-deliver-local-business-ai/</w:t>
        </w:r>
      </w:hyperlink>
      <w:r>
        <w:rPr>
          <w:rFonts w:eastAsia="inter" w:cs="inter" w:ascii="inter" w:hAnsi="inter"/>
          <w:color w:val="000000"/>
          <w:sz w:val="18"/>
        </w:rPr>
        <w:t xml:space="preserve"> </w:t>
      </w:r>
    </w:p>
    <w:bookmarkStart w:id="152" w:name="fn40"/>
    <w:bookmarkEnd w:id="152"/>
    <w:p>
      <w:pPr>
        <w:numPr>
          <w:ilvl w:val="0"/>
          <w:numId w:val="17"/>
        </w:numPr>
        <w:spacing w:line="360" w:after="210" w:lineRule="auto"/>
      </w:pPr>
      <w:hyperlink r:id="rId60">
        <w:r>
          <w:rPr>
            <w:rFonts w:eastAsia="inter" w:cs="inter" w:ascii="inter" w:hAnsi="inter"/>
            <w:color w:val="#000"/>
            <w:sz w:val="18"/>
            <w:u w:val="single"/>
          </w:rPr>
          <w:t xml:space="preserve">https://www.calcalistech.com/ctechnews/article/ucu6nvn3r</w:t>
        </w:r>
      </w:hyperlink>
      <w:r>
        <w:rPr>
          <w:rFonts w:eastAsia="inter" w:cs="inter" w:ascii="inter" w:hAnsi="inter"/>
          <w:color w:val="000000"/>
          <w:sz w:val="18"/>
        </w:rPr>
        <w:t xml:space="preserve"> </w:t>
      </w:r>
    </w:p>
    <w:bookmarkStart w:id="153" w:name="fn41"/>
    <w:bookmarkEnd w:id="153"/>
    <w:p>
      <w:pPr>
        <w:numPr>
          <w:ilvl w:val="0"/>
          <w:numId w:val="17"/>
        </w:numPr>
        <w:spacing w:line="360" w:after="210" w:lineRule="auto"/>
      </w:pPr>
      <w:hyperlink r:id="rId61">
        <w:r>
          <w:rPr>
            <w:rFonts w:eastAsia="inter" w:cs="inter" w:ascii="inter" w:hAnsi="inter"/>
            <w:color w:val="#000"/>
            <w:sz w:val="18"/>
            <w:u w:val="single"/>
          </w:rPr>
          <w:t xml:space="preserve">https://www.calcalistech.com/ctechnews/article/7uu361rft</w:t>
        </w:r>
      </w:hyperlink>
      <w:r>
        <w:rPr>
          <w:rFonts w:eastAsia="inter" w:cs="inter" w:ascii="inter" w:hAnsi="inter"/>
          <w:color w:val="000000"/>
          <w:sz w:val="18"/>
        </w:rPr>
        <w:t xml:space="preserve"> </w:t>
      </w:r>
    </w:p>
    <w:bookmarkStart w:id="154" w:name="fn42"/>
    <w:bookmarkEnd w:id="154"/>
    <w:p>
      <w:pPr>
        <w:numPr>
          <w:ilvl w:val="0"/>
          <w:numId w:val="17"/>
        </w:numPr>
        <w:spacing w:line="360" w:after="210" w:lineRule="auto"/>
      </w:pPr>
      <w:hyperlink r:id="rId62">
        <w:r>
          <w:rPr>
            <w:rFonts w:eastAsia="inter" w:cs="inter" w:ascii="inter" w:hAnsi="inter"/>
            <w:color w:val="#000"/>
            <w:sz w:val="18"/>
            <w:u w:val="single"/>
          </w:rPr>
          <w:t xml:space="preserve">https://www.facebook.com/discountbank/videos/תגידו-שלום-לעדיבנקאית-ה-ai-החדשה-של-דיסקונטשזמינה-עבורכם-בטלפון-לשאלות-במגוון-נו/3922377154572862/</w:t>
        </w:r>
      </w:hyperlink>
      <w:r>
        <w:rPr>
          <w:rFonts w:eastAsia="inter" w:cs="inter" w:ascii="inter" w:hAnsi="inter"/>
          <w:color w:val="000000"/>
          <w:sz w:val="18"/>
        </w:rPr>
        <w:t xml:space="preserve"> </w:t>
      </w:r>
    </w:p>
    <w:bookmarkStart w:id="155" w:name="fn43"/>
    <w:bookmarkEnd w:id="155"/>
    <w:p>
      <w:pPr>
        <w:numPr>
          <w:ilvl w:val="0"/>
          <w:numId w:val="17"/>
        </w:numPr>
        <w:spacing w:line="360" w:after="210" w:lineRule="auto"/>
      </w:pPr>
      <w:hyperlink r:id="rId63">
        <w:r>
          <w:rPr>
            <w:rFonts w:eastAsia="inter" w:cs="inter" w:ascii="inter" w:hAnsi="inter"/>
            <w:color w:val="#000"/>
            <w:sz w:val="18"/>
            <w:u w:val="single"/>
          </w:rPr>
          <w:t xml:space="preserve">https://en.globes.co.il/en/article-regulator-to-declare-big-banks-as-concentration-group-1001474772</w:t>
        </w:r>
      </w:hyperlink>
      <w:r>
        <w:rPr>
          <w:rFonts w:eastAsia="inter" w:cs="inter" w:ascii="inter" w:hAnsi="inter"/>
          <w:color w:val="000000"/>
          <w:sz w:val="18"/>
        </w:rPr>
        <w:t xml:space="preserve"> </w:t>
      </w:r>
    </w:p>
    <w:bookmarkStart w:id="156" w:name="fn44"/>
    <w:bookmarkEnd w:id="156"/>
    <w:p>
      <w:pPr>
        <w:numPr>
          <w:ilvl w:val="0"/>
          <w:numId w:val="17"/>
        </w:numPr>
        <w:spacing w:line="360" w:after="210" w:lineRule="auto"/>
      </w:pPr>
      <w:hyperlink r:id="rId64">
        <w:r>
          <w:rPr>
            <w:rFonts w:eastAsia="inter" w:cs="inter" w:ascii="inter" w:hAnsi="inter"/>
            <w:color w:val="#000"/>
            <w:sz w:val="18"/>
            <w:u w:val="single"/>
          </w:rPr>
          <w:t xml:space="preserve">https://www.new.isa.gov.il/images/Fittings/isa/asset_library_pic/al_lobby/al_lobby-65d5b849b3af3/AIREPORT021224.pdf</w:t>
        </w:r>
      </w:hyperlink>
      <w:r>
        <w:rPr>
          <w:rFonts w:eastAsia="inter" w:cs="inter" w:ascii="inter" w:hAnsi="inter"/>
          <w:color w:val="000000"/>
          <w:sz w:val="18"/>
        </w:rPr>
        <w:t xml:space="preserve"> </w:t>
      </w:r>
    </w:p>
    <w:bookmarkStart w:id="157" w:name="fn45"/>
    <w:bookmarkEnd w:id="157"/>
    <w:p>
      <w:pPr>
        <w:numPr>
          <w:ilvl w:val="0"/>
          <w:numId w:val="17"/>
        </w:numPr>
        <w:spacing w:line="360" w:after="210" w:lineRule="auto"/>
      </w:pPr>
      <w:hyperlink r:id="rId65">
        <w:r>
          <w:rPr>
            <w:rFonts w:eastAsia="inter" w:cs="inter" w:ascii="inter" w:hAnsi="inter"/>
            <w:color w:val="#000"/>
            <w:sz w:val="18"/>
            <w:u w:val="single"/>
          </w:rPr>
          <w:t xml:space="preserve">https://www.facebook.com/microsoftisrael/posts/מה-באמת-צריך-כדי-להפוך-מחברה-של-עשרות-מיליונים-לשחקנית-של-מיליארדמגי-שורק-chief-/1183115627187466/</w:t>
        </w:r>
      </w:hyperlink>
      <w:r>
        <w:rPr>
          <w:rFonts w:eastAsia="inter" w:cs="inter" w:ascii="inter" w:hAnsi="inter"/>
          <w:color w:val="000000"/>
          <w:sz w:val="18"/>
        </w:rPr>
        <w:t xml:space="preserve"> </w:t>
      </w:r>
    </w:p>
    <w:bookmarkStart w:id="158" w:name="fn46"/>
    <w:bookmarkEnd w:id="158"/>
    <w:p>
      <w:pPr>
        <w:numPr>
          <w:ilvl w:val="0"/>
          <w:numId w:val="17"/>
        </w:numPr>
        <w:spacing w:line="360" w:after="210" w:lineRule="auto"/>
      </w:pPr>
      <w:hyperlink r:id="rId66">
        <w:r>
          <w:rPr>
            <w:rFonts w:eastAsia="inter" w:cs="inter" w:ascii="inter" w:hAnsi="inter"/>
            <w:color w:val="#000"/>
            <w:sz w:val="18"/>
            <w:u w:val="single"/>
          </w:rPr>
          <w:t xml:space="preserve">https://startupnationcentral.org/hub/blog/israeli-fintech-in-2025/</w:t>
        </w:r>
      </w:hyperlink>
      <w:r>
        <w:rPr>
          <w:rFonts w:eastAsia="inter" w:cs="inter" w:ascii="inter" w:hAnsi="inter"/>
          <w:color w:val="000000"/>
          <w:sz w:val="18"/>
        </w:rPr>
        <w:t xml:space="preserve"> </w:t>
      </w:r>
    </w:p>
    <w:bookmarkStart w:id="159" w:name="fn47"/>
    <w:bookmarkEnd w:id="159"/>
    <w:p>
      <w:pPr>
        <w:numPr>
          <w:ilvl w:val="0"/>
          <w:numId w:val="17"/>
        </w:numPr>
        <w:spacing w:line="360" w:after="210" w:lineRule="auto"/>
      </w:pPr>
      <w:hyperlink r:id="rId67">
        <w:r>
          <w:rPr>
            <w:rFonts w:eastAsia="inter" w:cs="inter" w:ascii="inter" w:hAnsi="inter"/>
            <w:color w:val="#000"/>
            <w:sz w:val="18"/>
            <w:u w:val="single"/>
          </w:rPr>
          <w:t xml:space="preserve">https://www.viola-group.com/violanotes/2025-israel-fintech-report-the-comeback-year/</w:t>
        </w:r>
      </w:hyperlink>
      <w:r>
        <w:rPr>
          <w:rFonts w:eastAsia="inter" w:cs="inter" w:ascii="inter" w:hAnsi="inter"/>
          <w:color w:val="000000"/>
          <w:sz w:val="18"/>
        </w:rPr>
        <w:t xml:space="preserve"> </w:t>
      </w:r>
    </w:p>
    <w:bookmarkStart w:id="160" w:name="fn48"/>
    <w:bookmarkEnd w:id="160"/>
    <w:p>
      <w:pPr>
        <w:numPr>
          <w:ilvl w:val="0"/>
          <w:numId w:val="17"/>
        </w:numPr>
        <w:spacing w:line="360" w:after="210" w:lineRule="auto"/>
      </w:pPr>
      <w:hyperlink r:id="rId68">
        <w:r>
          <w:rPr>
            <w:rFonts w:eastAsia="inter" w:cs="inter" w:ascii="inter" w:hAnsi="inter"/>
            <w:color w:val="#000"/>
            <w:sz w:val="18"/>
            <w:u w:val="single"/>
          </w:rPr>
          <w:t xml:space="preserve">https://academic.oup.com/comjnl/article-pdf/62/3/448/28009275/bxy082.pdf</w:t>
        </w:r>
      </w:hyperlink>
      <w:r>
        <w:rPr>
          <w:rFonts w:eastAsia="inter" w:cs="inter" w:ascii="inter" w:hAnsi="inter"/>
          <w:color w:val="000000"/>
          <w:sz w:val="18"/>
        </w:rPr>
        <w:t xml:space="preserve"> </w:t>
      </w:r>
    </w:p>
    <w:bookmarkStart w:id="161" w:name="fn49"/>
    <w:bookmarkEnd w:id="161"/>
    <w:p>
      <w:pPr>
        <w:numPr>
          <w:ilvl w:val="0"/>
          <w:numId w:val="17"/>
        </w:numPr>
        <w:spacing w:line="360" w:after="210" w:lineRule="auto"/>
      </w:pPr>
      <w:hyperlink r:id="rId69">
        <w:r>
          <w:rPr>
            <w:rFonts w:eastAsia="inter" w:cs="inter" w:ascii="inter" w:hAnsi="inter"/>
            <w:color w:val="#000"/>
            <w:sz w:val="18"/>
            <w:u w:val="single"/>
          </w:rPr>
          <w:t xml:space="preserve">http://arxiv.org/pdf/2503.10140.pdf</w:t>
        </w:r>
      </w:hyperlink>
      <w:r>
        <w:rPr>
          <w:rFonts w:eastAsia="inter" w:cs="inter" w:ascii="inter" w:hAnsi="inter"/>
          <w:color w:val="000000"/>
          <w:sz w:val="18"/>
        </w:rPr>
        <w:t xml:space="preserve"> </w:t>
      </w:r>
    </w:p>
    <w:bookmarkStart w:id="162" w:name="fn50"/>
    <w:bookmarkEnd w:id="162"/>
    <w:p>
      <w:pPr>
        <w:numPr>
          <w:ilvl w:val="0"/>
          <w:numId w:val="17"/>
        </w:numPr>
        <w:spacing w:line="360" w:after="210" w:lineRule="auto"/>
      </w:pPr>
      <w:hyperlink r:id="rId70">
        <w:r>
          <w:rPr>
            <w:rFonts w:eastAsia="inter" w:cs="inter" w:ascii="inter" w:hAnsi="inter"/>
            <w:color w:val="#000"/>
            <w:sz w:val="18"/>
            <w:u w:val="single"/>
          </w:rPr>
          <w:t xml:space="preserve">https://www.mdpi.com/2078-2489/14/1/43/pdf?version=1673328206</w:t>
        </w:r>
      </w:hyperlink>
      <w:r>
        <w:rPr>
          <w:rFonts w:eastAsia="inter" w:cs="inter" w:ascii="inter" w:hAnsi="inter"/>
          <w:color w:val="000000"/>
          <w:sz w:val="18"/>
        </w:rPr>
        <w:t xml:space="preserve"> </w:t>
      </w:r>
    </w:p>
    <w:bookmarkStart w:id="163" w:name="fn51"/>
    <w:bookmarkEnd w:id="163"/>
    <w:p>
      <w:pPr>
        <w:numPr>
          <w:ilvl w:val="0"/>
          <w:numId w:val="17"/>
        </w:numPr>
        <w:spacing w:line="360" w:after="210" w:lineRule="auto"/>
      </w:pPr>
      <w:hyperlink r:id="rId71">
        <w:r>
          <w:rPr>
            <w:rFonts w:eastAsia="inter" w:cs="inter" w:ascii="inter" w:hAnsi="inter"/>
            <w:color w:val="#000"/>
            <w:sz w:val="18"/>
            <w:u w:val="single"/>
          </w:rPr>
          <w:t xml:space="preserve">https://ey.co.il</w:t>
        </w:r>
      </w:hyperlink>
      <w:r>
        <w:rPr>
          <w:rFonts w:eastAsia="inter" w:cs="inter" w:ascii="inter" w:hAnsi="inter"/>
          <w:color w:val="000000"/>
          <w:sz w:val="18"/>
        </w:rPr>
        <w:t xml:space="preserve"> </w:t>
      </w:r>
    </w:p>
    <w:bookmarkStart w:id="164" w:name="fn52"/>
    <w:bookmarkEnd w:id="164"/>
    <w:p>
      <w:pPr>
        <w:numPr>
          <w:ilvl w:val="0"/>
          <w:numId w:val="17"/>
        </w:numPr>
        <w:spacing w:line="360" w:after="210" w:lineRule="auto"/>
      </w:pPr>
      <w:hyperlink r:id="rId72">
        <w:r>
          <w:rPr>
            <w:rFonts w:eastAsia="inter" w:cs="inter" w:ascii="inter" w:hAnsi="inter"/>
            <w:color w:val="#000"/>
            <w:sz w:val="18"/>
            <w:u w:val="single"/>
          </w:rPr>
          <w:t xml:space="preserve">https://govextra.gov.il/nimbus-mr-gov-il/nimbus/</w:t>
        </w:r>
      </w:hyperlink>
      <w:r>
        <w:rPr>
          <w:rFonts w:eastAsia="inter" w:cs="inter" w:ascii="inter" w:hAnsi="inter"/>
          <w:color w:val="000000"/>
          <w:sz w:val="18"/>
        </w:rPr>
        <w:t xml:space="preserve"> </w:t>
      </w:r>
    </w:p>
    <w:bookmarkStart w:id="165" w:name="fn53"/>
    <w:bookmarkEnd w:id="165"/>
    <w:p>
      <w:pPr>
        <w:numPr>
          <w:ilvl w:val="0"/>
          <w:numId w:val="17"/>
        </w:numPr>
        <w:spacing w:line="360" w:after="210" w:lineRule="auto"/>
      </w:pPr>
      <w:hyperlink r:id="rId73">
        <w:r>
          <w:rPr>
            <w:rFonts w:eastAsia="inter" w:cs="inter" w:ascii="inter" w:hAnsi="inter"/>
            <w:color w:val="#000"/>
            <w:sz w:val="18"/>
            <w:u w:val="single"/>
          </w:rPr>
          <w:t xml:space="preserve">https://en.wikipedia.org/wiki/Project_Nimbus</w:t>
        </w:r>
      </w:hyperlink>
      <w:r>
        <w:rPr>
          <w:rFonts w:eastAsia="inter" w:cs="inter" w:ascii="inter" w:hAnsi="inter"/>
          <w:color w:val="000000"/>
          <w:sz w:val="18"/>
        </w:rPr>
        <w:t xml:space="preserve"> </w:t>
      </w:r>
    </w:p>
    <w:bookmarkStart w:id="166" w:name="fn54"/>
    <w:bookmarkEnd w:id="166"/>
    <w:p>
      <w:pPr>
        <w:numPr>
          <w:ilvl w:val="0"/>
          <w:numId w:val="17"/>
        </w:numPr>
        <w:spacing w:line="360" w:after="210" w:lineRule="auto"/>
      </w:pPr>
      <w:hyperlink r:id="rId74">
        <w:r>
          <w:rPr>
            <w:rFonts w:eastAsia="inter" w:cs="inter" w:ascii="inter" w:hAnsi="inter"/>
            <w:color w:val="#000"/>
            <w:sz w:val="18"/>
            <w:u w:val="single"/>
          </w:rPr>
          <w:t xml:space="preserve">https://www.longevityisrael.org/wp-content/uploads/2019/03/Longevity-in-Israel-Full-Report.pdf</w:t>
        </w:r>
      </w:hyperlink>
      <w:r>
        <w:rPr>
          <w:rFonts w:eastAsia="inter" w:cs="inter" w:ascii="inter" w:hAnsi="inter"/>
          <w:color w:val="000000"/>
          <w:sz w:val="18"/>
        </w:rPr>
        <w:t xml:space="preserve"> </w:t>
      </w:r>
    </w:p>
    <w:bookmarkStart w:id="167" w:name="fn55"/>
    <w:bookmarkEnd w:id="167"/>
    <w:p>
      <w:pPr>
        <w:numPr>
          <w:ilvl w:val="0"/>
          <w:numId w:val="17"/>
        </w:numPr>
        <w:spacing w:line="360" w:after="210" w:lineRule="auto"/>
      </w:pPr>
      <w:hyperlink r:id="rId75">
        <w:r>
          <w:rPr>
            <w:rFonts w:eastAsia="inter" w:cs="inter" w:ascii="inter" w:hAnsi="inter"/>
            <w:color w:val="#000"/>
            <w:sz w:val="18"/>
            <w:u w:val="single"/>
          </w:rPr>
          <w:t xml:space="preserve">https://mr.gov.il/ilgstorefront/en/news/details/111222</w:t>
        </w:r>
      </w:hyperlink>
      <w:r>
        <w:rPr>
          <w:rFonts w:eastAsia="inter" w:cs="inter" w:ascii="inter" w:hAnsi="inter"/>
          <w:color w:val="000000"/>
          <w:sz w:val="18"/>
        </w:rPr>
        <w:t xml:space="preserve"> </w:t>
      </w:r>
    </w:p>
    <w:bookmarkStart w:id="168" w:name="fn56"/>
    <w:bookmarkEnd w:id="168"/>
    <w:p>
      <w:pPr>
        <w:numPr>
          <w:ilvl w:val="0"/>
          <w:numId w:val="17"/>
        </w:numPr>
        <w:spacing w:line="360" w:after="210" w:lineRule="auto"/>
      </w:pPr>
      <w:hyperlink r:id="rId76">
        <w:r>
          <w:rPr>
            <w:rFonts w:eastAsia="inter" w:cs="inter" w:ascii="inter" w:hAnsi="inter"/>
            <w:color w:val="#000"/>
            <w:sz w:val="18"/>
            <w:u w:val="single"/>
          </w:rPr>
          <w:t xml:space="preserve">https://med.m.tau.ac.il/sites/medicine.tau.ac.il/files/media_server/medicine/SackerMedResearchReport_January2016.pdf</w:t>
        </w:r>
      </w:hyperlink>
      <w:r>
        <w:rPr>
          <w:rFonts w:eastAsia="inter" w:cs="inter" w:ascii="inter" w:hAnsi="inter"/>
          <w:color w:val="000000"/>
          <w:sz w:val="18"/>
        </w:rPr>
        <w:t xml:space="preserve"> </w:t>
      </w:r>
    </w:p>
    <w:bookmarkStart w:id="169" w:name="fn57"/>
    <w:bookmarkEnd w:id="169"/>
    <w:p>
      <w:pPr>
        <w:numPr>
          <w:ilvl w:val="0"/>
          <w:numId w:val="17"/>
        </w:numPr>
        <w:spacing w:line="360" w:after="210" w:lineRule="auto"/>
      </w:pPr>
      <w:hyperlink r:id="rId77">
        <w:r>
          <w:rPr>
            <w:rFonts w:eastAsia="inter" w:cs="inter" w:ascii="inter" w:hAnsi="inter"/>
            <w:color w:val="#000"/>
            <w:sz w:val="18"/>
            <w:u w:val="single"/>
          </w:rPr>
          <w:t xml:space="preserve">https://www.panorama-consulting.com/sap-and-nvidia-partnership/</w:t>
        </w:r>
      </w:hyperlink>
      <w:r>
        <w:rPr>
          <w:rFonts w:eastAsia="inter" w:cs="inter" w:ascii="inter" w:hAnsi="inter"/>
          <w:color w:val="000000"/>
          <w:sz w:val="18"/>
        </w:rPr>
        <w:t xml:space="preserve"> </w:t>
      </w:r>
    </w:p>
    <w:bookmarkStart w:id="170" w:name="fn58"/>
    <w:bookmarkEnd w:id="170"/>
    <w:p>
      <w:pPr>
        <w:numPr>
          <w:ilvl w:val="0"/>
          <w:numId w:val="17"/>
        </w:numPr>
        <w:spacing w:line="360" w:after="210" w:lineRule="auto"/>
      </w:pPr>
      <w:hyperlink r:id="rId78">
        <w:r>
          <w:rPr>
            <w:rFonts w:eastAsia="inter" w:cs="inter" w:ascii="inter" w:hAnsi="inter"/>
            <w:color w:val="#000"/>
            <w:sz w:val="18"/>
            <w:u w:val="single"/>
          </w:rPr>
          <w:t xml:space="preserve">https://ey.co.il/services/multip/public-sector/</w:t>
        </w:r>
      </w:hyperlink>
      <w:r>
        <w:rPr>
          <w:rFonts w:eastAsia="inter" w:cs="inter" w:ascii="inter" w:hAnsi="inter"/>
          <w:color w:val="000000"/>
          <w:sz w:val="18"/>
        </w:rPr>
        <w:t xml:space="preserve"> </w:t>
      </w:r>
    </w:p>
    <w:bookmarkStart w:id="171" w:name="fn59"/>
    <w:bookmarkEnd w:id="171"/>
    <w:p>
      <w:pPr>
        <w:numPr>
          <w:ilvl w:val="0"/>
          <w:numId w:val="17"/>
        </w:numPr>
        <w:spacing w:line="360" w:after="210" w:lineRule="auto"/>
      </w:pPr>
      <w:hyperlink r:id="rId79">
        <w:r>
          <w:rPr>
            <w:rFonts w:eastAsia="inter" w:cs="inter" w:ascii="inter" w:hAnsi="inter"/>
            <w:color w:val="#000"/>
            <w:sz w:val="18"/>
            <w:u w:val="single"/>
          </w:rPr>
          <w:t xml:space="preserve">http://www.eilatgordinlevitan.com/kurenets/k_pages/kur_gb_archive3.html</w:t>
        </w:r>
      </w:hyperlink>
      <w:r>
        <w:rPr>
          <w:rFonts w:eastAsia="inter" w:cs="inter" w:ascii="inter" w:hAnsi="inter"/>
          <w:color w:val="000000"/>
          <w:sz w:val="18"/>
        </w:rPr>
        <w:t xml:space="preserve"> </w:t>
      </w:r>
    </w:p>
    <w:bookmarkStart w:id="172" w:name="fn60"/>
    <w:bookmarkEnd w:id="172"/>
    <w:p>
      <w:pPr>
        <w:numPr>
          <w:ilvl w:val="0"/>
          <w:numId w:val="17"/>
        </w:numPr>
        <w:spacing w:line="360" w:after="210" w:lineRule="auto"/>
      </w:pPr>
      <w:hyperlink r:id="rId80">
        <w:r>
          <w:rPr>
            <w:rFonts w:eastAsia="inter" w:cs="inter" w:ascii="inter" w:hAnsi="inter"/>
            <w:color w:val="#000"/>
            <w:sz w:val="18"/>
            <w:u w:val="single"/>
          </w:rPr>
          <w:t xml:space="preserve">https://www.facebook.com/israelgov/photos/ממשלת-ישראל-עוברת-לענן-לעולם-מגוון-של-שירותים-ויכולות-מתקדמות-שיאיצו-חדשנות-לכלל/4521835407831353/</w:t>
        </w:r>
      </w:hyperlink>
      <w:r>
        <w:rPr>
          <w:rFonts w:eastAsia="inter" w:cs="inter" w:ascii="inter" w:hAnsi="inter"/>
          <w:color w:val="000000"/>
          <w:sz w:val="18"/>
        </w:rPr>
        <w:t xml:space="preserve"> </w:t>
      </w:r>
    </w:p>
    <w:bookmarkStart w:id="173" w:name="fn61"/>
    <w:bookmarkEnd w:id="173"/>
    <w:p>
      <w:pPr>
        <w:numPr>
          <w:ilvl w:val="0"/>
          <w:numId w:val="17"/>
        </w:numPr>
        <w:spacing w:line="360" w:after="210" w:lineRule="auto"/>
      </w:pPr>
      <w:hyperlink r:id="rId81">
        <w:r>
          <w:rPr>
            <w:rFonts w:eastAsia="inter" w:cs="inter" w:ascii="inter" w:hAnsi="inter"/>
            <w:color w:val="#000"/>
            <w:sz w:val="18"/>
            <w:u w:val="single"/>
          </w:rPr>
          <w:t xml:space="preserve">https://en-med.m.tau.ac.il/sites/med_en.tau.ac.il/files/media_server/medicine/genomic/MedPreclinicalResearch_Feb2017.pdf</w:t>
        </w:r>
      </w:hyperlink>
      <w:r>
        <w:rPr>
          <w:rFonts w:eastAsia="inter" w:cs="inter" w:ascii="inter" w:hAnsi="inter"/>
          <w:color w:val="000000"/>
          <w:sz w:val="18"/>
        </w:rPr>
        <w:t xml:space="preserve"> </w:t>
      </w:r>
    </w:p>
    <w:bookmarkStart w:id="174" w:name="fn62"/>
    <w:bookmarkEnd w:id="174"/>
    <w:p>
      <w:pPr>
        <w:numPr>
          <w:ilvl w:val="0"/>
          <w:numId w:val="17"/>
        </w:numPr>
        <w:spacing w:line="360" w:after="210" w:lineRule="auto"/>
      </w:pPr>
      <w:hyperlink r:id="rId82">
        <w:r>
          <w:rPr>
            <w:rFonts w:eastAsia="inter" w:cs="inter" w:ascii="inter" w:hAnsi="inter"/>
            <w:color w:val="#000"/>
            <w:sz w:val="18"/>
            <w:u w:val="single"/>
          </w:rPr>
          <w:t xml:space="preserve">https://journal.iapa.or.id/proceedings/article/view/1338</w:t>
        </w:r>
      </w:hyperlink>
      <w:r>
        <w:rPr>
          <w:rFonts w:eastAsia="inter" w:cs="inter" w:ascii="inter" w:hAnsi="inter"/>
          <w:color w:val="000000"/>
          <w:sz w:val="18"/>
        </w:rPr>
        <w:t xml:space="preserve"> </w:t>
      </w:r>
    </w:p>
    <w:bookmarkStart w:id="175" w:name="fn63"/>
    <w:bookmarkEnd w:id="175"/>
    <w:p>
      <w:pPr>
        <w:numPr>
          <w:ilvl w:val="0"/>
          <w:numId w:val="17"/>
        </w:numPr>
        <w:spacing w:line="360" w:after="210" w:lineRule="auto"/>
      </w:pPr>
      <w:hyperlink r:id="rId83">
        <w:r>
          <w:rPr>
            <w:rFonts w:eastAsia="inter" w:cs="inter" w:ascii="inter" w:hAnsi="inter"/>
            <w:color w:val="#000"/>
            <w:sz w:val="18"/>
            <w:u w:val="single"/>
          </w:rPr>
          <w:t xml:space="preserve">https://eujournal.org/index.php/esj/article/view/20092</w:t>
        </w:r>
      </w:hyperlink>
      <w:r>
        <w:rPr>
          <w:rFonts w:eastAsia="inter" w:cs="inter" w:ascii="inter" w:hAnsi="inter"/>
          <w:color w:val="000000"/>
          <w:sz w:val="18"/>
        </w:rPr>
        <w:t xml:space="preserve"> </w:t>
      </w:r>
    </w:p>
    <w:bookmarkStart w:id="176" w:name="fn64"/>
    <w:bookmarkEnd w:id="176"/>
    <w:p>
      <w:pPr>
        <w:numPr>
          <w:ilvl w:val="0"/>
          <w:numId w:val="17"/>
        </w:numPr>
        <w:spacing w:line="360" w:after="210" w:lineRule="auto"/>
      </w:pPr>
      <w:hyperlink r:id="rId84">
        <w:r>
          <w:rPr>
            <w:rFonts w:eastAsia="inter" w:cs="inter" w:ascii="inter" w:hAnsi="inter"/>
            <w:color w:val="#000"/>
            <w:sz w:val="18"/>
            <w:u w:val="single"/>
          </w:rPr>
          <w:t xml:space="preserve">https://irojournals.com/rrrj/article/view/4/2/6</w:t>
        </w:r>
      </w:hyperlink>
      <w:r>
        <w:rPr>
          <w:rFonts w:eastAsia="inter" w:cs="inter" w:ascii="inter" w:hAnsi="inter"/>
          <w:color w:val="000000"/>
          <w:sz w:val="18"/>
        </w:rPr>
        <w:t xml:space="preserve"> </w:t>
      </w:r>
    </w:p>
    <w:bookmarkStart w:id="177" w:name="fn65"/>
    <w:bookmarkEnd w:id="177"/>
    <w:p>
      <w:pPr>
        <w:numPr>
          <w:ilvl w:val="0"/>
          <w:numId w:val="17"/>
        </w:numPr>
        <w:spacing w:line="360" w:after="210" w:lineRule="auto"/>
      </w:pPr>
      <w:hyperlink r:id="rId85">
        <w:r>
          <w:rPr>
            <w:rFonts w:eastAsia="inter" w:cs="inter" w:ascii="inter" w:hAnsi="inter"/>
            <w:color w:val="#000"/>
            <w:sz w:val="18"/>
            <w:u w:val="single"/>
          </w:rPr>
          <w:t xml:space="preserve">https://www.tandfonline.com/doi/full/10.1080/07366981.2025.2500805</w:t>
        </w:r>
      </w:hyperlink>
      <w:r>
        <w:rPr>
          <w:rFonts w:eastAsia="inter" w:cs="inter" w:ascii="inter" w:hAnsi="inter"/>
          <w:color w:val="000000"/>
          <w:sz w:val="18"/>
        </w:rPr>
        <w:t xml:space="preserve"> </w:t>
      </w:r>
    </w:p>
    <w:bookmarkStart w:id="178" w:name="fn66"/>
    <w:bookmarkEnd w:id="178"/>
    <w:p>
      <w:pPr>
        <w:numPr>
          <w:ilvl w:val="0"/>
          <w:numId w:val="17"/>
        </w:numPr>
        <w:spacing w:line="360" w:after="210" w:lineRule="auto"/>
      </w:pPr>
      <w:hyperlink r:id="rId86">
        <w:r>
          <w:rPr>
            <w:rFonts w:eastAsia="inter" w:cs="inter" w:ascii="inter" w:hAnsi="inter"/>
            <w:color w:val="#000"/>
            <w:sz w:val="18"/>
            <w:u w:val="single"/>
          </w:rPr>
          <w:t xml:space="preserve">https://invergejournals.com/index.php/ijss/article/view/200</w:t>
        </w:r>
      </w:hyperlink>
      <w:r>
        <w:rPr>
          <w:rFonts w:eastAsia="inter" w:cs="inter" w:ascii="inter" w:hAnsi="inter"/>
          <w:color w:val="000000"/>
          <w:sz w:val="18"/>
        </w:rPr>
        <w:t xml:space="preserve"> </w:t>
      </w:r>
    </w:p>
    <w:bookmarkStart w:id="179" w:name="fn67"/>
    <w:bookmarkEnd w:id="179"/>
    <w:p>
      <w:pPr>
        <w:numPr>
          <w:ilvl w:val="0"/>
          <w:numId w:val="17"/>
        </w:numPr>
        <w:spacing w:line="360" w:after="210" w:lineRule="auto"/>
      </w:pPr>
      <w:hyperlink r:id="rId87">
        <w:r>
          <w:rPr>
            <w:rFonts w:eastAsia="inter" w:cs="inter" w:ascii="inter" w:hAnsi="inter"/>
            <w:color w:val="#000"/>
            <w:sz w:val="18"/>
            <w:u w:val="single"/>
          </w:rPr>
          <w:t xml:space="preserve">https://rsglobal.pl/index.php/ijitss/article/view/4661</w:t>
        </w:r>
      </w:hyperlink>
      <w:r>
        <w:rPr>
          <w:rFonts w:eastAsia="inter" w:cs="inter" w:ascii="inter" w:hAnsi="inter"/>
          <w:color w:val="000000"/>
          <w:sz w:val="18"/>
        </w:rPr>
        <w:t xml:space="preserve"> </w:t>
      </w:r>
    </w:p>
    <w:bookmarkStart w:id="180" w:name="fn68"/>
    <w:bookmarkEnd w:id="180"/>
    <w:p>
      <w:pPr>
        <w:numPr>
          <w:ilvl w:val="0"/>
          <w:numId w:val="17"/>
        </w:numPr>
        <w:spacing w:line="360" w:after="210" w:lineRule="auto"/>
      </w:pPr>
      <w:hyperlink r:id="rId88">
        <w:r>
          <w:rPr>
            <w:rFonts w:eastAsia="inter" w:cs="inter" w:ascii="inter" w:hAnsi="inter"/>
            <w:color w:val="#000"/>
            <w:sz w:val="18"/>
            <w:u w:val="single"/>
          </w:rPr>
          <w:t xml:space="preserve">https://invergejournals.com/index.php/ijss/article/view/153</w:t>
        </w:r>
      </w:hyperlink>
      <w:r>
        <w:rPr>
          <w:rFonts w:eastAsia="inter" w:cs="inter" w:ascii="inter" w:hAnsi="inter"/>
          <w:color w:val="000000"/>
          <w:sz w:val="18"/>
        </w:rPr>
        <w:t xml:space="preserve"> </w:t>
      </w:r>
    </w:p>
    <w:bookmarkStart w:id="181" w:name="fn69"/>
    <w:bookmarkEnd w:id="181"/>
    <w:p>
      <w:pPr>
        <w:numPr>
          <w:ilvl w:val="0"/>
          <w:numId w:val="17"/>
        </w:numPr>
        <w:spacing w:line="360" w:after="210" w:lineRule="auto"/>
      </w:pPr>
      <w:hyperlink r:id="rId89">
        <w:r>
          <w:rPr>
            <w:rFonts w:eastAsia="inter" w:cs="inter" w:ascii="inter" w:hAnsi="inter"/>
            <w:color w:val="#000"/>
            <w:sz w:val="18"/>
            <w:u w:val="single"/>
          </w:rPr>
          <w:t xml:space="preserve">https://e-journal.upr.ac.id/index.php/pdhp/article/view/20310</w:t>
        </w:r>
      </w:hyperlink>
      <w:r>
        <w:rPr>
          <w:rFonts w:eastAsia="inter" w:cs="inter" w:ascii="inter" w:hAnsi="inter"/>
          <w:color w:val="000000"/>
          <w:sz w:val="18"/>
        </w:rPr>
        <w:t xml:space="preserve"> </w:t>
      </w:r>
    </w:p>
    <w:bookmarkStart w:id="182" w:name="fn70"/>
    <w:bookmarkEnd w:id="182"/>
    <w:p>
      <w:pPr>
        <w:numPr>
          <w:ilvl w:val="0"/>
          <w:numId w:val="17"/>
        </w:numPr>
        <w:spacing w:line="360" w:after="210" w:lineRule="auto"/>
      </w:pPr>
      <w:hyperlink r:id="rId90">
        <w:r>
          <w:rPr>
            <w:rFonts w:eastAsia="inter" w:cs="inter" w:ascii="inter" w:hAnsi="inter"/>
            <w:color w:val="#000"/>
            <w:sz w:val="18"/>
            <w:u w:val="single"/>
          </w:rPr>
          <w:t xml:space="preserve">https://onepetro.org/SPEADIP/proceedings/25ADIP/25ADIP/D031S095R001/792801</w:t>
        </w:r>
      </w:hyperlink>
      <w:r>
        <w:rPr>
          <w:rFonts w:eastAsia="inter" w:cs="inter" w:ascii="inter" w:hAnsi="inter"/>
          <w:color w:val="000000"/>
          <w:sz w:val="18"/>
        </w:rPr>
        <w:t xml:space="preserve"> </w:t>
      </w:r>
    </w:p>
    <w:bookmarkStart w:id="183" w:name="fn71"/>
    <w:bookmarkEnd w:id="183"/>
    <w:p>
      <w:pPr>
        <w:numPr>
          <w:ilvl w:val="0"/>
          <w:numId w:val="17"/>
        </w:numPr>
        <w:spacing w:line="360" w:after="210" w:lineRule="auto"/>
      </w:pPr>
      <w:hyperlink r:id="rId91">
        <w:r>
          <w:rPr>
            <w:rFonts w:eastAsia="inter" w:cs="inter" w:ascii="inter" w:hAnsi="inter"/>
            <w:color w:val="#000"/>
            <w:sz w:val="18"/>
            <w:u w:val="single"/>
          </w:rPr>
          <w:t xml:space="preserve">https://www.cambridge.org/core/product/identifier/9781009207898%23CN-bp-9/type/book_part</w:t>
        </w:r>
      </w:hyperlink>
      <w:r>
        <w:rPr>
          <w:rFonts w:eastAsia="inter" w:cs="inter" w:ascii="inter" w:hAnsi="inter"/>
          <w:color w:val="000000"/>
          <w:sz w:val="18"/>
        </w:rPr>
        <w:t xml:space="preserve"> </w:t>
      </w:r>
    </w:p>
    <w:bookmarkStart w:id="184" w:name="fn72"/>
    <w:bookmarkEnd w:id="184"/>
    <w:p>
      <w:pPr>
        <w:numPr>
          <w:ilvl w:val="0"/>
          <w:numId w:val="17"/>
        </w:numPr>
        <w:spacing w:line="360" w:after="210" w:lineRule="auto"/>
      </w:pPr>
      <w:hyperlink r:id="rId92">
        <w:r>
          <w:rPr>
            <w:rFonts w:eastAsia="inter" w:cs="inter" w:ascii="inter" w:hAnsi="inter"/>
            <w:color w:val="#000"/>
            <w:sz w:val="18"/>
            <w:u w:val="single"/>
          </w:rPr>
          <w:t xml:space="preserve">http://arxiv.org/pdf/2209.06317.pdf</w:t>
        </w:r>
      </w:hyperlink>
      <w:r>
        <w:rPr>
          <w:rFonts w:eastAsia="inter" w:cs="inter" w:ascii="inter" w:hAnsi="inter"/>
          <w:color w:val="000000"/>
          <w:sz w:val="18"/>
        </w:rPr>
        <w:t xml:space="preserve"> </w:t>
      </w:r>
    </w:p>
    <w:bookmarkStart w:id="185" w:name="fn73"/>
    <w:bookmarkEnd w:id="185"/>
    <w:p>
      <w:pPr>
        <w:numPr>
          <w:ilvl w:val="0"/>
          <w:numId w:val="17"/>
        </w:numPr>
        <w:spacing w:line="360" w:after="210" w:lineRule="auto"/>
      </w:pPr>
      <w:hyperlink r:id="rId93">
        <w:r>
          <w:rPr>
            <w:rFonts w:eastAsia="inter" w:cs="inter" w:ascii="inter" w:hAnsi="inter"/>
            <w:color w:val="#000"/>
            <w:sz w:val="18"/>
            <w:u w:val="single"/>
          </w:rPr>
          <w:t xml:space="preserve">http://arxiv.org/pdf/2412.01957.pdf</w:t>
        </w:r>
      </w:hyperlink>
      <w:r>
        <w:rPr>
          <w:rFonts w:eastAsia="inter" w:cs="inter" w:ascii="inter" w:hAnsi="inter"/>
          <w:color w:val="000000"/>
          <w:sz w:val="18"/>
        </w:rPr>
        <w:t xml:space="preserve"> </w:t>
      </w:r>
    </w:p>
    <w:bookmarkStart w:id="186" w:name="fn74"/>
    <w:bookmarkEnd w:id="186"/>
    <w:p>
      <w:pPr>
        <w:numPr>
          <w:ilvl w:val="0"/>
          <w:numId w:val="17"/>
        </w:numPr>
        <w:spacing w:line="360" w:after="210" w:lineRule="auto"/>
      </w:pPr>
      <w:hyperlink r:id="rId94">
        <w:r>
          <w:rPr>
            <w:rFonts w:eastAsia="inter" w:cs="inter" w:ascii="inter" w:hAnsi="inter"/>
            <w:color w:val="#000"/>
            <w:sz w:val="18"/>
            <w:u w:val="single"/>
          </w:rPr>
          <w:t xml:space="preserve">https://arxiv.org/pdf/2408.11820.pdf</w:t>
        </w:r>
      </w:hyperlink>
      <w:r>
        <w:rPr>
          <w:rFonts w:eastAsia="inter" w:cs="inter" w:ascii="inter" w:hAnsi="inter"/>
          <w:color w:val="000000"/>
          <w:sz w:val="18"/>
        </w:rPr>
        <w:t xml:space="preserve"> </w:t>
      </w:r>
    </w:p>
    <w:bookmarkStart w:id="187" w:name="fn75"/>
    <w:bookmarkEnd w:id="187"/>
    <w:p>
      <w:pPr>
        <w:numPr>
          <w:ilvl w:val="0"/>
          <w:numId w:val="17"/>
        </w:numPr>
        <w:spacing w:line="360" w:after="210" w:lineRule="auto"/>
      </w:pPr>
      <w:hyperlink r:id="rId95">
        <w:r>
          <w:rPr>
            <w:rFonts w:eastAsia="inter" w:cs="inter" w:ascii="inter" w:hAnsi="inter"/>
            <w:color w:val="#000"/>
            <w:sz w:val="18"/>
            <w:u w:val="single"/>
          </w:rPr>
          <w:t xml:space="preserve">https://arxiv.org/pdf/2502.06656.pdf</w:t>
        </w:r>
      </w:hyperlink>
      <w:r>
        <w:rPr>
          <w:rFonts w:eastAsia="inter" w:cs="inter" w:ascii="inter" w:hAnsi="inter"/>
          <w:color w:val="000000"/>
          <w:sz w:val="18"/>
        </w:rPr>
        <w:t xml:space="preserve"> </w:t>
      </w:r>
    </w:p>
    <w:bookmarkStart w:id="188" w:name="fn76"/>
    <w:bookmarkEnd w:id="188"/>
    <w:p>
      <w:pPr>
        <w:numPr>
          <w:ilvl w:val="0"/>
          <w:numId w:val="17"/>
        </w:numPr>
        <w:spacing w:line="360" w:after="210" w:lineRule="auto"/>
      </w:pPr>
      <w:hyperlink r:id="rId96">
        <w:r>
          <w:rPr>
            <w:rFonts w:eastAsia="inter" w:cs="inter" w:ascii="inter" w:hAnsi="inter"/>
            <w:color w:val="#000"/>
            <w:sz w:val="18"/>
            <w:u w:val="single"/>
          </w:rPr>
          <w:t xml:space="preserve">https://arxiv.org/html/2502.08650v2</w:t>
        </w:r>
      </w:hyperlink>
      <w:r>
        <w:rPr>
          <w:rFonts w:eastAsia="inter" w:cs="inter" w:ascii="inter" w:hAnsi="inter"/>
          <w:color w:val="000000"/>
          <w:sz w:val="18"/>
        </w:rPr>
        <w:t xml:space="preserve"> </w:t>
      </w:r>
    </w:p>
    <w:bookmarkStart w:id="189" w:name="fn77"/>
    <w:bookmarkEnd w:id="189"/>
    <w:p>
      <w:pPr>
        <w:numPr>
          <w:ilvl w:val="0"/>
          <w:numId w:val="17"/>
        </w:numPr>
        <w:spacing w:line="360" w:after="210" w:lineRule="auto"/>
      </w:pPr>
      <w:hyperlink r:id="rId97">
        <w:r>
          <w:rPr>
            <w:rFonts w:eastAsia="inter" w:cs="inter" w:ascii="inter" w:hAnsi="inter"/>
            <w:color w:val="#000"/>
            <w:sz w:val="18"/>
            <w:u w:val="single"/>
          </w:rPr>
          <w:t xml:space="preserve">https://www.youtube.com/watch?v=B0mHo5-pv_k</w:t>
        </w:r>
      </w:hyperlink>
      <w:r>
        <w:rPr>
          <w:rFonts w:eastAsia="inter" w:cs="inter" w:ascii="inter" w:hAnsi="inter"/>
          <w:color w:val="000000"/>
          <w:sz w:val="18"/>
        </w:rPr>
        <w:t xml:space="preserve"> </w:t>
      </w:r>
    </w:p>
    <w:bookmarkStart w:id="190" w:name="fn78"/>
    <w:bookmarkEnd w:id="190"/>
    <w:p>
      <w:pPr>
        <w:numPr>
          <w:ilvl w:val="0"/>
          <w:numId w:val="17"/>
        </w:numPr>
        <w:spacing w:line="360" w:after="210" w:lineRule="auto"/>
      </w:pPr>
      <w:hyperlink r:id="rId98">
        <w:r>
          <w:rPr>
            <w:rFonts w:eastAsia="inter" w:cs="inter" w:ascii="inter" w:hAnsi="inter"/>
            <w:color w:val="#000"/>
            <w:sz w:val="18"/>
            <w:u w:val="single"/>
          </w:rPr>
          <w:t xml:space="preserve">https://www.ey.com/en_gl/newsroom/2025/06/ey-survey-reveals-large-gap-between-government-organizations-ai-ambitions-and-reality</w:t>
        </w:r>
      </w:hyperlink>
      <w:r>
        <w:rPr>
          <w:rFonts w:eastAsia="inter" w:cs="inter" w:ascii="inter" w:hAnsi="inter"/>
          <w:color w:val="000000"/>
          <w:sz w:val="18"/>
        </w:rPr>
        <w:t xml:space="preserve"> </w:t>
      </w:r>
    </w:p>
    <w:bookmarkStart w:id="191" w:name="fn79"/>
    <w:bookmarkEnd w:id="191"/>
    <w:p>
      <w:pPr>
        <w:numPr>
          <w:ilvl w:val="0"/>
          <w:numId w:val="17"/>
        </w:numPr>
        <w:spacing w:line="360" w:after="210" w:lineRule="auto"/>
      </w:pPr>
      <w:hyperlink r:id="rId99">
        <w:r>
          <w:rPr>
            <w:rFonts w:eastAsia="inter" w:cs="inter" w:ascii="inter" w:hAnsi="inter"/>
            <w:color w:val="#000"/>
            <w:sz w:val="18"/>
            <w:u w:val="single"/>
          </w:rPr>
          <w:t xml:space="preserve">https://www.ey.com/content/dam/ey-unified-site/ey-com/en-gl/insights/public-policy/documents/ey-ai-assessments-enhancing-confidence-in-ai-06-25.pdf</w:t>
        </w:r>
      </w:hyperlink>
      <w:r>
        <w:rPr>
          <w:rFonts w:eastAsia="inter" w:cs="inter" w:ascii="inter" w:hAnsi="inter"/>
          <w:color w:val="000000"/>
          <w:sz w:val="18"/>
        </w:rPr>
        <w:t xml:space="preserve"> </w:t>
      </w:r>
    </w:p>
    <w:bookmarkStart w:id="192" w:name="fn80"/>
    <w:bookmarkEnd w:id="192"/>
    <w:p>
      <w:pPr>
        <w:numPr>
          <w:ilvl w:val="0"/>
          <w:numId w:val="17"/>
        </w:numPr>
        <w:spacing w:line="360" w:after="210" w:lineRule="auto"/>
      </w:pPr>
      <w:hyperlink r:id="rId100">
        <w:r>
          <w:rPr>
            <w:rFonts w:eastAsia="inter" w:cs="inter" w:ascii="inter" w:hAnsi="inter"/>
            <w:color w:val="#000"/>
            <w:sz w:val="18"/>
            <w:u w:val="single"/>
          </w:rPr>
          <w:t xml:space="preserve">https://www.ey.com/en_gl/insights/ai/principles-for-ethical-and-responsible-ai</w:t>
        </w:r>
      </w:hyperlink>
      <w:r>
        <w:rPr>
          <w:rFonts w:eastAsia="inter" w:cs="inter" w:ascii="inter" w:hAnsi="inter"/>
          <w:color w:val="000000"/>
          <w:sz w:val="18"/>
        </w:rPr>
        <w:t xml:space="preserve"> </w:t>
      </w:r>
    </w:p>
    <w:bookmarkStart w:id="193" w:name="fn81"/>
    <w:bookmarkEnd w:id="193"/>
    <w:p>
      <w:pPr>
        <w:numPr>
          <w:ilvl w:val="0"/>
          <w:numId w:val="17"/>
        </w:numPr>
        <w:spacing w:line="360" w:after="210" w:lineRule="auto"/>
      </w:pPr>
      <w:hyperlink r:id="rId101">
        <w:r>
          <w:rPr>
            <w:rFonts w:eastAsia="inter" w:cs="inter" w:ascii="inter" w:hAnsi="inter"/>
            <w:color w:val="#000"/>
            <w:sz w:val="18"/>
            <w:u w:val="single"/>
          </w:rPr>
          <w:t xml:space="preserve">https://accountancyage.com/2025/04/09/ey-announces-ai-integration-into-global-assurance-technology-platform/</w:t>
        </w:r>
      </w:hyperlink>
      <w:r>
        <w:rPr>
          <w:rFonts w:eastAsia="inter" w:cs="inter" w:ascii="inter" w:hAnsi="inter"/>
          <w:color w:val="000000"/>
          <w:sz w:val="18"/>
        </w:rPr>
        <w:t xml:space="preserve"> </w:t>
      </w:r>
    </w:p>
    <w:bookmarkStart w:id="194" w:name="fn82"/>
    <w:bookmarkEnd w:id="194"/>
    <w:p>
      <w:pPr>
        <w:numPr>
          <w:ilvl w:val="0"/>
          <w:numId w:val="17"/>
        </w:numPr>
        <w:spacing w:line="360" w:after="210" w:lineRule="auto"/>
      </w:pPr>
      <w:hyperlink r:id="rId102">
        <w:r>
          <w:rPr>
            <w:rFonts w:eastAsia="inter" w:cs="inter" w:ascii="inter" w:hAnsi="inter"/>
            <w:color w:val="#000"/>
            <w:sz w:val="18"/>
            <w:u w:val="single"/>
          </w:rPr>
          <w:t xml:space="preserve">https://www.internationalaccountingbulletin.com/news/ey-1bn-tech-strategy/</w:t>
        </w:r>
      </w:hyperlink>
      <w:r>
        <w:rPr>
          <w:rFonts w:eastAsia="inter" w:cs="inter" w:ascii="inter" w:hAnsi="inter"/>
          <w:color w:val="000000"/>
          <w:sz w:val="18"/>
        </w:rPr>
        <w:t xml:space="preserve"> </w:t>
      </w:r>
    </w:p>
    <w:bookmarkStart w:id="195" w:name="fn83"/>
    <w:bookmarkEnd w:id="195"/>
    <w:p>
      <w:pPr>
        <w:numPr>
          <w:ilvl w:val="0"/>
          <w:numId w:val="17"/>
        </w:numPr>
        <w:spacing w:line="360" w:after="210" w:lineRule="auto"/>
      </w:pPr>
      <w:hyperlink r:id="rId103">
        <w:r>
          <w:rPr>
            <w:rFonts w:eastAsia="inter" w:cs="inter" w:ascii="inter" w:hAnsi="inter"/>
            <w:color w:val="#000"/>
            <w:sz w:val="18"/>
            <w:u w:val="single"/>
          </w:rPr>
          <w:t xml:space="preserve">https://www.cpapracticeadvisor.com/2025/04/09/ey-invests-1b-to-integrate-ai-into-accounting-and-audit-platform/158844/</w:t>
        </w:r>
      </w:hyperlink>
      <w:r>
        <w:rPr>
          <w:rFonts w:eastAsia="inter" w:cs="inter" w:ascii="inter" w:hAnsi="inter"/>
          <w:color w:val="000000"/>
          <w:sz w:val="18"/>
        </w:rPr>
        <w:t xml:space="preserve"> </w:t>
      </w:r>
    </w:p>
    <w:bookmarkStart w:id="196" w:name="fn84"/>
    <w:bookmarkEnd w:id="196"/>
    <w:p>
      <w:pPr>
        <w:numPr>
          <w:ilvl w:val="0"/>
          <w:numId w:val="17"/>
        </w:numPr>
        <w:spacing w:line="360" w:after="210" w:lineRule="auto"/>
      </w:pPr>
      <w:hyperlink r:id="rId104">
        <w:r>
          <w:rPr>
            <w:rFonts w:eastAsia="inter" w:cs="inter" w:ascii="inter" w:hAnsi="inter"/>
            <w:color w:val="#000"/>
            <w:sz w:val="18"/>
            <w:u w:val="single"/>
          </w:rPr>
          <w:t xml:space="preserve">https://ey.co.il/wp-content/uploads/2023/04/2024-Transparency-Report-Israel-JV.pdf</w:t>
        </w:r>
      </w:hyperlink>
      <w:r>
        <w:rPr>
          <w:rFonts w:eastAsia="inter" w:cs="inter" w:ascii="inter" w:hAnsi="inter"/>
          <w:color w:val="000000"/>
          <w:sz w:val="18"/>
        </w:rPr>
        <w:t xml:space="preserve"> </w:t>
      </w:r>
    </w:p>
    <w:bookmarkStart w:id="197" w:name="fn85"/>
    <w:bookmarkEnd w:id="197"/>
    <w:p>
      <w:pPr>
        <w:numPr>
          <w:ilvl w:val="0"/>
          <w:numId w:val="17"/>
        </w:numPr>
        <w:spacing w:line="360" w:after="210" w:lineRule="auto"/>
      </w:pPr>
      <w:hyperlink r:id="rId105">
        <w:r>
          <w:rPr>
            <w:rFonts w:eastAsia="inter" w:cs="inter" w:ascii="inter" w:hAnsi="inter"/>
            <w:color w:val="#000"/>
            <w:sz w:val="18"/>
            <w:u w:val="single"/>
          </w:rPr>
          <w:t xml:space="preserve">https://www.ndtahq.com/ey-assurance-releases-new-technology-capabilities-strengthening-confidence-and-trust/</w:t>
        </w:r>
      </w:hyperlink>
      <w:r>
        <w:rPr>
          <w:rFonts w:eastAsia="inter" w:cs="inter" w:ascii="inter" w:hAnsi="inter"/>
          <w:color w:val="000000"/>
          <w:sz w:val="18"/>
        </w:rPr>
        <w:t xml:space="preserve"> </w:t>
      </w:r>
    </w:p>
    <w:bookmarkStart w:id="198" w:name="fn86"/>
    <w:bookmarkEnd w:id="198"/>
    <w:p>
      <w:pPr>
        <w:numPr>
          <w:ilvl w:val="0"/>
          <w:numId w:val="17"/>
        </w:numPr>
        <w:spacing w:line="360" w:after="210" w:lineRule="auto"/>
      </w:pPr>
      <w:hyperlink r:id="rId106">
        <w:r>
          <w:rPr>
            <w:rFonts w:eastAsia="inter" w:cs="inter" w:ascii="inter" w:hAnsi="inter"/>
            <w:color w:val="#000"/>
            <w:sz w:val="18"/>
            <w:u w:val="single"/>
          </w:rPr>
          <w:t xml:space="preserve">https://captaincompliance.com/education/ey-survey-links-responsible-ai-governance-to-winning-more-business-deals/</w:t>
        </w:r>
      </w:hyperlink>
      <w:r>
        <w:rPr>
          <w:rFonts w:eastAsia="inter" w:cs="inter" w:ascii="inter" w:hAnsi="inter"/>
          <w:color w:val="000000"/>
          <w:sz w:val="18"/>
        </w:rPr>
        <w:t xml:space="preserve"> </w:t>
      </w:r>
    </w:p>
    <w:bookmarkStart w:id="199" w:name="fn87"/>
    <w:bookmarkEnd w:id="199"/>
    <w:p>
      <w:pPr>
        <w:numPr>
          <w:ilvl w:val="0"/>
          <w:numId w:val="17"/>
        </w:numPr>
        <w:spacing w:line="360" w:after="210" w:lineRule="auto"/>
      </w:pPr>
      <w:hyperlink r:id="rId107">
        <w:r>
          <w:rPr>
            <w:rFonts w:eastAsia="inter" w:cs="inter" w:ascii="inter" w:hAnsi="inter"/>
            <w:color w:val="#000"/>
            <w:sz w:val="18"/>
            <w:u w:val="single"/>
          </w:rPr>
          <w:t xml:space="preserve">https://arxiv.org/pdf/2203.08465.pdf</w:t>
        </w:r>
      </w:hyperlink>
      <w:r>
        <w:rPr>
          <w:rFonts w:eastAsia="inter" w:cs="inter" w:ascii="inter" w:hAnsi="inter"/>
          <w:color w:val="000000"/>
          <w:sz w:val="18"/>
        </w:rPr>
        <w:t xml:space="preserve"> </w:t>
      </w:r>
    </w:p>
    <w:bookmarkStart w:id="200" w:name="fn88"/>
    <w:bookmarkEnd w:id="200"/>
    <w:p>
      <w:pPr>
        <w:numPr>
          <w:ilvl w:val="0"/>
          <w:numId w:val="17"/>
        </w:numPr>
        <w:spacing w:line="360" w:after="210" w:lineRule="auto"/>
      </w:pPr>
      <w:hyperlink r:id="rId108">
        <w:r>
          <w:rPr>
            <w:rFonts w:eastAsia="inter" w:cs="inter" w:ascii="inter" w:hAnsi="inter"/>
            <w:color w:val="#000"/>
            <w:sz w:val="18"/>
            <w:u w:val="single"/>
          </w:rPr>
          <w:t xml:space="preserve">https://arxiv.org/html/2412.08490v1</w:t>
        </w:r>
      </w:hyperlink>
      <w:r>
        <w:rPr>
          <w:rFonts w:eastAsia="inter" w:cs="inter" w:ascii="inter" w:hAnsi="inter"/>
          <w:color w:val="000000"/>
          <w:sz w:val="18"/>
        </w:rPr>
        <w:t xml:space="preserve"> </w:t>
      </w:r>
    </w:p>
    <w:bookmarkStart w:id="201" w:name="fn89"/>
    <w:bookmarkEnd w:id="201"/>
    <w:p>
      <w:pPr>
        <w:numPr>
          <w:ilvl w:val="0"/>
          <w:numId w:val="17"/>
        </w:numPr>
        <w:spacing w:line="360" w:after="210" w:lineRule="auto"/>
      </w:pPr>
      <w:hyperlink r:id="rId109">
        <w:r>
          <w:rPr>
            <w:rFonts w:eastAsia="inter" w:cs="inter" w:ascii="inter" w:hAnsi="inter"/>
            <w:color w:val="#000"/>
            <w:sz w:val="18"/>
            <w:u w:val="single"/>
          </w:rPr>
          <w:t xml:space="preserve">https://www.mdpi.com/2071-1050/16/5/1790/pdf?version=1708581624</w:t>
        </w:r>
      </w:hyperlink>
      <w:r>
        <w:rPr>
          <w:rFonts w:eastAsia="inter" w:cs="inter" w:ascii="inter" w:hAnsi="inter"/>
          <w:color w:val="000000"/>
          <w:sz w:val="18"/>
        </w:rPr>
        <w:t xml:space="preserve"> </w:t>
      </w:r>
    </w:p>
    <w:bookmarkStart w:id="202" w:name="fn90"/>
    <w:bookmarkEnd w:id="202"/>
    <w:p>
      <w:pPr>
        <w:numPr>
          <w:ilvl w:val="0"/>
          <w:numId w:val="17"/>
        </w:numPr>
        <w:spacing w:line="360" w:after="210" w:lineRule="auto"/>
      </w:pPr>
      <w:hyperlink r:id="rId110">
        <w:r>
          <w:rPr>
            <w:rFonts w:eastAsia="inter" w:cs="inter" w:ascii="inter" w:hAnsi="inter"/>
            <w:color w:val="#000"/>
            <w:sz w:val="18"/>
            <w:u w:val="single"/>
          </w:rPr>
          <w:t xml:space="preserve">https://pubs.acs.org/doi/pdf/10.1021/acsami.4c04486</w:t>
        </w:r>
      </w:hyperlink>
      <w:r>
        <w:rPr>
          <w:rFonts w:eastAsia="inter" w:cs="inter" w:ascii="inter" w:hAnsi="inter"/>
          <w:color w:val="000000"/>
          <w:sz w:val="18"/>
        </w:rPr>
        <w:t xml:space="preserve"> </w:t>
      </w:r>
    </w:p>
    <w:bookmarkStart w:id="203" w:name="fn91"/>
    <w:bookmarkEnd w:id="203"/>
    <w:p>
      <w:pPr>
        <w:numPr>
          <w:ilvl w:val="0"/>
          <w:numId w:val="17"/>
        </w:numPr>
        <w:spacing w:line="360" w:after="210" w:lineRule="auto"/>
      </w:pPr>
      <w:hyperlink r:id="rId111">
        <w:r>
          <w:rPr>
            <w:rFonts w:eastAsia="inter" w:cs="inter" w:ascii="inter" w:hAnsi="inter"/>
            <w:color w:val="#000"/>
            <w:sz w:val="18"/>
            <w:u w:val="single"/>
          </w:rPr>
          <w:t xml:space="preserve">https://www.mdpi.com/2076-328X/15/4/491</w:t>
        </w:r>
      </w:hyperlink>
      <w:r>
        <w:rPr>
          <w:rFonts w:eastAsia="inter" w:cs="inter" w:ascii="inter" w:hAnsi="inter"/>
          <w:color w:val="000000"/>
          <w:sz w:val="18"/>
        </w:rPr>
        <w:t xml:space="preserve"> </w:t>
      </w:r>
    </w:p>
    <w:bookmarkStart w:id="204" w:name="fn92"/>
    <w:bookmarkEnd w:id="204"/>
    <w:p>
      <w:pPr>
        <w:numPr>
          <w:ilvl w:val="0"/>
          <w:numId w:val="17"/>
        </w:numPr>
        <w:spacing w:line="360" w:after="210" w:lineRule="auto"/>
      </w:pPr>
      <w:hyperlink r:id="rId112">
        <w:r>
          <w:rPr>
            <w:rFonts w:eastAsia="inter" w:cs="inter" w:ascii="inter" w:hAnsi="inter"/>
            <w:color w:val="#000"/>
            <w:sz w:val="18"/>
            <w:u w:val="single"/>
          </w:rPr>
          <w:t xml:space="preserve">https://arxiv.org/pdf/2402.17082.pdf</w:t>
        </w:r>
      </w:hyperlink>
      <w:r>
        <w:rPr>
          <w:rFonts w:eastAsia="inter" w:cs="inter" w:ascii="inter" w:hAnsi="inter"/>
          <w:color w:val="000000"/>
          <w:sz w:val="18"/>
        </w:rPr>
        <w:t xml:space="preserve"> </w:t>
      </w:r>
    </w:p>
    <w:bookmarkStart w:id="205" w:name="fn93"/>
    <w:bookmarkEnd w:id="205"/>
    <w:p>
      <w:pPr>
        <w:numPr>
          <w:ilvl w:val="0"/>
          <w:numId w:val="17"/>
        </w:numPr>
        <w:spacing w:line="360" w:after="210" w:lineRule="auto"/>
      </w:pPr>
      <w:hyperlink r:id="rId113">
        <w:r>
          <w:rPr>
            <w:rFonts w:eastAsia="inter" w:cs="inter" w:ascii="inter" w:hAnsi="inter"/>
            <w:color w:val="#000"/>
            <w:sz w:val="18"/>
            <w:u w:val="single"/>
          </w:rPr>
          <w:t xml:space="preserve">https://www.mdpi.com/2199-8531/7/1/71/pdf</w:t>
        </w:r>
      </w:hyperlink>
      <w:r>
        <w:rPr>
          <w:rFonts w:eastAsia="inter" w:cs="inter" w:ascii="inter" w:hAnsi="inter"/>
          <w:color w:val="000000"/>
          <w:sz w:val="18"/>
        </w:rPr>
        <w:t xml:space="preserve"> </w:t>
      </w:r>
    </w:p>
    <w:bookmarkStart w:id="206" w:name="fn94"/>
    <w:bookmarkEnd w:id="206"/>
    <w:p>
      <w:pPr>
        <w:numPr>
          <w:ilvl w:val="0"/>
          <w:numId w:val="17"/>
        </w:numPr>
        <w:spacing w:line="360" w:after="210" w:lineRule="auto"/>
      </w:pPr>
      <w:hyperlink r:id="rId114">
        <w:r>
          <w:rPr>
            <w:rFonts w:eastAsia="inter" w:cs="inter" w:ascii="inter" w:hAnsi="inter"/>
            <w:color w:val="#000"/>
            <w:sz w:val="18"/>
            <w:u w:val="single"/>
          </w:rPr>
          <w:t xml:space="preserve">https://dl.acm.org/doi/pdf/10.1145/3613904.3642191</w:t>
        </w:r>
      </w:hyperlink>
      <w:r>
        <w:rPr>
          <w:rFonts w:eastAsia="inter" w:cs="inter" w:ascii="inter" w:hAnsi="inter"/>
          <w:color w:val="000000"/>
          <w:sz w:val="18"/>
        </w:rPr>
        <w:t xml:space="preserve"> </w:t>
      </w:r>
    </w:p>
    <w:bookmarkStart w:id="207" w:name="fn95"/>
    <w:bookmarkEnd w:id="207"/>
    <w:p>
      <w:pPr>
        <w:numPr>
          <w:ilvl w:val="0"/>
          <w:numId w:val="17"/>
        </w:numPr>
        <w:spacing w:line="360" w:after="210" w:lineRule="auto"/>
      </w:pPr>
      <w:hyperlink r:id="rId115">
        <w:r>
          <w:rPr>
            <w:rFonts w:eastAsia="inter" w:cs="inter" w:ascii="inter" w:hAnsi="inter"/>
            <w:color w:val="#000"/>
            <w:sz w:val="18"/>
            <w:u w:val="single"/>
          </w:rPr>
          <w:t xml:space="preserve">https://www.ey.com/en_gl/wavespace</w:t>
        </w:r>
      </w:hyperlink>
      <w:r>
        <w:rPr>
          <w:rFonts w:eastAsia="inter" w:cs="inter" w:ascii="inter" w:hAnsi="inter"/>
          <w:color w:val="000000"/>
          <w:sz w:val="18"/>
        </w:rPr>
        <w:t xml:space="preserve"> </w:t>
      </w:r>
    </w:p>
    <w:bookmarkStart w:id="208" w:name="fn96"/>
    <w:bookmarkEnd w:id="208"/>
    <w:p>
      <w:pPr>
        <w:numPr>
          <w:ilvl w:val="0"/>
          <w:numId w:val="17"/>
        </w:numPr>
        <w:spacing w:line="360" w:after="210" w:lineRule="auto"/>
      </w:pPr>
      <w:hyperlink r:id="rId116">
        <w:r>
          <w:rPr>
            <w:rFonts w:eastAsia="inter" w:cs="inter" w:ascii="inter" w:hAnsi="inter"/>
            <w:color w:val="#000"/>
            <w:sz w:val="18"/>
            <w:u w:val="single"/>
          </w:rPr>
          <w:t xml:space="preserve">https://ey.co.il/סוכנים-רובוטים-ובני-אדם-קשר-עם-הלקוח-ב/</w:t>
        </w:r>
      </w:hyperlink>
      <w:r>
        <w:rPr>
          <w:rFonts w:eastAsia="inter" w:cs="inter" w:ascii="inter" w:hAnsi="inter"/>
          <w:color w:val="000000"/>
          <w:sz w:val="18"/>
        </w:rPr>
        <w:t xml:space="preserve"> </w:t>
      </w:r>
    </w:p>
    <w:bookmarkStart w:id="209" w:name="fn97"/>
    <w:bookmarkEnd w:id="209"/>
    <w:p>
      <w:pPr>
        <w:numPr>
          <w:ilvl w:val="0"/>
          <w:numId w:val="17"/>
        </w:numPr>
        <w:spacing w:line="360" w:after="210" w:lineRule="auto"/>
      </w:pPr>
      <w:hyperlink r:id="rId117">
        <w:r>
          <w:rPr>
            <w:rFonts w:eastAsia="inter" w:cs="inter" w:ascii="inter" w:hAnsi="inter"/>
            <w:color w:val="#000"/>
            <w:sz w:val="18"/>
            <w:u w:val="single"/>
          </w:rPr>
          <w:t xml:space="preserve">https://www.ey.com/en_us/locations/israel</w:t>
        </w:r>
      </w:hyperlink>
      <w:r>
        <w:rPr>
          <w:rFonts w:eastAsia="inter" w:cs="inter" w:ascii="inter" w:hAnsi="inter"/>
          <w:color w:val="000000"/>
          <w:sz w:val="18"/>
        </w:rPr>
        <w:t xml:space="preserve"> </w:t>
      </w:r>
    </w:p>
    <w:bookmarkStart w:id="210" w:name="fn98"/>
    <w:bookmarkEnd w:id="210"/>
    <w:p>
      <w:pPr>
        <w:numPr>
          <w:ilvl w:val="0"/>
          <w:numId w:val="17"/>
        </w:numPr>
        <w:spacing w:line="360" w:after="210" w:lineRule="auto"/>
      </w:pPr>
      <w:hyperlink r:id="rId118">
        <w:r>
          <w:rPr>
            <w:rFonts w:eastAsia="inter" w:cs="inter" w:ascii="inter" w:hAnsi="inter"/>
            <w:color w:val="#000"/>
            <w:sz w:val="18"/>
            <w:u w:val="single"/>
          </w:rPr>
          <w:t xml:space="preserve">https://www.sfi.ie/research-news/news/ey-launches-new-ai/</w:t>
        </w:r>
      </w:hyperlink>
      <w:r>
        <w:rPr>
          <w:rFonts w:eastAsia="inter" w:cs="inter" w:ascii="inter" w:hAnsi="inter"/>
          <w:color w:val="000000"/>
          <w:sz w:val="18"/>
        </w:rPr>
        <w:t xml:space="preserve"> </w:t>
      </w:r>
    </w:p>
    <w:bookmarkStart w:id="211" w:name="fn99"/>
    <w:bookmarkEnd w:id="211"/>
    <w:p>
      <w:pPr>
        <w:numPr>
          <w:ilvl w:val="0"/>
          <w:numId w:val="17"/>
        </w:numPr>
        <w:spacing w:line="360" w:after="210" w:lineRule="auto"/>
      </w:pPr>
      <w:hyperlink r:id="rId119">
        <w:r>
          <w:rPr>
            <w:rFonts w:eastAsia="inter" w:cs="inter" w:ascii="inter" w:hAnsi="inter"/>
            <w:color w:val="#000"/>
            <w:sz w:val="18"/>
            <w:u w:val="single"/>
          </w:rPr>
          <w:t xml:space="preserve">https://www.ey.com/en_gl/alliances/microsoft</w:t>
        </w:r>
      </w:hyperlink>
      <w:r>
        <w:rPr>
          <w:rFonts w:eastAsia="inter" w:cs="inter" w:ascii="inter" w:hAnsi="inter"/>
          <w:color w:val="000000"/>
          <w:sz w:val="18"/>
        </w:rPr>
        <w:t xml:space="preserve"> </w:t>
      </w:r>
    </w:p>
    <w:bookmarkStart w:id="212" w:name="fn100"/>
    <w:bookmarkEnd w:id="212"/>
    <w:p>
      <w:pPr>
        <w:numPr>
          <w:ilvl w:val="0"/>
          <w:numId w:val="17"/>
        </w:numPr>
        <w:spacing w:line="360" w:after="210" w:lineRule="auto"/>
      </w:pPr>
      <w:hyperlink r:id="rId120">
        <w:r>
          <w:rPr>
            <w:rFonts w:eastAsia="inter" w:cs="inter" w:ascii="inter" w:hAnsi="inter"/>
            <w:color w:val="#000"/>
            <w:sz w:val="18"/>
            <w:u w:val="single"/>
          </w:rPr>
          <w:t xml:space="preserve">https://www.prnewswire.com/news-releases/ey-and-microsoft-announce-expansion-of-collaboration-to-drive-a-us15b-growth-opportunity-and-technology-innovation-across-industries-301352720.html</w:t>
        </w:r>
      </w:hyperlink>
      <w:r>
        <w:rPr>
          <w:rFonts w:eastAsia="inter" w:cs="inter" w:ascii="inter" w:hAnsi="inter"/>
          <w:color w:val="000000"/>
          <w:sz w:val="18"/>
        </w:rPr>
        <w:t xml:space="preserve"> </w:t>
      </w:r>
    </w:p>
    <w:bookmarkStart w:id="213" w:name="fn101"/>
    <w:bookmarkEnd w:id="213"/>
    <w:p>
      <w:pPr>
        <w:numPr>
          <w:ilvl w:val="0"/>
          <w:numId w:val="17"/>
        </w:numPr>
        <w:spacing w:line="360" w:after="210" w:lineRule="auto"/>
      </w:pPr>
      <w:hyperlink r:id="rId121">
        <w:r>
          <w:rPr>
            <w:rFonts w:eastAsia="inter" w:cs="inter" w:ascii="inter" w:hAnsi="inter"/>
            <w:color w:val="#000"/>
            <w:sz w:val="18"/>
            <w:u w:val="single"/>
          </w:rPr>
          <w:t xml:space="preserve">https://www.ey.com/en_us/israel</w:t>
        </w:r>
      </w:hyperlink>
      <w:r>
        <w:rPr>
          <w:rFonts w:eastAsia="inter" w:cs="inter" w:ascii="inter" w:hAnsi="inter"/>
          <w:color w:val="000000"/>
          <w:sz w:val="18"/>
        </w:rPr>
        <w:t xml:space="preserve"> </w:t>
      </w:r>
    </w:p>
    <w:bookmarkStart w:id="214" w:name="fn102"/>
    <w:bookmarkEnd w:id="214"/>
    <w:p>
      <w:pPr>
        <w:numPr>
          <w:ilvl w:val="0"/>
          <w:numId w:val="17"/>
        </w:numPr>
        <w:spacing w:line="360" w:after="210" w:lineRule="auto"/>
      </w:pPr>
      <w:hyperlink r:id="rId122">
        <w:r>
          <w:rPr>
            <w:rFonts w:eastAsia="inter" w:cs="inter" w:ascii="inter" w:hAnsi="inter"/>
            <w:color w:val="#000"/>
            <w:sz w:val="18"/>
            <w:u w:val="single"/>
          </w:rPr>
          <w:t xml:space="preserve">https://partner.microsoft.com/he-il/blog/article/how-microsoft-and-service-partners-use-ai-to-enable-customer-transformation</w:t>
        </w:r>
      </w:hyperlink>
      <w:r>
        <w:rPr>
          <w:rFonts w:eastAsia="inter" w:cs="inter" w:ascii="inter" w:hAnsi="inter"/>
          <w:color w:val="000000"/>
          <w:sz w:val="18"/>
        </w:rPr>
        <w:t xml:space="preserve"> </w:t>
      </w:r>
    </w:p>
    <w:bookmarkStart w:id="215" w:name="fn103"/>
    <w:bookmarkEnd w:id="215"/>
    <w:p>
      <w:pPr>
        <w:numPr>
          <w:ilvl w:val="0"/>
          <w:numId w:val="17"/>
        </w:numPr>
        <w:spacing w:line="360" w:after="210" w:lineRule="auto"/>
      </w:pPr>
      <w:hyperlink r:id="rId123">
        <w:r>
          <w:rPr>
            <w:rFonts w:eastAsia="inter" w:cs="inter" w:ascii="inter" w:hAnsi="inter"/>
            <w:color w:val="#000"/>
            <w:sz w:val="18"/>
            <w:u w:val="single"/>
          </w:rPr>
          <w:t xml:space="preserve">https://ijsra.net/sites/default/files/IJSRA-2024-0639.pdf</w:t>
        </w:r>
      </w:hyperlink>
      <w:r>
        <w:rPr>
          <w:rFonts w:eastAsia="inter" w:cs="inter" w:ascii="inter" w:hAnsi="inter"/>
          <w:color w:val="000000"/>
          <w:sz w:val="18"/>
        </w:rPr>
        <w:t xml:space="preserve"> </w:t>
      </w:r>
    </w:p>
    <w:bookmarkStart w:id="216" w:name="fn104"/>
    <w:bookmarkEnd w:id="216"/>
    <w:p>
      <w:pPr>
        <w:numPr>
          <w:ilvl w:val="0"/>
          <w:numId w:val="17"/>
        </w:numPr>
        <w:spacing w:line="360" w:after="210" w:lineRule="auto"/>
      </w:pPr>
      <w:hyperlink r:id="rId124">
        <w:r>
          <w:rPr>
            <w:rFonts w:eastAsia="inter" w:cs="inter" w:ascii="inter" w:hAnsi="inter"/>
            <w:color w:val="#000"/>
            <w:sz w:val="18"/>
            <w:u w:val="single"/>
          </w:rPr>
          <w:t xml:space="preserve">http://arxiv.org/pdf/2410.01818.pdf</w:t>
        </w:r>
      </w:hyperlink>
      <w:r>
        <w:rPr>
          <w:rFonts w:eastAsia="inter" w:cs="inter" w:ascii="inter" w:hAnsi="inter"/>
          <w:color w:val="000000"/>
          <w:sz w:val="18"/>
        </w:rPr>
        <w:t xml:space="preserve"> </w:t>
      </w:r>
    </w:p>
    <w:bookmarkStart w:id="217" w:name="fn105"/>
    <w:bookmarkEnd w:id="217"/>
    <w:p>
      <w:pPr>
        <w:numPr>
          <w:ilvl w:val="0"/>
          <w:numId w:val="17"/>
        </w:numPr>
        <w:spacing w:line="360" w:after="210" w:lineRule="auto"/>
      </w:pPr>
      <w:hyperlink r:id="rId125">
        <w:r>
          <w:rPr>
            <w:rFonts w:eastAsia="inter" w:cs="inter" w:ascii="inter" w:hAnsi="inter"/>
            <w:color w:val="#000"/>
            <w:sz w:val="18"/>
            <w:u w:val="single"/>
          </w:rPr>
          <w:t xml:space="preserve">https://www.ijfmr.com/papers/2024/1/14015.pdf</w:t>
        </w:r>
      </w:hyperlink>
      <w:r>
        <w:rPr>
          <w:rFonts w:eastAsia="inter" w:cs="inter" w:ascii="inter" w:hAnsi="inter"/>
          <w:color w:val="000000"/>
          <w:sz w:val="18"/>
        </w:rPr>
        <w:t xml:space="preserve"> </w:t>
      </w:r>
    </w:p>
    <w:bookmarkStart w:id="218" w:name="fn106"/>
    <w:bookmarkEnd w:id="218"/>
    <w:p>
      <w:pPr>
        <w:numPr>
          <w:ilvl w:val="0"/>
          <w:numId w:val="17"/>
        </w:numPr>
        <w:spacing w:line="360" w:after="210" w:lineRule="auto"/>
      </w:pPr>
      <w:hyperlink r:id="rId126">
        <w:r>
          <w:rPr>
            <w:rFonts w:eastAsia="inter" w:cs="inter" w:ascii="inter" w:hAnsi="inter"/>
            <w:color w:val="#000"/>
            <w:sz w:val="18"/>
            <w:u w:val="single"/>
          </w:rPr>
          <w:t xml:space="preserve">https://www.tandfonline.com/doi/pdf/10.1080/17521440.2020.1760454?needAccess=true</w:t>
        </w:r>
      </w:hyperlink>
      <w:r>
        <w:rPr>
          <w:rFonts w:eastAsia="inter" w:cs="inter" w:ascii="inter" w:hAnsi="inter"/>
          <w:color w:val="000000"/>
          <w:sz w:val="18"/>
        </w:rPr>
        <w:t xml:space="preserve"> </w:t>
      </w:r>
    </w:p>
    <w:bookmarkStart w:id="219" w:name="fn107"/>
    <w:bookmarkEnd w:id="219"/>
    <w:p>
      <w:pPr>
        <w:numPr>
          <w:ilvl w:val="0"/>
          <w:numId w:val="17"/>
        </w:numPr>
        <w:spacing w:line="360" w:after="210" w:lineRule="auto"/>
      </w:pPr>
      <w:hyperlink r:id="rId127">
        <w:r>
          <w:rPr>
            <w:rFonts w:eastAsia="inter" w:cs="inter" w:ascii="inter" w:hAnsi="inter"/>
            <w:color w:val="#000"/>
            <w:sz w:val="18"/>
            <w:u w:val="single"/>
          </w:rPr>
          <w:t xml:space="preserve">https://www.tandfonline.com/doi/full/10.1080/23311975.2024.2404484</w:t>
        </w:r>
      </w:hyperlink>
      <w:r>
        <w:rPr>
          <w:rFonts w:eastAsia="inter" w:cs="inter" w:ascii="inter" w:hAnsi="inter"/>
          <w:color w:val="000000"/>
          <w:sz w:val="18"/>
        </w:rPr>
        <w:t xml:space="preserve"> </w:t>
      </w:r>
    </w:p>
    <w:bookmarkStart w:id="220" w:name="fn108"/>
    <w:bookmarkEnd w:id="220"/>
    <w:p>
      <w:pPr>
        <w:numPr>
          <w:ilvl w:val="0"/>
          <w:numId w:val="17"/>
        </w:numPr>
        <w:spacing w:line="360" w:after="210" w:lineRule="auto"/>
      </w:pPr>
      <w:hyperlink r:id="rId128">
        <w:r>
          <w:rPr>
            <w:rFonts w:eastAsia="inter" w:cs="inter" w:ascii="inter" w:hAnsi="inter"/>
            <w:color w:val="#000"/>
            <w:sz w:val="18"/>
            <w:u w:val="single"/>
          </w:rPr>
          <w:t xml:space="preserve">https://www.tandfonline.com/doi/pdf/10.1080/23322039.2021.2023262?needAccess=true</w:t>
        </w:r>
      </w:hyperlink>
      <w:r>
        <w:rPr>
          <w:rFonts w:eastAsia="inter" w:cs="inter" w:ascii="inter" w:hAnsi="inter"/>
          <w:color w:val="000000"/>
          <w:sz w:val="18"/>
        </w:rPr>
        <w:t xml:space="preserve"> </w:t>
      </w:r>
    </w:p>
    <w:bookmarkStart w:id="221" w:name="fn109"/>
    <w:bookmarkEnd w:id="221"/>
    <w:p>
      <w:pPr>
        <w:numPr>
          <w:ilvl w:val="0"/>
          <w:numId w:val="17"/>
        </w:numPr>
        <w:spacing w:line="360" w:after="210" w:lineRule="auto"/>
      </w:pPr>
      <w:hyperlink r:id="rId129">
        <w:r>
          <w:rPr>
            <w:rFonts w:eastAsia="inter" w:cs="inter" w:ascii="inter" w:hAnsi="inter"/>
            <w:color w:val="#000"/>
            <w:sz w:val="18"/>
            <w:u w:val="single"/>
          </w:rPr>
          <w:t xml:space="preserve">http://arxiv.org/pdf/2410.15951.pdf</w:t>
        </w:r>
      </w:hyperlink>
      <w:r>
        <w:rPr>
          <w:rFonts w:eastAsia="inter" w:cs="inter" w:ascii="inter" w:hAnsi="inter"/>
          <w:color w:val="000000"/>
          <w:sz w:val="18"/>
        </w:rPr>
        <w:t xml:space="preserve"> </w:t>
      </w:r>
    </w:p>
    <w:bookmarkStart w:id="222" w:name="fn110"/>
    <w:bookmarkEnd w:id="222"/>
    <w:p>
      <w:pPr>
        <w:numPr>
          <w:ilvl w:val="0"/>
          <w:numId w:val="17"/>
        </w:numPr>
        <w:spacing w:line="360" w:after="210" w:lineRule="auto"/>
      </w:pPr>
      <w:hyperlink r:id="rId130">
        <w:r>
          <w:rPr>
            <w:rFonts w:eastAsia="inter" w:cs="inter" w:ascii="inter" w:hAnsi="inter"/>
            <w:color w:val="#000"/>
            <w:sz w:val="18"/>
            <w:u w:val="single"/>
          </w:rPr>
          <w:t xml:space="preserve">https://downloads.hindawi.com/journals/wcmc/2022/7596094.pdf</w:t>
        </w:r>
      </w:hyperlink>
      <w:r>
        <w:rPr>
          <w:rFonts w:eastAsia="inter" w:cs="inter" w:ascii="inter" w:hAnsi="inter"/>
          <w:color w:val="000000"/>
          <w:sz w:val="18"/>
        </w:rPr>
        <w:t xml:space="preserve"> </w:t>
      </w:r>
    </w:p>
    <w:bookmarkStart w:id="223" w:name="fn111"/>
    <w:bookmarkEnd w:id="223"/>
    <w:p>
      <w:pPr>
        <w:numPr>
          <w:ilvl w:val="0"/>
          <w:numId w:val="17"/>
        </w:numPr>
        <w:spacing w:line="360" w:after="210" w:lineRule="auto"/>
      </w:pPr>
      <w:hyperlink r:id="rId131">
        <w:r>
          <w:rPr>
            <w:rFonts w:eastAsia="inter" w:cs="inter" w:ascii="inter" w:hAnsi="inter"/>
            <w:color w:val="#000"/>
            <w:sz w:val="18"/>
            <w:u w:val="single"/>
          </w:rPr>
          <w:t xml:space="preserve">https://ey.co.il/מהפכת-ה-agentic-ai-והמערכת-הבנקאית/</w:t>
        </w:r>
      </w:hyperlink>
      <w:r>
        <w:rPr>
          <w:rFonts w:eastAsia="inter" w:cs="inter" w:ascii="inter" w:hAnsi="inter"/>
          <w:color w:val="000000"/>
          <w:sz w:val="18"/>
        </w:rPr>
        <w:t xml:space="preserve"> </w:t>
      </w:r>
    </w:p>
    <w:bookmarkStart w:id="224" w:name="fn112"/>
    <w:bookmarkEnd w:id="224"/>
    <w:p>
      <w:pPr>
        <w:numPr>
          <w:ilvl w:val="0"/>
          <w:numId w:val="17"/>
        </w:numPr>
        <w:spacing w:line="360" w:after="210" w:lineRule="auto"/>
      </w:pPr>
      <w:hyperlink r:id="rId132">
        <w:r>
          <w:rPr>
            <w:rFonts w:eastAsia="inter" w:cs="inter" w:ascii="inter" w:hAnsi="inter"/>
            <w:color w:val="#000"/>
            <w:sz w:val="18"/>
            <w:u w:val="single"/>
          </w:rPr>
          <w:t xml:space="preserve">https://www.linkedin.com/posts/amir-rosen_מהפכת-ה-ai-מגיעה-ללאומי-הבנק-מבצע-שורה-של-activity-7408944978762100736-Av0A</w:t>
        </w:r>
      </w:hyperlink>
      <w:r>
        <w:rPr>
          <w:rFonts w:eastAsia="inter" w:cs="inter" w:ascii="inter" w:hAnsi="inter"/>
          <w:color w:val="000000"/>
          <w:sz w:val="18"/>
        </w:rPr>
        <w:t xml:space="preserve"> </w:t>
      </w:r>
    </w:p>
    <w:bookmarkStart w:id="225" w:name="fn113"/>
    <w:bookmarkEnd w:id="225"/>
    <w:p>
      <w:pPr>
        <w:numPr>
          <w:ilvl w:val="0"/>
          <w:numId w:val="17"/>
        </w:numPr>
        <w:spacing w:line="360" w:after="210" w:lineRule="auto"/>
      </w:pPr>
      <w:hyperlink r:id="rId133">
        <w:r>
          <w:rPr>
            <w:rFonts w:eastAsia="inter" w:cs="inter" w:ascii="inter" w:hAnsi="inter"/>
            <w:color w:val="#000"/>
            <w:sz w:val="18"/>
            <w:u w:val="single"/>
          </w:rPr>
          <w:t xml:space="preserve">https://www.leumi.co.il/leumi-hebrew/s3fs-public/complex_link_file/11-24/Imm_08.10.2024_acc_6311.pdf</w:t>
        </w:r>
      </w:hyperlink>
      <w:r>
        <w:rPr>
          <w:rFonts w:eastAsia="inter" w:cs="inter" w:ascii="inter" w:hAnsi="inter"/>
          <w:color w:val="000000"/>
          <w:sz w:val="18"/>
        </w:rPr>
        <w:t xml:space="preserve"> </w:t>
      </w:r>
    </w:p>
    <w:bookmarkStart w:id="226" w:name="fn114"/>
    <w:bookmarkEnd w:id="226"/>
    <w:p>
      <w:pPr>
        <w:numPr>
          <w:ilvl w:val="0"/>
          <w:numId w:val="17"/>
        </w:numPr>
        <w:spacing w:line="360" w:after="210" w:lineRule="auto"/>
      </w:pPr>
      <w:hyperlink r:id="rId134">
        <w:r>
          <w:rPr>
            <w:rFonts w:eastAsia="inter" w:cs="inter" w:ascii="inter" w:hAnsi="inter"/>
            <w:color w:val="#000"/>
            <w:sz w:val="18"/>
            <w:u w:val="single"/>
          </w:rPr>
          <w:t xml:space="preserve">https://www.linkedin.com/posts/eyalefrat_הבינה-המלאכותית-מתחילה-להפעיל-שיקול-דעת-activity-7395863276821057536-n9Il</w:t>
        </w:r>
      </w:hyperlink>
      <w:r>
        <w:rPr>
          <w:rFonts w:eastAsia="inter" w:cs="inter" w:ascii="inter" w:hAnsi="inter"/>
          <w:color w:val="000000"/>
          <w:sz w:val="18"/>
        </w:rPr>
        <w:t xml:space="preserve"> </w:t>
      </w:r>
    </w:p>
    <w:bookmarkStart w:id="227" w:name="fn115"/>
    <w:bookmarkEnd w:id="227"/>
    <w:p>
      <w:pPr>
        <w:numPr>
          <w:ilvl w:val="0"/>
          <w:numId w:val="17"/>
        </w:numPr>
        <w:spacing w:line="360" w:after="210" w:lineRule="auto"/>
      </w:pPr>
      <w:hyperlink r:id="rId135">
        <w:r>
          <w:rPr>
            <w:rFonts w:eastAsia="inter" w:cs="inter" w:ascii="inter" w:hAnsi="inter"/>
            <w:color w:val="#000"/>
            <w:sz w:val="18"/>
            <w:u w:val="single"/>
          </w:rPr>
          <w:t xml:space="preserve">https://startupnationcentral.org/hub/news/israeli-tech-sees-record-breaking-71b-in-mas-in-2025-despite-decline-in-funding-rounds-in-q3-2025/</w:t>
        </w:r>
      </w:hyperlink>
      <w:r>
        <w:rPr>
          <w:rFonts w:eastAsia="inter" w:cs="inter" w:ascii="inter" w:hAnsi="inter"/>
          <w:color w:val="000000"/>
          <w:sz w:val="18"/>
        </w:rPr>
        <w:t xml:space="preserve"> </w:t>
      </w:r>
    </w:p>
    <w:bookmarkStart w:id="228" w:name="fn116"/>
    <w:bookmarkEnd w:id="228"/>
    <w:p>
      <w:pPr>
        <w:numPr>
          <w:ilvl w:val="0"/>
          <w:numId w:val="17"/>
        </w:numPr>
        <w:spacing w:line="360" w:after="210" w:lineRule="auto"/>
      </w:pPr>
      <w:hyperlink r:id="rId136">
        <w:r>
          <w:rPr>
            <w:rFonts w:eastAsia="inter" w:cs="inter" w:ascii="inter" w:hAnsi="inter"/>
            <w:color w:val="#000"/>
            <w:sz w:val="18"/>
            <w:u w:val="single"/>
          </w:rPr>
          <w:t xml:space="preserve">https://www.calcalistech.com/ctechnews/article/hkzohvfnbx</w:t>
        </w:r>
      </w:hyperlink>
      <w:r>
        <w:rPr>
          <w:rFonts w:eastAsia="inter" w:cs="inter" w:ascii="inter" w:hAnsi="inter"/>
          <w:color w:val="000000"/>
          <w:sz w:val="18"/>
        </w:rPr>
        <w:t xml:space="preserve"> </w:t>
      </w:r>
    </w:p>
    <w:bookmarkStart w:id="229" w:name="fn117"/>
    <w:bookmarkEnd w:id="229"/>
    <w:p>
      <w:pPr>
        <w:numPr>
          <w:ilvl w:val="0"/>
          <w:numId w:val="17"/>
        </w:numPr>
        <w:spacing w:line="360" w:after="210" w:lineRule="auto"/>
      </w:pPr>
      <w:hyperlink r:id="rId137">
        <w:r>
          <w:rPr>
            <w:rFonts w:eastAsia="inter" w:cs="inter" w:ascii="inter" w:hAnsi="inter"/>
            <w:color w:val="#000"/>
            <w:sz w:val="18"/>
            <w:u w:val="single"/>
          </w:rPr>
          <w:t xml:space="preserve">https://ey.co.il/wp-content/uploads/2025/10/Transparency-Report-2025-clean-October-23-2025-Israel-JV.pdf</w:t>
        </w:r>
      </w:hyperlink>
      <w:r>
        <w:rPr>
          <w:rFonts w:eastAsia="inter" w:cs="inter" w:ascii="inter" w:hAnsi="inter"/>
          <w:color w:val="000000"/>
          <w:sz w:val="18"/>
        </w:rPr>
        <w:t xml:space="preserve"> </w:t>
      </w:r>
    </w:p>
    <w:bookmarkStart w:id="230" w:name="fn118"/>
    <w:bookmarkEnd w:id="230"/>
    <w:p>
      <w:pPr>
        <w:numPr>
          <w:ilvl w:val="0"/>
          <w:numId w:val="17"/>
        </w:numPr>
        <w:spacing w:line="360" w:after="210" w:lineRule="auto"/>
      </w:pPr>
      <w:hyperlink r:id="rId138">
        <w:r>
          <w:rPr>
            <w:rFonts w:eastAsia="inter" w:cs="inter" w:ascii="inter" w:hAnsi="inter"/>
            <w:color w:val="#000"/>
            <w:sz w:val="18"/>
            <w:u w:val="single"/>
          </w:rPr>
          <w:t xml:space="preserve">https://www.timesofisrael.com/despite-war-tech-exits-soared-to-59-billion-in-2025-thanks-to-wiz-deal-report/</w:t>
        </w:r>
      </w:hyperlink>
      <w:r>
        <w:rPr>
          <w:rFonts w:eastAsia="inter" w:cs="inter" w:ascii="inter" w:hAnsi="inter"/>
          <w:color w:val="000000"/>
          <w:sz w:val="18"/>
        </w:rPr>
        <w:t xml:space="preserve"> </w:t>
      </w:r>
    </w:p>
    <w:bookmarkStart w:id="231" w:name="fn119"/>
    <w:bookmarkEnd w:id="231"/>
    <w:p>
      <w:pPr>
        <w:numPr>
          <w:ilvl w:val="0"/>
          <w:numId w:val="17"/>
        </w:numPr>
        <w:spacing w:line="360" w:after="210" w:lineRule="auto"/>
      </w:pPr>
      <w:hyperlink r:id="rId139">
        <w:r>
          <w:rPr>
            <w:rFonts w:eastAsia="inter" w:cs="inter" w:ascii="inter" w:hAnsi="inter"/>
            <w:color w:val="#000"/>
            <w:sz w:val="18"/>
            <w:u w:val="single"/>
          </w:rPr>
          <w:t xml:space="preserve">https://ey.co.il/טרנספורמציה-עסקית-הלכה-ומעשה/</w:t>
        </w:r>
      </w:hyperlink>
      <w:r>
        <w:rPr>
          <w:rFonts w:eastAsia="inter" w:cs="inter" w:ascii="inter" w:hAnsi="inter"/>
          <w:color w:val="000000"/>
          <w:sz w:val="18"/>
        </w:rPr>
        <w:t xml:space="preserve"> </w:t>
      </w:r>
    </w:p>
    <w:bookmarkStart w:id="232" w:name="fn120"/>
    <w:bookmarkEnd w:id="232"/>
    <w:p>
      <w:pPr>
        <w:numPr>
          <w:ilvl w:val="0"/>
          <w:numId w:val="17"/>
        </w:numPr>
        <w:spacing w:line="360" w:after="210" w:lineRule="auto"/>
      </w:pPr>
      <w:hyperlink r:id="rId140">
        <w:r>
          <w:rPr>
            <w:rFonts w:eastAsia="inter" w:cs="inter" w:ascii="inter" w:hAnsi="inter"/>
            <w:color w:val="#000"/>
            <w:sz w:val="18"/>
            <w:u w:val="single"/>
          </w:rPr>
          <w:t xml:space="preserve">https://ey.co.il/work-with-us/</w:t>
        </w:r>
      </w:hyperlink>
      <w:r>
        <w:rPr>
          <w:rFonts w:eastAsia="inter" w:cs="inter" w:ascii="inter" w:hAnsi="inter"/>
          <w:color w:val="000000"/>
          <w:sz w:val="18"/>
        </w:rPr>
        <w:t xml:space="preserve"> </w:t>
      </w:r>
    </w:p>
    <w:bookmarkStart w:id="233" w:name="fn121"/>
    <w:bookmarkEnd w:id="233"/>
    <w:p>
      <w:pPr>
        <w:numPr>
          <w:ilvl w:val="0"/>
          <w:numId w:val="17"/>
        </w:numPr>
        <w:spacing w:line="360" w:after="210" w:lineRule="auto"/>
      </w:pPr>
      <w:hyperlink r:id="rId141">
        <w:r>
          <w:rPr>
            <w:rFonts w:eastAsia="inter" w:cs="inter" w:ascii="inter" w:hAnsi="inter"/>
            <w:color w:val="#000"/>
            <w:sz w:val="18"/>
            <w:u w:val="single"/>
          </w:rPr>
          <w:t xml:space="preserve">https://www.semanticscholar.org/paper/740b1fd740fbde2381b4da47c034620f57033ab7</w:t>
        </w:r>
      </w:hyperlink>
      <w:r>
        <w:rPr>
          <w:rFonts w:eastAsia="inter" w:cs="inter" w:ascii="inter" w:hAnsi="inter"/>
          <w:color w:val="000000"/>
          <w:sz w:val="18"/>
        </w:rPr>
        <w:t xml:space="preserve"> </w:t>
      </w:r>
    </w:p>
    <w:bookmarkStart w:id="234" w:name="fn122"/>
    <w:bookmarkEnd w:id="234"/>
    <w:p>
      <w:pPr>
        <w:numPr>
          <w:ilvl w:val="0"/>
          <w:numId w:val="17"/>
        </w:numPr>
        <w:spacing w:line="360" w:after="210" w:lineRule="auto"/>
      </w:pPr>
      <w:hyperlink r:id="rId142">
        <w:r>
          <w:rPr>
            <w:rFonts w:eastAsia="inter" w:cs="inter" w:ascii="inter" w:hAnsi="inter"/>
            <w:color w:val="#000"/>
            <w:sz w:val="18"/>
            <w:u w:val="single"/>
          </w:rPr>
          <w:t xml:space="preserve">https://link.springer.com/10.1007/s11540-021-09497-x</w:t>
        </w:r>
      </w:hyperlink>
      <w:r>
        <w:rPr>
          <w:rFonts w:eastAsia="inter" w:cs="inter" w:ascii="inter" w:hAnsi="inter"/>
          <w:color w:val="000000"/>
          <w:sz w:val="18"/>
        </w:rPr>
        <w:t xml:space="preserve"> </w:t>
      </w:r>
    </w:p>
    <w:bookmarkStart w:id="235" w:name="fn123"/>
    <w:bookmarkEnd w:id="235"/>
    <w:p>
      <w:pPr>
        <w:numPr>
          <w:ilvl w:val="0"/>
          <w:numId w:val="17"/>
        </w:numPr>
        <w:spacing w:line="360" w:after="210" w:lineRule="auto"/>
      </w:pPr>
      <w:hyperlink r:id="rId143">
        <w:r>
          <w:rPr>
            <w:rFonts w:eastAsia="inter" w:cs="inter" w:ascii="inter" w:hAnsi="inter"/>
            <w:color w:val="#000"/>
            <w:sz w:val="18"/>
            <w:u w:val="single"/>
          </w:rPr>
          <w:t xml:space="preserve">https://www.ssrn.com/abstract=3910351</w:t>
        </w:r>
      </w:hyperlink>
      <w:r>
        <w:rPr>
          <w:rFonts w:eastAsia="inter" w:cs="inter" w:ascii="inter" w:hAnsi="inter"/>
          <w:color w:val="000000"/>
          <w:sz w:val="18"/>
        </w:rPr>
        <w:t xml:space="preserve"> </w:t>
      </w:r>
    </w:p>
    <w:bookmarkStart w:id="236" w:name="fn124"/>
    <w:bookmarkEnd w:id="236"/>
    <w:p>
      <w:pPr>
        <w:numPr>
          <w:ilvl w:val="0"/>
          <w:numId w:val="17"/>
        </w:numPr>
        <w:spacing w:line="360" w:after="210" w:lineRule="auto"/>
      </w:pPr>
      <w:hyperlink r:id="rId144">
        <w:r>
          <w:rPr>
            <w:rFonts w:eastAsia="inter" w:cs="inter" w:ascii="inter" w:hAnsi="inter"/>
            <w:color w:val="#000"/>
            <w:sz w:val="18"/>
            <w:u w:val="single"/>
          </w:rPr>
          <w:t xml:space="preserve">https://www.researchprotocols.org/2023/1/e49405/PDF</w:t>
        </w:r>
      </w:hyperlink>
      <w:r>
        <w:rPr>
          <w:rFonts w:eastAsia="inter" w:cs="inter" w:ascii="inter" w:hAnsi="inter"/>
          <w:color w:val="000000"/>
          <w:sz w:val="18"/>
        </w:rPr>
        <w:t xml:space="preserve"> </w:t>
      </w:r>
    </w:p>
    <w:bookmarkStart w:id="237" w:name="fn125"/>
    <w:bookmarkEnd w:id="237"/>
    <w:p>
      <w:pPr>
        <w:numPr>
          <w:ilvl w:val="0"/>
          <w:numId w:val="17"/>
        </w:numPr>
        <w:spacing w:line="360" w:after="210" w:lineRule="auto"/>
      </w:pPr>
      <w:hyperlink r:id="rId145">
        <w:r>
          <w:rPr>
            <w:rFonts w:eastAsia="inter" w:cs="inter" w:ascii="inter" w:hAnsi="inter"/>
            <w:color w:val="#000"/>
            <w:sz w:val="18"/>
            <w:u w:val="single"/>
          </w:rPr>
          <w:t xml:space="preserve">https://www.tandfonline.com/doi/pdf/10.1080/23311886.2023.2293316?needAccess=true</w:t>
        </w:r>
      </w:hyperlink>
      <w:r>
        <w:rPr>
          <w:rFonts w:eastAsia="inter" w:cs="inter" w:ascii="inter" w:hAnsi="inter"/>
          <w:color w:val="000000"/>
          <w:sz w:val="18"/>
        </w:rPr>
        <w:t xml:space="preserve"> </w:t>
      </w:r>
    </w:p>
    <w:bookmarkStart w:id="238" w:name="fn126"/>
    <w:bookmarkEnd w:id="238"/>
    <w:p>
      <w:pPr>
        <w:numPr>
          <w:ilvl w:val="0"/>
          <w:numId w:val="17"/>
        </w:numPr>
        <w:spacing w:line="360" w:after="210" w:lineRule="auto"/>
      </w:pPr>
      <w:hyperlink r:id="rId146">
        <w:r>
          <w:rPr>
            <w:rFonts w:eastAsia="inter" w:cs="inter" w:ascii="inter" w:hAnsi="inter"/>
            <w:color w:val="#000"/>
            <w:sz w:val="18"/>
            <w:u w:val="single"/>
          </w:rPr>
          <w:t xml:space="preserve">https://www.mdpi.com/2199-8531/7/4/208/pdf?version=1634204240</w:t>
        </w:r>
      </w:hyperlink>
      <w:r>
        <w:rPr>
          <w:rFonts w:eastAsia="inter" w:cs="inter" w:ascii="inter" w:hAnsi="inter"/>
          <w:color w:val="000000"/>
          <w:sz w:val="18"/>
        </w:rPr>
        <w:t xml:space="preserve"> </w:t>
      </w:r>
    </w:p>
    <w:bookmarkStart w:id="239" w:name="fn127"/>
    <w:bookmarkEnd w:id="239"/>
    <w:p>
      <w:pPr>
        <w:numPr>
          <w:ilvl w:val="0"/>
          <w:numId w:val="17"/>
        </w:numPr>
        <w:spacing w:line="360" w:after="210" w:lineRule="auto"/>
      </w:pPr>
      <w:hyperlink r:id="rId147">
        <w:r>
          <w:rPr>
            <w:rFonts w:eastAsia="inter" w:cs="inter" w:ascii="inter" w:hAnsi="inter"/>
            <w:color w:val="#000"/>
            <w:sz w:val="18"/>
            <w:u w:val="single"/>
          </w:rPr>
          <w:t xml:space="preserve">https://www.mdpi.com/2673-6470/3/3/11/pdf?version=1688033723</w:t>
        </w:r>
      </w:hyperlink>
      <w:r>
        <w:rPr>
          <w:rFonts w:eastAsia="inter" w:cs="inter" w:ascii="inter" w:hAnsi="inter"/>
          <w:color w:val="000000"/>
          <w:sz w:val="18"/>
        </w:rPr>
        <w:t xml:space="preserve"> </w:t>
      </w:r>
    </w:p>
    <w:bookmarkStart w:id="240" w:name="fn128"/>
    <w:bookmarkEnd w:id="240"/>
    <w:p>
      <w:pPr>
        <w:numPr>
          <w:ilvl w:val="0"/>
          <w:numId w:val="17"/>
        </w:numPr>
        <w:spacing w:line="360" w:after="210" w:lineRule="auto"/>
      </w:pPr>
      <w:hyperlink r:id="rId148">
        <w:r>
          <w:rPr>
            <w:rFonts w:eastAsia="inter" w:cs="inter" w:ascii="inter" w:hAnsi="inter"/>
            <w:color w:val="#000"/>
            <w:sz w:val="18"/>
            <w:u w:val="single"/>
          </w:rPr>
          <w:t xml:space="preserve">https://www.mdpi.com/2079-8954/11/12/563/pdf?version=1701332946</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
    <w:multiLevelType w:val="hybridMultilevel"/>
  </w:abstractNum>
  <w:abstractNum w:abstractNumId="1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eefc6b2a6e316ab0041f878c46a71411d19f4c1.png" TargetMode="Internal"/><Relationship Id="rId6" Type="http://schemas.openxmlformats.org/officeDocument/2006/relationships/hyperlink" Target="http://EY.ai" TargetMode="External"/><Relationship Id="rId7" Type="http://schemas.openxmlformats.org/officeDocument/2006/relationships/hyperlink" Target="http://EY.ai" TargetMode="External"/><Relationship Id="rId8" Type="http://schemas.openxmlformats.org/officeDocument/2006/relationships/hyperlink" Target="http://EY.ai" TargetMode="External"/><Relationship Id="rId9" Type="http://schemas.openxmlformats.org/officeDocument/2006/relationships/hyperlink" Target="http://EY.ai" TargetMode="External"/><Relationship Id="rId10" Type="http://schemas.openxmlformats.org/officeDocument/2006/relationships/hyperlink" Target="http://EY.ai" TargetMode="External"/><Relationship Id="rId11" Type="http://schemas.openxmlformats.org/officeDocument/2006/relationships/hyperlink" Target="http://EY.ai" TargetMode="External"/><Relationship Id="rId12" Type="http://schemas.openxmlformats.org/officeDocument/2006/relationships/hyperlink" Target="http://EY.ai" TargetMode="External"/><Relationship Id="rId13" Type="http://schemas.openxmlformats.org/officeDocument/2006/relationships/hyperlink" Target="http://EY.ai" TargetMode="External"/><Relationship Id="rId14" Type="http://schemas.openxmlformats.org/officeDocument/2006/relationships/hyperlink" Target="http://EY.ai" TargetMode="External"/><Relationship Id="rId15" Type="http://schemas.openxmlformats.org/officeDocument/2006/relationships/hyperlink" Target="http://EY.ai" TargetMode="External"/><Relationship Id="rId16" Type="http://schemas.openxmlformats.org/officeDocument/2006/relationships/hyperlink" Target="http://EY.ai" TargetMode="External"/><Relationship Id="rId17" Type="http://schemas.openxmlformats.org/officeDocument/2006/relationships/hyperlink" Target="http://EY.ai" TargetMode="External"/><Relationship Id="rId18" Type="http://schemas.openxmlformats.org/officeDocument/2006/relationships/hyperlink" Target="http://EY.ai" TargetMode="External"/><Relationship Id="rId19" Type="http://schemas.openxmlformats.org/officeDocument/2006/relationships/hyperlink" Target="http://EY.ai" TargetMode="External"/><Relationship Id="rId20" Type="http://schemas.openxmlformats.org/officeDocument/2006/relationships/hyperlink" Target="http://EY.ai" TargetMode="External"/><Relationship Id="rId21" Type="http://schemas.openxmlformats.org/officeDocument/2006/relationships/hyperlink" Target="https://arxiv.org/abs/2509.21188" TargetMode="External"/><Relationship Id="rId22" Type="http://schemas.openxmlformats.org/officeDocument/2006/relationships/hyperlink" Target="https://academic.oup.com/pmj/article/97/1151/571/6967218" TargetMode="External"/><Relationship Id="rId23" Type="http://schemas.openxmlformats.org/officeDocument/2006/relationships/hyperlink" Target="https://academic.oup.com/bjs/article/doi/10.1093/bjs/znab259.856/6389604" TargetMode="External"/><Relationship Id="rId24" Type="http://schemas.openxmlformats.org/officeDocument/2006/relationships/hyperlink" Target="https://www.e3s-conferences.org/10.1051/e3sconf/202453105027" TargetMode="External"/><Relationship Id="rId25" Type="http://schemas.openxmlformats.org/officeDocument/2006/relationships/hyperlink" Target="https://fepbl.com/index.php/farj/article/view/855" TargetMode="External"/><Relationship Id="rId26" Type="http://schemas.openxmlformats.org/officeDocument/2006/relationships/hyperlink" Target="https://jefrr.ep-journals.org/index.php/jefrr/article/view/23" TargetMode="External"/><Relationship Id="rId27" Type="http://schemas.openxmlformats.org/officeDocument/2006/relationships/hyperlink" Target="https://khgts.kname.edu.ua/index.php/khgts/uk/article/view/6520" TargetMode="External"/><Relationship Id="rId28" Type="http://schemas.openxmlformats.org/officeDocument/2006/relationships/hyperlink" Target="https://www.sciendo.com/article/10.2478/amns.2023.2.00604" TargetMode="External"/><Relationship Id="rId29" Type="http://schemas.openxmlformats.org/officeDocument/2006/relationships/hyperlink" Target="https://ieeexplore.ieee.org/document/11005099/" TargetMode="External"/><Relationship Id="rId30" Type="http://schemas.openxmlformats.org/officeDocument/2006/relationships/hyperlink" Target="https://www.ijfmr.com/research-paper.php?id=31724" TargetMode="External"/><Relationship Id="rId31" Type="http://schemas.openxmlformats.org/officeDocument/2006/relationships/hyperlink" Target="http://arxiv.org/pdf/2405.13191.pdf" TargetMode="External"/><Relationship Id="rId32" Type="http://schemas.openxmlformats.org/officeDocument/2006/relationships/hyperlink" Target="http://arxiv.org/pdf/2411.08906.pdf" TargetMode="External"/><Relationship Id="rId33" Type="http://schemas.openxmlformats.org/officeDocument/2006/relationships/hyperlink" Target="https://arxiv.org/pdf/2305.18307.pdf" TargetMode="External"/><Relationship Id="rId34" Type="http://schemas.openxmlformats.org/officeDocument/2006/relationships/hyperlink" Target="https://dl.acm.org/doi/pdf/10.1145/3593013.3593994" TargetMode="External"/><Relationship Id="rId35" Type="http://schemas.openxmlformats.org/officeDocument/2006/relationships/hyperlink" Target="https://arxiv.org/pdf/2406.14243.pdf" TargetMode="External"/><Relationship Id="rId36" Type="http://schemas.openxmlformats.org/officeDocument/2006/relationships/hyperlink" Target="https://arxiv.org/html/2410.04772v1" TargetMode="External"/><Relationship Id="rId37" Type="http://schemas.openxmlformats.org/officeDocument/2006/relationships/hyperlink" Target="https://arxiv.org/pdf/2105.00002.pdf" TargetMode="External"/><Relationship Id="rId38" Type="http://schemas.openxmlformats.org/officeDocument/2006/relationships/hyperlink" Target="https://arxiv.org/pdf/2310.02521.pdf" TargetMode="External"/><Relationship Id="rId39" Type="http://schemas.openxmlformats.org/officeDocument/2006/relationships/hyperlink" Target="https://fliphtml5.com/fcxh/athm/EY_Israel_2025_-_Heb/3/" TargetMode="External"/><Relationship Id="rId40" Type="http://schemas.openxmlformats.org/officeDocument/2006/relationships/hyperlink" Target="https://ey.co.il/wp-content/uploads/2025/02/ey-gl-how-governments-can-enable-a-thriving-ai-enabled-economy-11-2024.pdf" TargetMode="External"/><Relationship Id="rId41" Type="http://schemas.openxmlformats.org/officeDocument/2006/relationships/hyperlink" Target="https://innovationisrael.org.il/en/wp-content/uploads/sites/3/2025/09/Israeli-Deep-Tech-report-2025_Dealroom.pdf" TargetMode="External"/><Relationship Id="rId42" Type="http://schemas.openxmlformats.org/officeDocument/2006/relationships/hyperlink" Target="https://www.ey.com/en_ch/insights/risk/trust-in-ai-frameworks-and-compliance-for-innovation" TargetMode="External"/><Relationship Id="rId43" Type="http://schemas.openxmlformats.org/officeDocument/2006/relationships/hyperlink" Target="https://www.calcalistech.com/ctechnews/article/byml11rwgwx" TargetMode="External"/><Relationship Id="rId44" Type="http://schemas.openxmlformats.org/officeDocument/2006/relationships/hyperlink" Target="https://www.ey.com/en_mz/services/ai/platform/confidence-index" TargetMode="External"/><Relationship Id="rId45" Type="http://schemas.openxmlformats.org/officeDocument/2006/relationships/hyperlink" Target="https://aimagazine.com/news/ey-the-problems-solutions-of-ceos-misjudging-ai-concerns" TargetMode="External"/><Relationship Id="rId46" Type="http://schemas.openxmlformats.org/officeDocument/2006/relationships/hyperlink" Target="https://www.ey.com/en_gl/services/ai/platform/confidence-index" TargetMode="External"/><Relationship Id="rId47" Type="http://schemas.openxmlformats.org/officeDocument/2006/relationships/hyperlink" Target="https://www.linkedin.com/posts/davidvanbruwaene_shapethefuturewithconfidence-eycanada-activity-7355246325099081728-nE3p" TargetMode="External"/><Relationship Id="rId48" Type="http://schemas.openxmlformats.org/officeDocument/2006/relationships/hyperlink" Target="https://www.gov.uk/ai-assurance-techniques/ey-global-responsible-ai-framework-conducting-an-ai-governance-review-for-a-global-biopharmaceutical-company" TargetMode="External"/><Relationship Id="rId49" Type="http://schemas.openxmlformats.org/officeDocument/2006/relationships/hyperlink" Target="https://www.internationalaccountingbulletin.com/news/auditboard-ey-ai-risk-management/" TargetMode="External"/><Relationship Id="rId50" Type="http://schemas.openxmlformats.org/officeDocument/2006/relationships/hyperlink" Target="https://finyear.com/ey-launches-ey-wavespace-a-global-network-of-growth-and-innovation-centers-to-help-clients-achieve-radical-breakthroughs_a38150.html" TargetMode="External"/><Relationship Id="rId51" Type="http://schemas.openxmlformats.org/officeDocument/2006/relationships/hyperlink" Target="https://www.prnewswire.com/news-releases/ey-launches-ey-wavespace-a-global-network-of-growth-and-innovation-centers-to-help-clients-achieve-radical-breakthroughs-300430029.html" TargetMode="External"/><Relationship Id="rId52" Type="http://schemas.openxmlformats.org/officeDocument/2006/relationships/hyperlink" Target="https://www.ey.com/en_hu/wavespace" TargetMode="External"/><Relationship Id="rId53" Type="http://schemas.openxmlformats.org/officeDocument/2006/relationships/hyperlink" Target="https://www.facebook.com/EYisrael/posts/%D7%90%D7%AA%D7%9E%D7%95%D7%9C-%D7%94%D7%AA%D7%A7%D7%99%D7%99%D7%9D-%D7%91-wavespace-tlv-%D7%9E%D7%A4%D7%92%D7%A9-%D7%94%D7%97%D7%93%D7%A9%D7%A0%D7%95%D7%AA-innovation-361-%D7%A9%D7%9C-ey-%D7%99%D7%A9%D7%A8%D7%90%D7%9C-%D7%91%D7%A9%D7%99%D7%AA%D7%95%D7%A3-%D7%A2%D7%9D-%D7%97/2541959442527834/" TargetMode="External"/><Relationship Id="rId54" Type="http://schemas.openxmlformats.org/officeDocument/2006/relationships/hyperlink" Target="https://nortech-platform.com/listing/ey-israel/" TargetMode="External"/><Relationship Id="rId55" Type="http://schemas.openxmlformats.org/officeDocument/2006/relationships/hyperlink" Target="https://ey.co.il/services/consulting/" TargetMode="External"/><Relationship Id="rId56" Type="http://schemas.openxmlformats.org/officeDocument/2006/relationships/hyperlink" Target="https://www.ey.com/en_us/alliances/microsoft" TargetMode="External"/><Relationship Id="rId57" Type="http://schemas.openxmlformats.org/officeDocument/2006/relationships/hyperlink" Target="https://www.internationalaccountingbulletin.com/news/ey-nvidia-expand-partnership/" TargetMode="External"/><Relationship Id="rId58" Type="http://schemas.openxmlformats.org/officeDocument/2006/relationships/hyperlink" Target="https://www.ey.com/en_gl/newsroom/2025/10/ey-survey-companies-advancing-responsible-ai-governance-linked-to-better-business-outcomes" TargetMode="External"/><Relationship Id="rId59" Type="http://schemas.openxmlformats.org/officeDocument/2006/relationships/hyperlink" Target="https://news.sap.com/2025/06/sap-nvidia-deliver-local-business-ai/" TargetMode="External"/><Relationship Id="rId60" Type="http://schemas.openxmlformats.org/officeDocument/2006/relationships/hyperlink" Target="https://www.calcalistech.com/ctechnews/article/ucu6nvn3r" TargetMode="External"/><Relationship Id="rId61" Type="http://schemas.openxmlformats.org/officeDocument/2006/relationships/hyperlink" Target="https://www.calcalistech.com/ctechnews/article/7uu361rft" TargetMode="External"/><Relationship Id="rId62" Type="http://schemas.openxmlformats.org/officeDocument/2006/relationships/hyperlink" Target="https://www.facebook.com/discountbank/videos/%D7%AA%D7%92%D7%99%D7%93%D7%95-%D7%A9%D7%9C%D7%95%D7%9D-%D7%9C%D7%A2%D7%93%D7%99%D7%91%D7%A0%D7%A7%D7%90%D7%99%D7%AA-%D7%94-ai-%D7%94%D7%97%D7%93%D7%A9%D7%94-%D7%A9%D7%9C-%D7%93%D7%99%D7%A1%D7%A7%D7%95%D7%A0%D7%98%D7%A9%D7%96%D7%9E%D7%99%D7%A0%D7%94-%D7%A2%D7%91%D7%95%D7%A8%D7%9B%D7%9D-%D7%91%D7%98%D7%9C%D7%A4%D7%95%D7%9F-%D7%9C%D7%A9%D7%90%D7%9C%D7%95%D7%AA-%D7%91%D7%9E%D7%92%D7%95%D7%95%D7%9F-%D7%A0%D7%95/3922377154572862/" TargetMode="External"/><Relationship Id="rId63" Type="http://schemas.openxmlformats.org/officeDocument/2006/relationships/hyperlink" Target="https://en.globes.co.il/en/article-regulator-to-declare-big-banks-as-concentration-group-1001474772" TargetMode="External"/><Relationship Id="rId64" Type="http://schemas.openxmlformats.org/officeDocument/2006/relationships/hyperlink" Target="https://www.new.isa.gov.il/images/Fittings/isa/asset_library_pic/al_lobby/al_lobby-65d5b849b3af3/AIREPORT021224.pdf" TargetMode="External"/><Relationship Id="rId65" Type="http://schemas.openxmlformats.org/officeDocument/2006/relationships/hyperlink" Target="https://www.facebook.com/microsoftisrael/posts/%D7%9E%D7%94-%D7%91%D7%90%D7%9E%D7%AA-%D7%A6%D7%A8%D7%99%D7%9A-%D7%9B%D7%93%D7%99-%D7%9C%D7%94%D7%A4%D7%95%D7%9A-%D7%9E%D7%97%D7%91%D7%A8%D7%94-%D7%A9%D7%9C-%D7%A2%D7%A9%D7%A8%D7%95%D7%AA-%D7%9E%D7%99%D7%9C%D7%99%D7%95%D7%A0%D7%99%D7%9D-%D7%9C%D7%A9%D7%97%D7%A7%D7%A0%D7%99%D7%AA-%D7%A9%D7%9C-%D7%9E%D7%99%D7%9C%D7%99%D7%90%D7%A8%D7%93%D7%9E%D7%92%D7%99-%D7%A9%D7%95%D7%A8%D7%A7-chief-/1183115627187466/" TargetMode="External"/><Relationship Id="rId66" Type="http://schemas.openxmlformats.org/officeDocument/2006/relationships/hyperlink" Target="https://startupnationcentral.org/hub/blog/israeli-fintech-in-2025/" TargetMode="External"/><Relationship Id="rId67" Type="http://schemas.openxmlformats.org/officeDocument/2006/relationships/hyperlink" Target="https://www.viola-group.com/violanotes/2025-israel-fintech-report-the-comeback-year/" TargetMode="External"/><Relationship Id="rId68" Type="http://schemas.openxmlformats.org/officeDocument/2006/relationships/hyperlink" Target="https://academic.oup.com/comjnl/article-pdf/62/3/448/28009275/bxy082.pdf" TargetMode="External"/><Relationship Id="rId69" Type="http://schemas.openxmlformats.org/officeDocument/2006/relationships/hyperlink" Target="http://arxiv.org/pdf/2503.10140.pdf" TargetMode="External"/><Relationship Id="rId70" Type="http://schemas.openxmlformats.org/officeDocument/2006/relationships/hyperlink" Target="https://www.mdpi.com/2078-2489/14/1/43/pdf?version=1673328206" TargetMode="External"/><Relationship Id="rId71" Type="http://schemas.openxmlformats.org/officeDocument/2006/relationships/hyperlink" Target="https://ey.co.il" TargetMode="External"/><Relationship Id="rId72" Type="http://schemas.openxmlformats.org/officeDocument/2006/relationships/hyperlink" Target="https://govextra.gov.il/nimbus-mr-gov-il/nimbus/" TargetMode="External"/><Relationship Id="rId73" Type="http://schemas.openxmlformats.org/officeDocument/2006/relationships/hyperlink" Target="https://en.wikipedia.org/wiki/Project_Nimbus" TargetMode="External"/><Relationship Id="rId74" Type="http://schemas.openxmlformats.org/officeDocument/2006/relationships/hyperlink" Target="https://www.longevityisrael.org/wp-content/uploads/2019/03/Longevity-in-Israel-Full-Report.pdf" TargetMode="External"/><Relationship Id="rId75" Type="http://schemas.openxmlformats.org/officeDocument/2006/relationships/hyperlink" Target="https://mr.gov.il/ilgstorefront/en/news/details/111222" TargetMode="External"/><Relationship Id="rId76" Type="http://schemas.openxmlformats.org/officeDocument/2006/relationships/hyperlink" Target="https://med.m.tau.ac.il/sites/medicine.tau.ac.il/files/media_server/medicine/SackerMedResearchReport_January2016.pdf" TargetMode="External"/><Relationship Id="rId77" Type="http://schemas.openxmlformats.org/officeDocument/2006/relationships/hyperlink" Target="https://www.panorama-consulting.com/sap-and-nvidia-partnership/" TargetMode="External"/><Relationship Id="rId78" Type="http://schemas.openxmlformats.org/officeDocument/2006/relationships/hyperlink" Target="https://ey.co.il/services/multip/public-sector/" TargetMode="External"/><Relationship Id="rId79" Type="http://schemas.openxmlformats.org/officeDocument/2006/relationships/hyperlink" Target="http://www.eilatgordinlevitan.com/kurenets/k_pages/kur_gb_archive3.html" TargetMode="External"/><Relationship Id="rId80" Type="http://schemas.openxmlformats.org/officeDocument/2006/relationships/hyperlink" Target="https://www.facebook.com/israelgov/photos/%D7%9E%D7%9E%D7%A9%D7%9C%D7%AA-%D7%99%D7%A9%D7%A8%D7%90%D7%9C-%D7%A2%D7%95%D7%91%D7%A8%D7%AA-%D7%9C%D7%A2%D7%A0%D7%9F-%D7%9C%D7%A2%D7%95%D7%9C%D7%9D-%D7%9E%D7%92%D7%95%D7%95%D7%9F-%D7%A9%D7%9C-%D7%A9%D7%99%D7%A8%D7%95%D7%AA%D7%99%D7%9D-%D7%95%D7%99%D7%9B%D7%95%D7%9C%D7%95%D7%AA-%D7%9E%D7%AA%D7%A7%D7%93%D7%9E%D7%95%D7%AA-%D7%A9%D7%99%D7%90%D7%99%D7%A6%D7%95-%D7%97%D7%93%D7%A9%D7%A0%D7%95%D7%AA-%D7%9C%D7%9B%D7%9C%D7%9C/4521835407831353/" TargetMode="External"/><Relationship Id="rId81" Type="http://schemas.openxmlformats.org/officeDocument/2006/relationships/hyperlink" Target="https://en-med.m.tau.ac.il/sites/med_en.tau.ac.il/files/media_server/medicine/genomic/MedPreclinicalResearch_Feb2017.pdf" TargetMode="External"/><Relationship Id="rId82" Type="http://schemas.openxmlformats.org/officeDocument/2006/relationships/hyperlink" Target="https://journal.iapa.or.id/proceedings/article/view/1338" TargetMode="External"/><Relationship Id="rId83" Type="http://schemas.openxmlformats.org/officeDocument/2006/relationships/hyperlink" Target="https://eujournal.org/index.php/esj/article/view/20092" TargetMode="External"/><Relationship Id="rId84" Type="http://schemas.openxmlformats.org/officeDocument/2006/relationships/hyperlink" Target="https://irojournals.com/rrrj/article/view/4/2/6" TargetMode="External"/><Relationship Id="rId85" Type="http://schemas.openxmlformats.org/officeDocument/2006/relationships/hyperlink" Target="https://www.tandfonline.com/doi/full/10.1080/07366981.2025.2500805" TargetMode="External"/><Relationship Id="rId86" Type="http://schemas.openxmlformats.org/officeDocument/2006/relationships/hyperlink" Target="https://invergejournals.com/index.php/ijss/article/view/200" TargetMode="External"/><Relationship Id="rId87" Type="http://schemas.openxmlformats.org/officeDocument/2006/relationships/hyperlink" Target="https://rsglobal.pl/index.php/ijitss/article/view/4661" TargetMode="External"/><Relationship Id="rId88" Type="http://schemas.openxmlformats.org/officeDocument/2006/relationships/hyperlink" Target="https://invergejournals.com/index.php/ijss/article/view/153" TargetMode="External"/><Relationship Id="rId89" Type="http://schemas.openxmlformats.org/officeDocument/2006/relationships/hyperlink" Target="https://e-journal.upr.ac.id/index.php/pdhp/article/view/20310" TargetMode="External"/><Relationship Id="rId90" Type="http://schemas.openxmlformats.org/officeDocument/2006/relationships/hyperlink" Target="https://onepetro.org/SPEADIP/proceedings/25ADIP/25ADIP/D031S095R001/792801" TargetMode="External"/><Relationship Id="rId91" Type="http://schemas.openxmlformats.org/officeDocument/2006/relationships/hyperlink" Target="https://www.cambridge.org/core/product/identifier/9781009207898%23CN-bp-9/type/book_part" TargetMode="External"/><Relationship Id="rId92" Type="http://schemas.openxmlformats.org/officeDocument/2006/relationships/hyperlink" Target="http://arxiv.org/pdf/2209.06317.pdf" TargetMode="External"/><Relationship Id="rId93" Type="http://schemas.openxmlformats.org/officeDocument/2006/relationships/hyperlink" Target="http://arxiv.org/pdf/2412.01957.pdf" TargetMode="External"/><Relationship Id="rId94" Type="http://schemas.openxmlformats.org/officeDocument/2006/relationships/hyperlink" Target="https://arxiv.org/pdf/2408.11820.pdf" TargetMode="External"/><Relationship Id="rId95" Type="http://schemas.openxmlformats.org/officeDocument/2006/relationships/hyperlink" Target="https://arxiv.org/pdf/2502.06656.pdf" TargetMode="External"/><Relationship Id="rId96" Type="http://schemas.openxmlformats.org/officeDocument/2006/relationships/hyperlink" Target="https://arxiv.org/html/2502.08650v2" TargetMode="External"/><Relationship Id="rId97" Type="http://schemas.openxmlformats.org/officeDocument/2006/relationships/hyperlink" Target="https://www.youtube.com/watch?v=B0mHo5-pv_k" TargetMode="External"/><Relationship Id="rId98" Type="http://schemas.openxmlformats.org/officeDocument/2006/relationships/hyperlink" Target="https://www.ey.com/en_gl/newsroom/2025/06/ey-survey-reveals-large-gap-between-government-organizations-ai-ambitions-and-reality" TargetMode="External"/><Relationship Id="rId99" Type="http://schemas.openxmlformats.org/officeDocument/2006/relationships/hyperlink" Target="https://www.ey.com/content/dam/ey-unified-site/ey-com/en-gl/insights/public-policy/documents/ey-ai-assessments-enhancing-confidence-in-ai-06-25.pdf" TargetMode="External"/><Relationship Id="rId100" Type="http://schemas.openxmlformats.org/officeDocument/2006/relationships/hyperlink" Target="https://www.ey.com/en_gl/insights/ai/principles-for-ethical-and-responsible-ai" TargetMode="External"/><Relationship Id="rId101" Type="http://schemas.openxmlformats.org/officeDocument/2006/relationships/hyperlink" Target="https://accountancyage.com/2025/04/09/ey-announces-ai-integration-into-global-assurance-technology-platform/" TargetMode="External"/><Relationship Id="rId102" Type="http://schemas.openxmlformats.org/officeDocument/2006/relationships/hyperlink" Target="https://www.internationalaccountingbulletin.com/news/ey-1bn-tech-strategy/" TargetMode="External"/><Relationship Id="rId103" Type="http://schemas.openxmlformats.org/officeDocument/2006/relationships/hyperlink" Target="https://www.cpapracticeadvisor.com/2025/04/09/ey-invests-1b-to-integrate-ai-into-accounting-and-audit-platform/158844/" TargetMode="External"/><Relationship Id="rId104" Type="http://schemas.openxmlformats.org/officeDocument/2006/relationships/hyperlink" Target="https://ey.co.il/wp-content/uploads/2023/04/2024-Transparency-Report-Israel-JV.pdf" TargetMode="External"/><Relationship Id="rId105" Type="http://schemas.openxmlformats.org/officeDocument/2006/relationships/hyperlink" Target="https://www.ndtahq.com/ey-assurance-releases-new-technology-capabilities-strengthening-confidence-and-trust/" TargetMode="External"/><Relationship Id="rId106" Type="http://schemas.openxmlformats.org/officeDocument/2006/relationships/hyperlink" Target="https://captaincompliance.com/education/ey-survey-links-responsible-ai-governance-to-winning-more-business-deals/" TargetMode="External"/><Relationship Id="rId107" Type="http://schemas.openxmlformats.org/officeDocument/2006/relationships/hyperlink" Target="https://arxiv.org/pdf/2203.08465.pdf" TargetMode="External"/><Relationship Id="rId108" Type="http://schemas.openxmlformats.org/officeDocument/2006/relationships/hyperlink" Target="https://arxiv.org/html/2412.08490v1" TargetMode="External"/><Relationship Id="rId109" Type="http://schemas.openxmlformats.org/officeDocument/2006/relationships/hyperlink" Target="https://www.mdpi.com/2071-1050/16/5/1790/pdf?version=1708581624" TargetMode="External"/><Relationship Id="rId110" Type="http://schemas.openxmlformats.org/officeDocument/2006/relationships/hyperlink" Target="https://pubs.acs.org/doi/pdf/10.1021/acsami.4c04486" TargetMode="External"/><Relationship Id="rId111" Type="http://schemas.openxmlformats.org/officeDocument/2006/relationships/hyperlink" Target="https://www.mdpi.com/2076-328X/15/4/491" TargetMode="External"/><Relationship Id="rId112" Type="http://schemas.openxmlformats.org/officeDocument/2006/relationships/hyperlink" Target="https://arxiv.org/pdf/2402.17082.pdf" TargetMode="External"/><Relationship Id="rId113" Type="http://schemas.openxmlformats.org/officeDocument/2006/relationships/hyperlink" Target="https://www.mdpi.com/2199-8531/7/1/71/pdf" TargetMode="External"/><Relationship Id="rId114" Type="http://schemas.openxmlformats.org/officeDocument/2006/relationships/hyperlink" Target="https://dl.acm.org/doi/pdf/10.1145/3613904.3642191" TargetMode="External"/><Relationship Id="rId115" Type="http://schemas.openxmlformats.org/officeDocument/2006/relationships/hyperlink" Target="https://www.ey.com/en_gl/wavespace" TargetMode="External"/><Relationship Id="rId116" Type="http://schemas.openxmlformats.org/officeDocument/2006/relationships/hyperlink" Target="https://ey.co.il/%D7%A1%D7%95%D7%9B%D7%A0%D7%99%D7%9D-%D7%A8%D7%95%D7%91%D7%95%D7%98%D7%99%D7%9D-%D7%95%D7%91%D7%A0%D7%99-%D7%90%D7%93%D7%9D-%D7%A7%D7%A9%D7%A8-%D7%A2%D7%9D-%D7%94%D7%9C%D7%A7%D7%95%D7%97-%D7%91/" TargetMode="External"/><Relationship Id="rId117" Type="http://schemas.openxmlformats.org/officeDocument/2006/relationships/hyperlink" Target="https://www.ey.com/en_us/locations/israel" TargetMode="External"/><Relationship Id="rId118" Type="http://schemas.openxmlformats.org/officeDocument/2006/relationships/hyperlink" Target="https://www.sfi.ie/research-news/news/ey-launches-new-ai/" TargetMode="External"/><Relationship Id="rId119" Type="http://schemas.openxmlformats.org/officeDocument/2006/relationships/hyperlink" Target="https://www.ey.com/en_gl/alliances/microsoft" TargetMode="External"/><Relationship Id="rId120" Type="http://schemas.openxmlformats.org/officeDocument/2006/relationships/hyperlink" Target="https://www.prnewswire.com/news-releases/ey-and-microsoft-announce-expansion-of-collaboration-to-drive-a-us15b-growth-opportunity-and-technology-innovation-across-industries-301352720.html" TargetMode="External"/><Relationship Id="rId121" Type="http://schemas.openxmlformats.org/officeDocument/2006/relationships/hyperlink" Target="https://www.ey.com/en_us/israel" TargetMode="External"/><Relationship Id="rId122" Type="http://schemas.openxmlformats.org/officeDocument/2006/relationships/hyperlink" Target="https://partner.microsoft.com/he-il/blog/article/how-microsoft-and-service-partners-use-ai-to-enable-customer-transformation" TargetMode="External"/><Relationship Id="rId123" Type="http://schemas.openxmlformats.org/officeDocument/2006/relationships/hyperlink" Target="https://ijsra.net/sites/default/files/IJSRA-2024-0639.pdf" TargetMode="External"/><Relationship Id="rId124" Type="http://schemas.openxmlformats.org/officeDocument/2006/relationships/hyperlink" Target="http://arxiv.org/pdf/2410.01818.pdf" TargetMode="External"/><Relationship Id="rId125" Type="http://schemas.openxmlformats.org/officeDocument/2006/relationships/hyperlink" Target="https://www.ijfmr.com/papers/2024/1/14015.pdf" TargetMode="External"/><Relationship Id="rId126" Type="http://schemas.openxmlformats.org/officeDocument/2006/relationships/hyperlink" Target="https://www.tandfonline.com/doi/pdf/10.1080/17521440.2020.1760454?needAccess=true" TargetMode="External"/><Relationship Id="rId127" Type="http://schemas.openxmlformats.org/officeDocument/2006/relationships/hyperlink" Target="https://www.tandfonline.com/doi/full/10.1080/23311975.2024.2404484" TargetMode="External"/><Relationship Id="rId128" Type="http://schemas.openxmlformats.org/officeDocument/2006/relationships/hyperlink" Target="https://www.tandfonline.com/doi/pdf/10.1080/23322039.2021.2023262?needAccess=true" TargetMode="External"/><Relationship Id="rId129" Type="http://schemas.openxmlformats.org/officeDocument/2006/relationships/hyperlink" Target="http://arxiv.org/pdf/2410.15951.pdf" TargetMode="External"/><Relationship Id="rId130" Type="http://schemas.openxmlformats.org/officeDocument/2006/relationships/hyperlink" Target="https://downloads.hindawi.com/journals/wcmc/2022/7596094.pdf" TargetMode="External"/><Relationship Id="rId131" Type="http://schemas.openxmlformats.org/officeDocument/2006/relationships/hyperlink" Target="https://ey.co.il/%D7%9E%D7%94%D7%A4%D7%9B%D7%AA-%D7%94-agentic-ai-%D7%95%D7%94%D7%9E%D7%A2%D7%A8%D7%9B%D7%AA-%D7%94%D7%91%D7%A0%D7%A7%D7%90%D7%99%D7%AA/" TargetMode="External"/><Relationship Id="rId132" Type="http://schemas.openxmlformats.org/officeDocument/2006/relationships/hyperlink" Target="https://www.linkedin.com/posts/amir-rosen_%D7%9E%D7%94%D7%A4%D7%9B%D7%AA-%D7%94-ai-%D7%9E%D7%92%D7%99%D7%A2%D7%94-%D7%9C%D7%9C%D7%90%D7%95%D7%9E%D7%99-%D7%94%D7%91%D7%A0%D7%A7-%D7%9E%D7%91%D7%A6%D7%A2-%D7%A9%D7%95%D7%A8%D7%94-%D7%A9%D7%9C-activity-7408944978762100736-Av0A" TargetMode="External"/><Relationship Id="rId133" Type="http://schemas.openxmlformats.org/officeDocument/2006/relationships/hyperlink" Target="https://www.leumi.co.il/leumi-hebrew/s3fs-public/complex_link_file/11-24/Imm_08.10.2024_acc_6311.pdf" TargetMode="External"/><Relationship Id="rId134" Type="http://schemas.openxmlformats.org/officeDocument/2006/relationships/hyperlink" Target="https://www.linkedin.com/posts/eyalefrat_%D7%94%D7%91%D7%99%D7%A0%D7%94-%D7%94%D7%9E%D7%9C%D7%90%D7%9B%D7%95%D7%AA%D7%99%D7%AA-%D7%9E%D7%AA%D7%97%D7%99%D7%9C%D7%94-%D7%9C%D7%94%D7%A4%D7%A2%D7%99%D7%9C-%D7%A9%D7%99%D7%A7%D7%95%D7%9C-%D7%93%D7%A2%D7%AA-activity-7395863276821057536-n9Il" TargetMode="External"/><Relationship Id="rId135" Type="http://schemas.openxmlformats.org/officeDocument/2006/relationships/hyperlink" Target="https://startupnationcentral.org/hub/news/israeli-tech-sees-record-breaking-71b-in-mas-in-2025-despite-decline-in-funding-rounds-in-q3-2025/" TargetMode="External"/><Relationship Id="rId136" Type="http://schemas.openxmlformats.org/officeDocument/2006/relationships/hyperlink" Target="https://www.calcalistech.com/ctechnews/article/hkzohvfnbx" TargetMode="External"/><Relationship Id="rId137" Type="http://schemas.openxmlformats.org/officeDocument/2006/relationships/hyperlink" Target="https://ey.co.il/wp-content/uploads/2025/10/Transparency-Report-2025-clean-October-23-2025-Israel-JV.pdf" TargetMode="External"/><Relationship Id="rId138" Type="http://schemas.openxmlformats.org/officeDocument/2006/relationships/hyperlink" Target="https://www.timesofisrael.com/despite-war-tech-exits-soared-to-59-billion-in-2025-thanks-to-wiz-deal-report/" TargetMode="External"/><Relationship Id="rId139" Type="http://schemas.openxmlformats.org/officeDocument/2006/relationships/hyperlink" Target="https://ey.co.il/%D7%98%D7%A8%D7%A0%D7%A1%D7%A4%D7%95%D7%A8%D7%9E%D7%A6%D7%99%D7%94-%D7%A2%D7%A1%D7%A7%D7%99%D7%AA-%D7%94%D7%9C%D7%9B%D7%94-%D7%95%D7%9E%D7%A2%D7%A9%D7%94/" TargetMode="External"/><Relationship Id="rId140" Type="http://schemas.openxmlformats.org/officeDocument/2006/relationships/hyperlink" Target="https://ey.co.il/work-with-us/" TargetMode="External"/><Relationship Id="rId141" Type="http://schemas.openxmlformats.org/officeDocument/2006/relationships/hyperlink" Target="https://www.semanticscholar.org/paper/740b1fd740fbde2381b4da47c034620f57033ab7" TargetMode="External"/><Relationship Id="rId142" Type="http://schemas.openxmlformats.org/officeDocument/2006/relationships/hyperlink" Target="https://link.springer.com/10.1007/s11540-021-09497-x" TargetMode="External"/><Relationship Id="rId143" Type="http://schemas.openxmlformats.org/officeDocument/2006/relationships/hyperlink" Target="https://www.ssrn.com/abstract=3910351" TargetMode="External"/><Relationship Id="rId144" Type="http://schemas.openxmlformats.org/officeDocument/2006/relationships/hyperlink" Target="https://www.researchprotocols.org/2023/1/e49405/PDF" TargetMode="External"/><Relationship Id="rId145" Type="http://schemas.openxmlformats.org/officeDocument/2006/relationships/hyperlink" Target="https://www.tandfonline.com/doi/pdf/10.1080/23311886.2023.2293316?needAccess=true" TargetMode="External"/><Relationship Id="rId146" Type="http://schemas.openxmlformats.org/officeDocument/2006/relationships/hyperlink" Target="https://www.mdpi.com/2199-8531/7/4/208/pdf?version=1634204240" TargetMode="External"/><Relationship Id="rId147" Type="http://schemas.openxmlformats.org/officeDocument/2006/relationships/hyperlink" Target="https://www.mdpi.com/2673-6470/3/3/11/pdf?version=1688033723" TargetMode="External"/><Relationship Id="rId148" Type="http://schemas.openxmlformats.org/officeDocument/2006/relationships/hyperlink" Target="https://www.mdpi.com/2079-8954/11/12/563/pdf?version=1701332946"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2026-01-18T19:17:20.089Z</dcterms:created>
  <dcterms:modified xsi:type="dcterms:W3CDTF">2026-01-18T19:17:20.089Z</dcterms:modified>
</cp:coreProperties>
</file>