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e8f30af065e4f8c2e4528e57f21938547b4cc9b.png"/>
            <a:graphic>
              <a:graphicData uri="http://schemas.openxmlformats.org/drawingml/2006/picture">
                <pic:pic>
                  <pic:nvPicPr>
                    <pic:cNvPr id="1" name="image-7e8f30af065e4f8c2e4528e57f21938547b4cc9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kpmg_israel_deep_strategic_invest_ff8cec"/>
      <w:r>
        <w:rPr>
          <w:rFonts w:eastAsia="inter" w:cs="inter" w:ascii="inter" w:hAnsi="inter"/>
          <w:b/>
          <w:color w:val="000000"/>
          <w:sz w:val="24"/>
        </w:rPr>
        <w:t xml:space="preserve">KPMG Israel Deep Strategic Investigation: Technology Positioning Beyond IT Audit</w:t>
      </w:r>
      <w:bookmarkEnd w:id="0"/>
    </w:p>
    <w:p>
      <w:pPr>
        <w:spacing w:line="360" w:before="315" w:after="105" w:lineRule="auto"/>
        <w:ind w:left="-30"/>
        <w:jc w:val="left"/>
      </w:pPr>
      <w:bookmarkStart w:id="1" w:name="executive_summary_the_technology_cc60c7"/>
      <w:r>
        <w:rPr>
          <w:rFonts w:eastAsia="inter" w:cs="inter" w:ascii="inter" w:hAnsi="inter"/>
          <w:b/>
          <w:color w:val="000000"/>
          <w:sz w:val="24"/>
        </w:rPr>
        <w:t xml:space="preserve">Executive Summary: The Technology Transformation (2025-2026)</w:t>
      </w:r>
      <w:bookmarkEnd w:id="1"/>
    </w:p>
    <w:p>
      <w:pPr>
        <w:spacing w:line="360" w:after="210" w:lineRule="auto"/>
      </w:pPr>
      <w:r>
        <w:rPr>
          <w:rFonts w:eastAsia="inter" w:cs="inter" w:ascii="inter" w:hAnsi="inter"/>
          <w:color w:val="000000"/>
        </w:rPr>
        <w:t xml:space="preserve">KPMG Israel (Somekh Chaikin) has strategically repositioned itself from traditional audit services to a comprehensive technology powerhouse through calculated acquisitions, innovation hub development, and AI governance leadership. The investigation reveals </w:t>
      </w:r>
      <w:r>
        <w:rPr>
          <w:rFonts w:eastAsia="inter" w:cs="inter" w:ascii="inter" w:hAnsi="inter"/>
          <w:b/>
          <w:color w:val="000000"/>
        </w:rPr>
        <w:t xml:space="preserve">three critical differentiators</w:t>
      </w:r>
      <w:r>
        <w:rPr>
          <w:rFonts w:eastAsia="inter" w:cs="inter" w:ascii="inter" w:hAnsi="inter"/>
          <w:color w:val="000000"/>
        </w:rPr>
        <w:t xml:space="preserve"> from EY and Deloitte, anchored by a major "smoking gun" technology play.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he_smoking_gun_kpmg_edge_q_v_acq_1787a0"/>
      <w:r>
        <w:rPr>
          <w:rFonts w:eastAsia="inter" w:cs="inter" w:ascii="inter" w:hAnsi="inter"/>
          <w:b/>
          <w:color w:val="000000"/>
          <w:sz w:val="24"/>
        </w:rPr>
        <w:t xml:space="preserve">The "Smoking Gun": KPMG Edge &amp; Q.V. Acquisition Strategy</w:t>
      </w:r>
      <w:bookmarkEnd w:id="2"/>
    </w:p>
    <w:p>
      <w:pPr>
        <w:spacing w:line="360" w:after="210" w:lineRule="auto"/>
      </w:pPr>
      <w:r>
        <w:rPr>
          <w:rFonts w:eastAsia="inter" w:cs="inter" w:ascii="inter" w:hAnsi="inter"/>
          <w:b/>
          <w:color w:val="000000"/>
        </w:rPr>
        <w:t xml:space="preserve">KPMG Edge</w:t>
      </w:r>
      <w:r>
        <w:rPr>
          <w:rFonts w:eastAsia="inter" w:cs="inter" w:ascii="inter" w:hAnsi="inter"/>
          <w:color w:val="000000"/>
        </w:rPr>
        <w:t xml:space="preserve"> (launched September 2022) represents the firm's technology differentiation platform, led by Roni Michael, who simultaneously serves as KPMG International's Global Head of Innovation. This dual role positions Israel as KPMG's global innovation laboratory. The August 2025 acquisition of </w:t>
      </w:r>
      <w:r>
        <w:rPr>
          <w:rFonts w:eastAsia="inter" w:cs="inter" w:ascii="inter" w:hAnsi="inter"/>
          <w:b/>
          <w:color w:val="000000"/>
        </w:rPr>
        <w:t xml:space="preserve">Q.V. Technologies</w:t>
      </w:r>
      <w:r>
        <w:rPr>
          <w:rFonts w:eastAsia="inter" w:cs="inter" w:ascii="inter" w:hAnsi="inter"/>
          <w:color w:val="000000"/>
        </w:rPr>
        <w:t xml:space="preserve"> (Quantum Vision) marks a strategic inflection point.</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bookmarkStart w:id="6" w:name="fnref4"/>
      <w:bookmarkEnd w:id="6"/>
      <w:hyperlink w:anchor="fn4">
        <w:r>
          <w:rPr>
            <w:rFonts w:eastAsia="inter" w:cs="inter" w:ascii="inter" w:hAnsi="inter"/>
            <w:color w:val="#000"/>
            <w:u w:val="single"/>
            <w:vertAlign w:val="superscript"/>
          </w:rPr>
          <w:t xml:space="preserve">[4]</w:t>
        </w:r>
      </w:hyperlink>
      <w:bookmarkStart w:id="7" w:name="fnref5"/>
      <w:bookmarkEnd w:id="7"/>
      <w:hyperlink w:anchor="fn5">
        <w:r>
          <w:rPr>
            <w:rFonts w:eastAsia="inter" w:cs="inter" w:ascii="inter" w:hAnsi="inter"/>
            <w:color w:val="#000"/>
            <w:u w:val="single"/>
            <w:vertAlign w:val="superscript"/>
          </w:rPr>
          <w:t xml:space="preserve">[5]</w:t>
        </w:r>
      </w:hyperlink>
      <w:bookmarkStart w:id="8" w:name="fnref6"/>
      <w:bookmarkEnd w:id="8"/>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The Q.V. Strategic Play:</w:t>
      </w:r>
    </w:p>
    <w:p>
      <w:pPr>
        <w:numPr>
          <w:ilvl w:val="0"/>
          <w:numId w:val="1"/>
        </w:numPr>
        <w:spacing w:line="360" w:before="105" w:after="105" w:lineRule="auto"/>
      </w:pPr>
      <w:r>
        <w:rPr>
          <w:rFonts w:eastAsia="inter" w:cs="inter" w:ascii="inter" w:hAnsi="inter"/>
          <w:b/>
          <w:color w:val="000000"/>
          <w:sz w:val="21"/>
        </w:rPr>
        <w:t xml:space="preserve">Specialization</w:t>
      </w:r>
      <w:r>
        <w:rPr>
          <w:rFonts w:eastAsia="inter" w:cs="inter" w:ascii="inter" w:hAnsi="inter"/>
          <w:color w:val="000000"/>
          <w:sz w:val="21"/>
        </w:rPr>
        <w:t xml:space="preserve">: AI-integrated SAP enterprise systems combining machine learning with SAP S/4HANA infrastructure</w:t>
      </w:r>
    </w:p>
    <w:p>
      <w:pPr>
        <w:numPr>
          <w:ilvl w:val="0"/>
          <w:numId w:val="1"/>
        </w:numPr>
        <w:spacing w:line="360" w:before="105" w:after="105" w:lineRule="auto"/>
      </w:pPr>
      <w:r>
        <w:rPr>
          <w:rFonts w:eastAsia="inter" w:cs="inter" w:ascii="inter" w:hAnsi="inter"/>
          <w:b/>
          <w:color w:val="000000"/>
          <w:sz w:val="21"/>
        </w:rPr>
        <w:t xml:space="preserve">Estimated Value</w:t>
      </w:r>
      <w:r>
        <w:rPr>
          <w:rFonts w:eastAsia="inter" w:cs="inter" w:ascii="inter" w:hAnsi="inter"/>
          <w:color w:val="000000"/>
          <w:sz w:val="21"/>
        </w:rPr>
        <w:t xml:space="preserve">: NIS 10-20 million (~$3-6 million USD)</w:t>
      </w:r>
    </w:p>
    <w:p>
      <w:pPr>
        <w:numPr>
          <w:ilvl w:val="0"/>
          <w:numId w:val="1"/>
        </w:numPr>
        <w:spacing w:line="360" w:before="105" w:after="105" w:lineRule="auto"/>
      </w:pPr>
      <w:r>
        <w:rPr>
          <w:rFonts w:eastAsia="inter" w:cs="inter" w:ascii="inter" w:hAnsi="inter"/>
          <w:b/>
          <w:color w:val="000000"/>
          <w:sz w:val="21"/>
        </w:rPr>
        <w:t xml:space="preserve">Strategic Rationale</w:t>
      </w:r>
      <w:r>
        <w:rPr>
          <w:rFonts w:eastAsia="inter" w:cs="inter" w:ascii="inter" w:hAnsi="inter"/>
          <w:color w:val="000000"/>
          <w:sz w:val="21"/>
        </w:rPr>
        <w:t xml:space="preserve">: Creates a "one-stop shop" for complex SAP projects spanning strategic planning through AI-powered implementation</w:t>
      </w:r>
    </w:p>
    <w:p>
      <w:pPr>
        <w:numPr>
          <w:ilvl w:val="0"/>
          <w:numId w:val="1"/>
        </w:numPr>
        <w:spacing w:line="360" w:before="105" w:after="105" w:lineRule="auto"/>
      </w:pPr>
      <w:r>
        <w:rPr>
          <w:rFonts w:eastAsia="inter" w:cs="inter" w:ascii="inter" w:hAnsi="inter"/>
          <w:b/>
          <w:color w:val="000000"/>
          <w:sz w:val="21"/>
        </w:rPr>
        <w:t xml:space="preserve">Competitive Advantage</w:t>
      </w:r>
      <w:r>
        <w:rPr>
          <w:rFonts w:eastAsia="inter" w:cs="inter" w:ascii="inter" w:hAnsi="inter"/>
          <w:color w:val="000000"/>
          <w:sz w:val="21"/>
        </w:rPr>
        <w:t xml:space="preserve">: Positions KPMG as the only Big Four firm in Israel offering end-to-end SAP-AI integration through a dedicated acquired capability</w:t>
      </w:r>
      <w:bookmarkStart w:id="9" w:name="fnref7"/>
      <w:bookmarkEnd w:id="9"/>
      <w:hyperlink w:anchor="fn7">
        <w:r>
          <w:rPr>
            <w:rFonts w:eastAsia="inter" w:cs="inter" w:ascii="inter" w:hAnsi="inter"/>
            <w:color w:val="#000"/>
            <w:sz w:val="21"/>
            <w:u w:val="single"/>
            <w:vertAlign w:val="superscript"/>
          </w:rPr>
          <w:t xml:space="preserve">[7]</w:t>
        </w:r>
      </w:hyperlink>
      <w:bookmarkStart w:id="10" w:name="fnref8"/>
      <w:bookmarkEnd w:id="10"/>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color w:val="000000"/>
        </w:rPr>
        <w:t xml:space="preserve">This acquisition transforms KPMG from SAP consultant to SAP-AI innovator, offering services competitors must still outsource: full-cycle S/4HANA deployment (public/private cloud, on-premise), AI-powered UX optimization, predictive analytics, and automated workflow intelligence embedded directly in enterprise systems.</w:t>
      </w:r>
      <w:bookmarkStart w:id="11" w:name="fnref8_1"/>
      <w:bookmarkEnd w:id="11"/>
      <w:hyperlink w:anchor="fn8">
        <w:r>
          <w:rPr>
            <w:rFonts w:eastAsia="inter" w:cs="inter" w:ascii="inter" w:hAnsi="inter"/>
            <w:color w:val="#000"/>
            <w:u w:val="single"/>
            <w:vertAlign w:val="superscript"/>
          </w:rPr>
          <w:t xml:space="preserve">[8]</w:t>
        </w:r>
      </w:hyperlink>
      <w:bookmarkStart w:id="12" w:name="fnref7_1"/>
      <w:bookmarkEnd w:id="12"/>
      <w:hyperlink w:anchor="fn7">
        <w:r>
          <w:rPr>
            <w:rFonts w:eastAsia="inter" w:cs="inter" w:ascii="inter" w:hAnsi="inter"/>
            <w:color w:val="#000"/>
            <w:u w:val="single"/>
            <w:vertAlign w:val="superscript"/>
          </w:rPr>
          <w:t xml:space="preserve">[7]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fintech_positioning_strong_analyt_c98777"/>
      <w:r>
        <w:rPr>
          <w:rFonts w:eastAsia="inter" w:cs="inter" w:ascii="inter" w:hAnsi="inter"/>
          <w:b/>
          <w:color w:val="000000"/>
          <w:sz w:val="24"/>
        </w:rPr>
        <w:t xml:space="preserve">Fintech Positioning: Strong Analytics, Weak Practice Branding</w:t>
      </w:r>
      <w:bookmarkEnd w:id="13"/>
    </w:p>
    <w:p>
      <w:pPr>
        <w:spacing w:line="360" w:after="210" w:lineRule="auto"/>
      </w:pPr>
      <w:r>
        <w:rPr>
          <w:rFonts w:eastAsia="inter" w:cs="inter" w:ascii="inter" w:hAnsi="inter"/>
          <w:b/>
          <w:color w:val="000000"/>
        </w:rPr>
        <w:t xml:space="preserve">Evidence of Fintech Capabilities:</w:t>
      </w:r>
    </w:p>
    <w:p>
      <w:pPr>
        <w:spacing w:line="360" w:after="210" w:lineRule="auto"/>
      </w:pPr>
      <w:r>
        <w:rPr>
          <w:rFonts w:eastAsia="inter" w:cs="inter" w:ascii="inter" w:hAnsi="inter"/>
          <w:color w:val="000000"/>
        </w:rPr>
        <w:t xml:space="preserve">KPMG demonstrates significant fintech market intelligence through its flagship </w:t>
      </w:r>
      <w:r>
        <w:rPr>
          <w:rFonts w:eastAsia="inter" w:cs="inter" w:ascii="inter" w:hAnsi="inter"/>
          <w:b/>
          <w:color w:val="000000"/>
        </w:rPr>
        <w:t xml:space="preserve">"Pulse of Fintech"</w:t>
      </w:r>
      <w:r>
        <w:rPr>
          <w:rFonts w:eastAsia="inter" w:cs="inter" w:ascii="inter" w:hAnsi="inter"/>
          <w:color w:val="000000"/>
        </w:rPr>
        <w:t xml:space="preserve"> global reports. The H1 2025 edition documented $44.7 billion in global fintech investment across 2,216 deals, with KPMG analysts tracking payments orchestration, digital assets, AI-driven fraud detection, and RegTech adoption.</w:t>
      </w:r>
      <w:bookmarkStart w:id="14" w:name="fnref9"/>
      <w:bookmarkEnd w:id="14"/>
      <w:hyperlink w:anchor="fn9">
        <w:r>
          <w:rPr>
            <w:rFonts w:eastAsia="inter" w:cs="inter" w:ascii="inter" w:hAnsi="inter"/>
            <w:color w:val="#000"/>
            <w:u w:val="single"/>
            <w:vertAlign w:val="superscript"/>
          </w:rPr>
          <w:t xml:space="preserve">[9]</w:t>
        </w:r>
      </w:hyperlink>
      <w:bookmarkStart w:id="15" w:name="fnref10"/>
      <w:bookmarkEnd w:id="15"/>
      <w:hyperlink w:anchor="fn10">
        <w:r>
          <w:rPr>
            <w:rFonts w:eastAsia="inter" w:cs="inter" w:ascii="inter" w:hAnsi="inter"/>
            <w:color w:val="#000"/>
            <w:u w:val="single"/>
            <w:vertAlign w:val="superscript"/>
          </w:rPr>
          <w:t xml:space="preserve">[10]</w:t>
        </w:r>
      </w:hyperlink>
      <w:bookmarkStart w:id="16" w:name="fnref11"/>
      <w:bookmarkEnd w:id="16"/>
      <w:hyperlink w:anchor="fn11">
        <w:r>
          <w:rPr>
            <w:rFonts w:eastAsia="inter" w:cs="inter" w:ascii="inter" w:hAnsi="inter"/>
            <w:color w:val="#000"/>
            <w:u w:val="single"/>
            <w:vertAlign w:val="superscript"/>
          </w:rPr>
          <w:t xml:space="preserve">[11]</w:t>
        </w:r>
      </w:hyperlink>
      <w:bookmarkStart w:id="17" w:name="fnref12"/>
      <w:bookmarkEnd w:id="17"/>
      <w:hyperlink w:anchor="fn12">
        <w:r>
          <w:rPr>
            <w:rFonts w:eastAsia="inter" w:cs="inter" w:ascii="inter" w:hAnsi="inter"/>
            <w:color w:val="#000"/>
            <w:u w:val="single"/>
            <w:vertAlign w:val="superscript"/>
          </w:rPr>
          <w:t xml:space="preserve">[12]</w:t>
        </w:r>
      </w:hyperlink>
      <w:bookmarkStart w:id="18" w:name="fnref13"/>
      <w:bookmarkEnd w:id="18"/>
      <w:hyperlink w:anchor="fn13">
        <w:r>
          <w:rPr>
            <w:rFonts w:eastAsia="inter" w:cs="inter" w:ascii="inter" w:hAnsi="inter"/>
            <w:color w:val="#000"/>
            <w:u w:val="single"/>
            <w:vertAlign w:val="superscript"/>
          </w:rPr>
          <w:t xml:space="preserve">[13]</w:t>
        </w:r>
      </w:hyperlink>
      <w:bookmarkStart w:id="19" w:name="fnref14"/>
      <w:bookmarkEnd w:id="19"/>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Israel's fintech ecosystem shows 217 active banking/payment startups (down from 228 peak in 2022), with notable investments including Lead Bank's $70 million raise for banking services targeting fintech and crypto firms.</w:t>
      </w:r>
      <w:bookmarkStart w:id="20" w:name="fnref15"/>
      <w:bookmarkEnd w:id="20"/>
      <w:hyperlink w:anchor="fn15">
        <w:r>
          <w:rPr>
            <w:rFonts w:eastAsia="inter" w:cs="inter" w:ascii="inter" w:hAnsi="inter"/>
            <w:color w:val="#000"/>
            <w:u w:val="single"/>
            <w:vertAlign w:val="superscript"/>
          </w:rPr>
          <w:t xml:space="preserve">[15]</w:t>
        </w:r>
      </w:hyperlink>
      <w:bookmarkStart w:id="21" w:name="fnref16"/>
      <w:bookmarkEnd w:id="21"/>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Despite KPMG's strong banking sector presence and fintech analytics capabilities, </w:t>
      </w:r>
      <w:r>
        <w:rPr>
          <w:rFonts w:eastAsia="inter" w:cs="inter" w:ascii="inter" w:hAnsi="inter"/>
          <w:b/>
          <w:color w:val="000000"/>
        </w:rPr>
        <w:t xml:space="preserve">no dedicated "Fintech Practice" branding exists</w:t>
      </w:r>
      <w:r>
        <w:rPr>
          <w:rFonts w:eastAsia="inter" w:cs="inter" w:ascii="inter" w:hAnsi="inter"/>
          <w:color w:val="000000"/>
        </w:rPr>
        <w:t xml:space="preserve"> for the Israel office. The firm positions itself through horizontal banking services rather than vertical fintech specialization. This contrasts with the explicit "Technology Practice" led by Dina Pasca-Raz.</w:t>
      </w:r>
      <w:bookmarkStart w:id="22" w:name="fnref17"/>
      <w:bookmarkEnd w:id="22"/>
      <w:hyperlink w:anchor="fn17">
        <w:r>
          <w:rPr>
            <w:rFonts w:eastAsia="inter" w:cs="inter" w:ascii="inter" w:hAnsi="inter"/>
            <w:color w:val="#000"/>
            <w:u w:val="single"/>
            <w:vertAlign w:val="superscript"/>
          </w:rPr>
          <w:t xml:space="preserve">[17]</w:t>
        </w:r>
      </w:hyperlink>
      <w:bookmarkStart w:id="23" w:name="fnref18"/>
      <w:bookmarkEnd w:id="23"/>
      <w:hyperlink w:anchor="fn18">
        <w:r>
          <w:rPr>
            <w:rFonts w:eastAsia="inter" w:cs="inter" w:ascii="inter" w:hAnsi="inter"/>
            <w:color w:val="#000"/>
            <w:u w:val="single"/>
            <w:vertAlign w:val="superscript"/>
          </w:rPr>
          <w:t xml:space="preserve">[18]</w:t>
        </w:r>
      </w:hyperlink>
      <w:bookmarkStart w:id="24" w:name="fnref19"/>
      <w:bookmarkEnd w:id="24"/>
      <w:hyperlink w:anchor="fn19">
        <w:r>
          <w:rPr>
            <w:rFonts w:eastAsia="inter" w:cs="inter" w:ascii="inter" w:hAnsi="inter"/>
            <w:color w:val="#000"/>
            <w:u w:val="single"/>
            <w:vertAlign w:val="superscript"/>
          </w:rPr>
          <w:t xml:space="preserve">[19]</w:t>
        </w:r>
      </w:hyperlink>
      <w:bookmarkStart w:id="25" w:name="fnref20"/>
      <w:bookmarkEnd w:id="25"/>
      <w:hyperlink w:anchor="fn20">
        <w:r>
          <w:rPr>
            <w:rFonts w:eastAsia="inter" w:cs="inter" w:ascii="inter" w:hAnsi="inter"/>
            <w:color w:val="#000"/>
            <w:u w:val="single"/>
            <w:vertAlign w:val="superscript"/>
          </w:rPr>
          <w:t xml:space="preserve">[20]</w:t>
        </w:r>
      </w:hyperlink>
      <w:bookmarkStart w:id="26" w:name="fnref21"/>
      <w:bookmarkEnd w:id="26"/>
      <w:hyperlink w:anchor="fn21">
        <w:r>
          <w:rPr>
            <w:rFonts w:eastAsia="inter" w:cs="inter" w:ascii="inter" w:hAnsi="inter"/>
            <w:color w:val="#000"/>
            <w:u w:val="single"/>
            <w:vertAlign w:val="superscript"/>
          </w:rPr>
          <w:t xml:space="preserve">[21]</w:t>
        </w:r>
      </w:hyperlink>
      <w:bookmarkStart w:id="27" w:name="fnref22"/>
      <w:bookmarkEnd w:id="27"/>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b/>
          <w:color w:val="000000"/>
        </w:rPr>
        <w:t xml:space="preserve">EnTech (Energy Tech) Assessment:</w:t>
      </w:r>
    </w:p>
    <w:p>
      <w:pPr>
        <w:spacing w:line="360" w:after="210" w:lineRule="auto"/>
      </w:pPr>
      <w:r>
        <w:rPr>
          <w:rFonts w:eastAsia="inter" w:cs="inter" w:ascii="inter" w:hAnsi="inter"/>
          <w:color w:val="000000"/>
        </w:rPr>
        <w:t xml:space="preserve">While KPMG Global maintains robust energy technology consulting practices focused on grid modernization, renewable energy optimization, and AI-powered energy management, </w:t>
      </w:r>
      <w:r>
        <w:rPr>
          <w:rFonts w:eastAsia="inter" w:cs="inter" w:ascii="inter" w:hAnsi="inter"/>
          <w:b/>
          <w:color w:val="000000"/>
        </w:rPr>
        <w:t xml:space="preserve">KPMG Israel shows no dedicated "EnTech" practice</w:t>
      </w:r>
      <w:r>
        <w:rPr>
          <w:rFonts w:eastAsia="inter" w:cs="inter" w:ascii="inter" w:hAnsi="inter"/>
          <w:color w:val="000000"/>
        </w:rPr>
        <w:t xml:space="preserve">. The firm lists a "Communications and Energy Team" and energy as a client sector, but lacks the specialized energy innovation positioning found in other markets.</w:t>
      </w:r>
      <w:bookmarkStart w:id="28" w:name="fnref23"/>
      <w:bookmarkEnd w:id="28"/>
      <w:hyperlink w:anchor="fn23">
        <w:r>
          <w:rPr>
            <w:rFonts w:eastAsia="inter" w:cs="inter" w:ascii="inter" w:hAnsi="inter"/>
            <w:color w:val="#000"/>
            <w:u w:val="single"/>
            <w:vertAlign w:val="superscript"/>
          </w:rPr>
          <w:t xml:space="preserve">[23]</w:t>
        </w:r>
      </w:hyperlink>
      <w:bookmarkStart w:id="29" w:name="fnref24"/>
      <w:bookmarkEnd w:id="29"/>
      <w:hyperlink w:anchor="fn24">
        <w:r>
          <w:rPr>
            <w:rFonts w:eastAsia="inter" w:cs="inter" w:ascii="inter" w:hAnsi="inter"/>
            <w:color w:val="#000"/>
            <w:u w:val="single"/>
            <w:vertAlign w:val="superscript"/>
          </w:rPr>
          <w:t xml:space="preserve">[24]</w:t>
        </w:r>
      </w:hyperlink>
      <w:bookmarkStart w:id="30" w:name="fnref25"/>
      <w:bookmarkEnd w:id="30"/>
      <w:hyperlink w:anchor="fn25">
        <w:r>
          <w:rPr>
            <w:rFonts w:eastAsia="inter" w:cs="inter" w:ascii="inter" w:hAnsi="inter"/>
            <w:color w:val="#000"/>
            <w:u w:val="single"/>
            <w:vertAlign w:val="superscript"/>
          </w:rPr>
          <w:t xml:space="preserve">[25]</w:t>
        </w:r>
      </w:hyperlink>
      <w:bookmarkStart w:id="31" w:name="fnref26"/>
      <w:bookmarkEnd w:id="31"/>
      <w:hyperlink w:anchor="fn26">
        <w:r>
          <w:rPr>
            <w:rFonts w:eastAsia="inter" w:cs="inter" w:ascii="inter" w:hAnsi="inter"/>
            <w:color w:val="#000"/>
            <w:u w:val="single"/>
            <w:vertAlign w:val="superscript"/>
          </w:rPr>
          <w:t xml:space="preserve">[26]</w:t>
        </w:r>
      </w:hyperlink>
      <w:bookmarkStart w:id="32" w:name="fnref27"/>
      <w:bookmarkEnd w:id="32"/>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color w:val="000000"/>
        </w:rPr>
        <w:t xml:space="preserve">This absence is notable given Israel's vibrant energy tech ecosystem: 350+ active startups raised over $400 million in 2024 across energy generation, storage, hydrogen, and carbon capture subsectors. The gap represents either strategic prioritization elsewhere or an opportunity competitors could exploit.</w:t>
      </w:r>
      <w:bookmarkStart w:id="33" w:name="fnref28"/>
      <w:bookmarkEnd w:id="33"/>
      <w:hyperlink w:anchor="fn28">
        <w:r>
          <w:rPr>
            <w:rFonts w:eastAsia="inter" w:cs="inter" w:ascii="inter" w:hAnsi="inter"/>
            <w:color w:val="#000"/>
            <w:u w:val="single"/>
            <w:vertAlign w:val="superscript"/>
          </w:rPr>
          <w:t xml:space="preserve">[28]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ai_governance_positioning_for_reg_fcf2a8"/>
      <w:r>
        <w:rPr>
          <w:rFonts w:eastAsia="inter" w:cs="inter" w:ascii="inter" w:hAnsi="inter"/>
          <w:b/>
          <w:color w:val="000000"/>
          <w:sz w:val="24"/>
        </w:rPr>
        <w:t xml:space="preserve">AI Governance: Positioning for Regulatory Leadership</w:t>
      </w:r>
      <w:bookmarkEnd w:id="34"/>
    </w:p>
    <w:p>
      <w:pPr>
        <w:spacing w:line="360" w:after="210" w:lineRule="auto"/>
      </w:pPr>
      <w:r>
        <w:rPr>
          <w:rFonts w:eastAsia="inter" w:cs="inter" w:ascii="inter" w:hAnsi="inter"/>
          <w:color w:val="000000"/>
        </w:rPr>
        <w:t xml:space="preserve">KPMG Israel is aggressively positioning as the </w:t>
      </w:r>
      <w:r>
        <w:rPr>
          <w:rFonts w:eastAsia="inter" w:cs="inter" w:ascii="inter" w:hAnsi="inter"/>
          <w:b/>
          <w:color w:val="000000"/>
        </w:rPr>
        <w:t xml:space="preserve">"Responsible AI" compliance leader</w:t>
      </w:r>
      <w:r>
        <w:rPr>
          <w:rFonts w:eastAsia="inter" w:cs="inter" w:ascii="inter" w:hAnsi="inter"/>
          <w:color w:val="000000"/>
        </w:rPr>
        <w:t xml:space="preserve">, leveraging both global frameworks and Israel's national AI regulation policy emphasizing "Responsible Innovation".</w:t>
      </w:r>
      <w:bookmarkStart w:id="35" w:name="fnref29"/>
      <w:bookmarkEnd w:id="35"/>
      <w:hyperlink w:anchor="fn29">
        <w:r>
          <w:rPr>
            <w:rFonts w:eastAsia="inter" w:cs="inter" w:ascii="inter" w:hAnsi="inter"/>
            <w:color w:val="#000"/>
            <w:u w:val="single"/>
            <w:vertAlign w:val="superscript"/>
          </w:rPr>
          <w:t xml:space="preserve">[29]</w:t>
        </w:r>
      </w:hyperlink>
      <w:bookmarkStart w:id="36" w:name="fnref30"/>
      <w:bookmarkEnd w:id="36"/>
      <w:hyperlink w:anchor="fn30">
        <w:r>
          <w:rPr>
            <w:rFonts w:eastAsia="inter" w:cs="inter" w:ascii="inter" w:hAnsi="inter"/>
            <w:color w:val="#000"/>
            <w:u w:val="single"/>
            <w:vertAlign w:val="superscript"/>
          </w:rPr>
          <w:t xml:space="preserve">[30]</w:t>
        </w:r>
      </w:hyperlink>
      <w:bookmarkStart w:id="37" w:name="fnref31"/>
      <w:bookmarkEnd w:id="37"/>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b/>
          <w:color w:val="000000"/>
        </w:rPr>
        <w:t xml:space="preserve">KPMG Trusted AI Framework:</w:t>
      </w:r>
    </w:p>
    <w:p>
      <w:pPr>
        <w:numPr>
          <w:ilvl w:val="0"/>
          <w:numId w:val="2"/>
        </w:numPr>
        <w:spacing w:line="360" w:before="105" w:after="105" w:lineRule="auto"/>
      </w:pPr>
      <w:r>
        <w:rPr>
          <w:rFonts w:eastAsia="inter" w:cs="inter" w:ascii="inter" w:hAnsi="inter"/>
          <w:color w:val="000000"/>
          <w:sz w:val="21"/>
        </w:rPr>
        <w:t xml:space="preserve">Based on NIST and ISO 42001 international standards</w:t>
      </w:r>
    </w:p>
    <w:p>
      <w:pPr>
        <w:numPr>
          <w:ilvl w:val="0"/>
          <w:numId w:val="2"/>
        </w:numPr>
        <w:spacing w:line="360" w:before="105" w:after="105" w:lineRule="auto"/>
      </w:pPr>
      <w:r>
        <w:rPr>
          <w:rFonts w:eastAsia="inter" w:cs="inter" w:ascii="inter" w:hAnsi="inter"/>
          <w:color w:val="000000"/>
          <w:sz w:val="21"/>
        </w:rPr>
        <w:t xml:space="preserve">Structured around 10 ethical pillars for AI lifecycle management</w:t>
      </w:r>
    </w:p>
    <w:p>
      <w:pPr>
        <w:numPr>
          <w:ilvl w:val="0"/>
          <w:numId w:val="2"/>
        </w:numPr>
        <w:spacing w:line="360" w:before="105" w:after="105" w:lineRule="auto"/>
      </w:pPr>
      <w:r>
        <w:rPr>
          <w:rFonts w:eastAsia="inter" w:cs="inter" w:ascii="inter" w:hAnsi="inter"/>
          <w:color w:val="000000"/>
          <w:sz w:val="21"/>
        </w:rPr>
        <w:t xml:space="preserve">Services span AI strategy, security frameworks, governance committees, and regulatory compliance</w:t>
      </w:r>
    </w:p>
    <w:p>
      <w:pPr>
        <w:numPr>
          <w:ilvl w:val="0"/>
          <w:numId w:val="2"/>
        </w:numPr>
        <w:spacing w:line="360" w:before="105" w:after="105" w:lineRule="auto"/>
      </w:pPr>
      <w:r>
        <w:rPr>
          <w:rFonts w:eastAsia="inter" w:cs="inter" w:ascii="inter" w:hAnsi="inter"/>
          <w:color w:val="000000"/>
          <w:sz w:val="21"/>
        </w:rPr>
        <w:t xml:space="preserve">Recent client example: Customized AI governance for state Medicaid agency including GenAI governance committee, security framework, and organizational change management</w:t>
      </w:r>
      <w:bookmarkStart w:id="38" w:name="fnref32"/>
      <w:bookmarkEnd w:id="38"/>
      <w:hyperlink w:anchor="fn32">
        <w:r>
          <w:rPr>
            <w:rFonts w:eastAsia="inter" w:cs="inter" w:ascii="inter" w:hAnsi="inter"/>
            <w:color w:val="#000"/>
            <w:sz w:val="21"/>
            <w:u w:val="single"/>
            <w:vertAlign w:val="superscript"/>
          </w:rPr>
          <w:t xml:space="preserve">[32]</w:t>
        </w:r>
      </w:hyperlink>
      <w:bookmarkStart w:id="39" w:name="fnref33"/>
      <w:bookmarkEnd w:id="39"/>
      <w:hyperlink w:anchor="fn33">
        <w:r>
          <w:rPr>
            <w:rFonts w:eastAsia="inter" w:cs="inter" w:ascii="inter" w:hAnsi="inter"/>
            <w:color w:val="#000"/>
            <w:sz w:val="21"/>
            <w:u w:val="single"/>
            <w:vertAlign w:val="superscript"/>
          </w:rPr>
          <w:t xml:space="preserve">[33]</w:t>
        </w:r>
      </w:hyperlink>
    </w:p>
    <w:p>
      <w:pPr>
        <w:spacing w:line="360" w:after="210" w:lineRule="auto"/>
      </w:pPr>
      <w:r>
        <w:rPr>
          <w:rFonts w:eastAsia="inter" w:cs="inter" w:ascii="inter" w:hAnsi="inter"/>
          <w:b/>
          <w:color w:val="000000"/>
        </w:rPr>
        <w:t xml:space="preserve">Israel Market Context:</w:t>
      </w:r>
    </w:p>
    <w:p>
      <w:pPr>
        <w:numPr>
          <w:ilvl w:val="0"/>
          <w:numId w:val="3"/>
        </w:numPr>
        <w:spacing w:line="360" w:before="105" w:after="105" w:lineRule="auto"/>
      </w:pPr>
      <w:r>
        <w:rPr>
          <w:rFonts w:eastAsia="inter" w:cs="inter" w:ascii="inter" w:hAnsi="inter"/>
          <w:color w:val="000000"/>
          <w:sz w:val="21"/>
        </w:rPr>
        <w:t xml:space="preserve">75% of Israelis believe AI regulation is required (KPMG research)</w:t>
      </w:r>
      <w:bookmarkStart w:id="40" w:name="fnref31_1"/>
      <w:bookmarkEnd w:id="40"/>
      <w:hyperlink w:anchor="fn31">
        <w:r>
          <w:rPr>
            <w:rFonts w:eastAsia="inter" w:cs="inter" w:ascii="inter" w:hAnsi="inter"/>
            <w:color w:val="#000"/>
            <w:sz w:val="21"/>
            <w:u w:val="single"/>
            <w:vertAlign w:val="superscript"/>
          </w:rPr>
          <w:t xml:space="preserve">[31]</w:t>
        </w:r>
      </w:hyperlink>
    </w:p>
    <w:p>
      <w:pPr>
        <w:numPr>
          <w:ilvl w:val="0"/>
          <w:numId w:val="3"/>
        </w:numPr>
        <w:spacing w:line="360" w:before="105" w:after="105" w:lineRule="auto"/>
      </w:pPr>
      <w:r>
        <w:rPr>
          <w:rFonts w:eastAsia="inter" w:cs="inter" w:ascii="inter" w:hAnsi="inter"/>
          <w:color w:val="000000"/>
          <w:sz w:val="21"/>
        </w:rPr>
        <w:t xml:space="preserve">Israel's National AI Program (2025) emphasizes "responsible innovation" and international regulatory alignment</w:t>
      </w:r>
      <w:bookmarkStart w:id="41" w:name="fnref29_1"/>
      <w:bookmarkEnd w:id="41"/>
      <w:hyperlink w:anchor="fn29">
        <w:r>
          <w:rPr>
            <w:rFonts w:eastAsia="inter" w:cs="inter" w:ascii="inter" w:hAnsi="inter"/>
            <w:color w:val="#000"/>
            <w:sz w:val="21"/>
            <w:u w:val="single"/>
            <w:vertAlign w:val="superscript"/>
          </w:rPr>
          <w:t xml:space="preserve">[29]</w:t>
        </w:r>
      </w:hyperlink>
    </w:p>
    <w:p>
      <w:pPr>
        <w:numPr>
          <w:ilvl w:val="0"/>
          <w:numId w:val="3"/>
        </w:numPr>
        <w:spacing w:line="360" w:before="105" w:after="105" w:lineRule="auto"/>
      </w:pPr>
      <w:r>
        <w:rPr>
          <w:rFonts w:eastAsia="inter" w:cs="inter" w:ascii="inter" w:hAnsi="inter"/>
          <w:color w:val="000000"/>
          <w:sz w:val="21"/>
        </w:rPr>
        <w:t xml:space="preserve">KPMG positioned to capture compliance advisory demand as Israeli firms navigate EU AI Act, U.S. executive orders, and domestic regulations</w:t>
      </w:r>
      <w:bookmarkStart w:id="42" w:name="fnref30_1"/>
      <w:bookmarkEnd w:id="42"/>
      <w:hyperlink w:anchor="fn30">
        <w:r>
          <w:rPr>
            <w:rFonts w:eastAsia="inter" w:cs="inter" w:ascii="inter" w:hAnsi="inter"/>
            <w:color w:val="#000"/>
            <w:sz w:val="21"/>
            <w:u w:val="single"/>
            <w:vertAlign w:val="superscript"/>
          </w:rPr>
          <w:t xml:space="preserve">[30]</w:t>
        </w:r>
      </w:hyperlink>
      <w:bookmarkStart w:id="43" w:name="fnref34"/>
      <w:bookmarkEnd w:id="43"/>
      <w:hyperlink w:anchor="fn34">
        <w:r>
          <w:rPr>
            <w:rFonts w:eastAsia="inter" w:cs="inter" w:ascii="inter" w:hAnsi="inter"/>
            <w:color w:val="#000"/>
            <w:sz w:val="21"/>
            <w:u w:val="single"/>
            <w:vertAlign w:val="superscript"/>
          </w:rPr>
          <w:t xml:space="preserve">[34]</w:t>
        </w:r>
      </w:hyperlink>
      <w:bookmarkStart w:id="44" w:name="fnref32_1"/>
      <w:bookmarkEnd w:id="44"/>
      <w:hyperlink w:anchor="fn32">
        <w:r>
          <w:rPr>
            <w:rFonts w:eastAsia="inter" w:cs="inter" w:ascii="inter" w:hAnsi="inter"/>
            <w:color w:val="#000"/>
            <w:sz w:val="21"/>
            <w:u w:val="single"/>
            <w:vertAlign w:val="superscript"/>
          </w:rPr>
          <w:t xml:space="preserve">[32]</w:t>
        </w:r>
      </w:hyperlink>
    </w:p>
    <w:p>
      <w:pPr>
        <w:spacing w:line="360" w:after="210" w:lineRule="auto"/>
      </w:pPr>
      <w:r>
        <w:rPr>
          <w:rFonts w:eastAsia="inter" w:cs="inter" w:ascii="inter" w:hAnsi="inter"/>
          <w:b/>
          <w:color w:val="000000"/>
        </w:rPr>
        <w:t xml:space="preserve">Competitive Positioning:</w:t>
      </w:r>
      <w:r>
        <w:rPr>
          <w:rFonts w:eastAsia="inter" w:cs="inter" w:ascii="inter" w:hAnsi="inter"/>
          <w:color w:val="000000"/>
        </w:rPr>
        <w:t xml:space="preserve"> While EY lists AI compliance within broader governance offerings, KPMG has developed a more comprehensive, branded "Trusted AI" methodology positioning the firm as specialist rather than generalist in this emerging regulatory space.</w:t>
      </w:r>
      <w:bookmarkStart w:id="45" w:name="fnref35"/>
      <w:bookmarkEnd w:id="45"/>
      <w:hyperlink w:anchor="fn35">
        <w:r>
          <w:rPr>
            <w:rFonts w:eastAsia="inter" w:cs="inter" w:ascii="inter" w:hAnsi="inter"/>
            <w:color w:val="#000"/>
            <w:u w:val="single"/>
            <w:vertAlign w:val="superscript"/>
          </w:rPr>
          <w:t xml:space="preserve">[35]</w:t>
        </w:r>
      </w:hyperlink>
      <w:bookmarkStart w:id="46" w:name="fnref33_1"/>
      <w:bookmarkEnd w:id="46"/>
      <w:hyperlink w:anchor="fn33">
        <w:r>
          <w:rPr>
            <w:rFonts w:eastAsia="inter" w:cs="inter" w:ascii="inter" w:hAnsi="inter"/>
            <w:color w:val="#000"/>
            <w:u w:val="single"/>
            <w:vertAlign w:val="superscript"/>
          </w:rPr>
          <w:t xml:space="preserve">[33]</w:t>
        </w:r>
      </w:hyperlink>
      <w:bookmarkStart w:id="47" w:name="fnref30_2"/>
      <w:bookmarkEnd w:id="47"/>
      <w:hyperlink w:anchor="fn30">
        <w:r>
          <w:rPr>
            <w:rFonts w:eastAsia="inter" w:cs="inter" w:ascii="inter" w:hAnsi="inter"/>
            <w:color w:val="#000"/>
            <w:u w:val="single"/>
            <w:vertAlign w:val="superscript"/>
          </w:rPr>
          <w:t xml:space="preserve">[30]</w:t>
        </w:r>
      </w:hyperlink>
      <w:bookmarkStart w:id="48" w:name="fnref32_2"/>
      <w:bookmarkEnd w:id="48"/>
      <w:hyperlink w:anchor="fn32">
        <w:r>
          <w:rPr>
            <w:rFonts w:eastAsia="inter" w:cs="inter" w:ascii="inter" w:hAnsi="inter"/>
            <w:color w:val="#000"/>
            <w:u w:val="single"/>
            <w:vertAlign w:val="superscript"/>
          </w:rPr>
          <w:t xml:space="preserve">[32]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it_implementation_heavy_systems_p_dc959a"/>
      <w:r>
        <w:rPr>
          <w:rFonts w:eastAsia="inter" w:cs="inter" w:ascii="inter" w:hAnsi="inter"/>
          <w:b/>
          <w:color w:val="000000"/>
          <w:sz w:val="24"/>
        </w:rPr>
        <w:t xml:space="preserve">IT Implementation: Heavy Systems Partner, Not Just Advisor</w:t>
      </w:r>
      <w:bookmarkEnd w:id="49"/>
    </w:p>
    <w:p>
      <w:pPr>
        <w:spacing w:line="360" w:after="210" w:lineRule="auto"/>
      </w:pPr>
      <w:r>
        <w:rPr>
          <w:rFonts w:eastAsia="inter" w:cs="inter" w:ascii="inter" w:hAnsi="inter"/>
          <w:color w:val="000000"/>
        </w:rPr>
        <w:t xml:space="preserve">KPMG Israel operates as a </w:t>
      </w:r>
      <w:r>
        <w:rPr>
          <w:rFonts w:eastAsia="inter" w:cs="inter" w:ascii="inter" w:hAnsi="inter"/>
          <w:b/>
          <w:color w:val="000000"/>
        </w:rPr>
        <w:t xml:space="preserve">full-stack technology implementer</w:t>
      </w:r>
      <w:r>
        <w:rPr>
          <w:rFonts w:eastAsia="inter" w:cs="inter" w:ascii="inter" w:hAnsi="inter"/>
          <w:color w:val="000000"/>
        </w:rPr>
        <w:t xml:space="preserve">, not merely a strategic advisor recommending vendors. This represents a critical differentiation from firms focused primarily on consulting.</w:t>
      </w:r>
      <w:bookmarkStart w:id="50" w:name="fnref36"/>
      <w:bookmarkEnd w:id="50"/>
      <w:hyperlink w:anchor="fn36">
        <w:r>
          <w:rPr>
            <w:rFonts w:eastAsia="inter" w:cs="inter" w:ascii="inter" w:hAnsi="inter"/>
            <w:color w:val="#000"/>
            <w:u w:val="single"/>
            <w:vertAlign w:val="superscript"/>
          </w:rPr>
          <w:t xml:space="preserve">[36]</w:t>
        </w:r>
      </w:hyperlink>
      <w:bookmarkStart w:id="51" w:name="fnref37"/>
      <w:bookmarkEnd w:id="51"/>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b/>
          <w:color w:val="000000"/>
        </w:rPr>
        <w:t xml:space="preserve">SAP Implementation Capability:</w:t>
      </w:r>
    </w:p>
    <w:p>
      <w:pPr>
        <w:numPr>
          <w:ilvl w:val="0"/>
          <w:numId w:val="4"/>
        </w:numPr>
        <w:spacing w:line="360" w:before="105" w:after="105" w:lineRule="auto"/>
      </w:pPr>
      <w:r>
        <w:rPr>
          <w:rFonts w:eastAsia="inter" w:cs="inter" w:ascii="inter" w:hAnsi="inter"/>
          <w:b/>
          <w:color w:val="000000"/>
          <w:sz w:val="21"/>
        </w:rPr>
        <w:t xml:space="preserve">KPMG Powered Enterprise enabled by SAP</w:t>
      </w:r>
      <w:r>
        <w:rPr>
          <w:rFonts w:eastAsia="inter" w:cs="inter" w:ascii="inter" w:hAnsi="inter"/>
          <w:color w:val="000000"/>
          <w:sz w:val="21"/>
        </w:rPr>
        <w:t xml:space="preserve">: Preconfigured ERP solutions for multiple industries</w:t>
      </w:r>
      <w:bookmarkStart w:id="52" w:name="fnref38"/>
      <w:bookmarkEnd w:id="52"/>
      <w:hyperlink w:anchor="fn38">
        <w:r>
          <w:rPr>
            <w:rFonts w:eastAsia="inter" w:cs="inter" w:ascii="inter" w:hAnsi="inter"/>
            <w:color w:val="#000"/>
            <w:sz w:val="21"/>
            <w:u w:val="single"/>
            <w:vertAlign w:val="superscript"/>
          </w:rPr>
          <w:t xml:space="preserve">[38]</w:t>
        </w:r>
      </w:hyperlink>
      <w:bookmarkStart w:id="53" w:name="fnref39"/>
      <w:bookmarkEnd w:id="53"/>
      <w:hyperlink w:anchor="fn39">
        <w:r>
          <w:rPr>
            <w:rFonts w:eastAsia="inter" w:cs="inter" w:ascii="inter" w:hAnsi="inter"/>
            <w:color w:val="#000"/>
            <w:sz w:val="21"/>
            <w:u w:val="single"/>
            <w:vertAlign w:val="superscript"/>
          </w:rPr>
          <w:t xml:space="preserve">[39]</w:t>
        </w:r>
      </w:hyperlink>
    </w:p>
    <w:p>
      <w:pPr>
        <w:numPr>
          <w:ilvl w:val="0"/>
          <w:numId w:val="4"/>
        </w:numPr>
        <w:spacing w:line="360" w:before="105" w:after="105" w:lineRule="auto"/>
      </w:pPr>
      <w:r>
        <w:rPr>
          <w:rFonts w:eastAsia="inter" w:cs="inter" w:ascii="inter" w:hAnsi="inter"/>
          <w:b/>
          <w:color w:val="000000"/>
          <w:sz w:val="21"/>
        </w:rPr>
        <w:t xml:space="preserve">Full S/4HANA lifecycle</w:t>
      </w:r>
      <w:r>
        <w:rPr>
          <w:rFonts w:eastAsia="inter" w:cs="inter" w:ascii="inter" w:hAnsi="inter"/>
          <w:color w:val="000000"/>
          <w:sz w:val="21"/>
        </w:rPr>
        <w:t xml:space="preserve">: Cloud (public/private), hybrid, and on-premise deployments</w:t>
      </w:r>
    </w:p>
    <w:p>
      <w:pPr>
        <w:numPr>
          <w:ilvl w:val="0"/>
          <w:numId w:val="4"/>
        </w:numPr>
        <w:spacing w:line="360" w:before="105" w:after="105" w:lineRule="auto"/>
      </w:pPr>
      <w:r>
        <w:rPr>
          <w:rFonts w:eastAsia="inter" w:cs="inter" w:ascii="inter" w:hAnsi="inter"/>
          <w:b/>
          <w:color w:val="000000"/>
          <w:sz w:val="21"/>
        </w:rPr>
        <w:t xml:space="preserve">Q.V. Integration</w:t>
      </w:r>
      <w:r>
        <w:rPr>
          <w:rFonts w:eastAsia="inter" w:cs="inter" w:ascii="inter" w:hAnsi="inter"/>
          <w:color w:val="000000"/>
          <w:sz w:val="21"/>
        </w:rPr>
        <w:t xml:space="preserve">: AI-driven development using SAP BTP, CAP, RAP, Fiori, ABAP with machine learning integration</w:t>
      </w:r>
      <w:bookmarkStart w:id="54" w:name="fnref7_2"/>
      <w:bookmarkEnd w:id="54"/>
      <w:hyperlink w:anchor="fn7">
        <w:r>
          <w:rPr>
            <w:rFonts w:eastAsia="inter" w:cs="inter" w:ascii="inter" w:hAnsi="inter"/>
            <w:color w:val="#000"/>
            <w:sz w:val="21"/>
            <w:u w:val="single"/>
            <w:vertAlign w:val="superscript"/>
          </w:rPr>
          <w:t xml:space="preserve">[7]</w:t>
        </w:r>
      </w:hyperlink>
      <w:bookmarkStart w:id="55" w:name="fnref8_2"/>
      <w:bookmarkEnd w:id="55"/>
      <w:hyperlink w:anchor="fn8">
        <w:r>
          <w:rPr>
            <w:rFonts w:eastAsia="inter" w:cs="inter" w:ascii="inter" w:hAnsi="inter"/>
            <w:color w:val="#000"/>
            <w:sz w:val="21"/>
            <w:u w:val="single"/>
            <w:vertAlign w:val="superscript"/>
          </w:rPr>
          <w:t xml:space="preserve">[8]</w:t>
        </w:r>
      </w:hyperlink>
    </w:p>
    <w:p>
      <w:pPr>
        <w:numPr>
          <w:ilvl w:val="0"/>
          <w:numId w:val="4"/>
        </w:numPr>
        <w:spacing w:line="360" w:before="105" w:after="105" w:lineRule="auto"/>
      </w:pPr>
      <w:r>
        <w:rPr>
          <w:rFonts w:eastAsia="inter" w:cs="inter" w:ascii="inter" w:hAnsi="inter"/>
          <w:b/>
          <w:color w:val="000000"/>
          <w:sz w:val="21"/>
        </w:rPr>
        <w:t xml:space="preserve">Oracle Partnership</w:t>
      </w:r>
      <w:r>
        <w:rPr>
          <w:rFonts w:eastAsia="inter" w:cs="inter" w:ascii="inter" w:hAnsi="inter"/>
          <w:color w:val="000000"/>
          <w:sz w:val="21"/>
        </w:rPr>
        <w:t xml:space="preserve">: 30+ year alliance with 500+ Oracle Fusion Cloud deployments globally</w:t>
      </w:r>
      <w:bookmarkStart w:id="56" w:name="fnref40"/>
      <w:bookmarkEnd w:id="56"/>
      <w:hyperlink w:anchor="fn40">
        <w:r>
          <w:rPr>
            <w:rFonts w:eastAsia="inter" w:cs="inter" w:ascii="inter" w:hAnsi="inter"/>
            <w:color w:val="#000"/>
            <w:sz w:val="21"/>
            <w:u w:val="single"/>
            <w:vertAlign w:val="superscript"/>
          </w:rPr>
          <w:t xml:space="preserve">[40]</w:t>
        </w:r>
      </w:hyperlink>
    </w:p>
    <w:p>
      <w:pPr>
        <w:numPr>
          <w:ilvl w:val="0"/>
          <w:numId w:val="4"/>
        </w:numPr>
        <w:spacing w:line="360" w:before="105" w:after="105" w:lineRule="auto"/>
      </w:pPr>
      <w:r>
        <w:rPr>
          <w:rFonts w:eastAsia="inter" w:cs="inter" w:ascii="inter" w:hAnsi="inter"/>
          <w:b/>
          <w:color w:val="000000"/>
          <w:sz w:val="21"/>
        </w:rPr>
        <w:t xml:space="preserve">Salesforce Alliance</w:t>
      </w:r>
      <w:r>
        <w:rPr>
          <w:rFonts w:eastAsia="inter" w:cs="inter" w:ascii="inter" w:hAnsi="inter"/>
          <w:color w:val="000000"/>
          <w:sz w:val="21"/>
        </w:rPr>
        <w:t xml:space="preserve">: CRM implementation with MuleSoft integration connecting front, middle, and back-office systems</w:t>
      </w:r>
      <w:bookmarkStart w:id="57" w:name="fnref41"/>
      <w:bookmarkEnd w:id="57"/>
      <w:hyperlink w:anchor="fn41">
        <w:r>
          <w:rPr>
            <w:rFonts w:eastAsia="inter" w:cs="inter" w:ascii="inter" w:hAnsi="inter"/>
            <w:color w:val="#000"/>
            <w:sz w:val="21"/>
            <w:u w:val="single"/>
            <w:vertAlign w:val="superscript"/>
          </w:rPr>
          <w:t xml:space="preserve">[41]</w:t>
        </w:r>
      </w:hyperlink>
    </w:p>
    <w:p>
      <w:pPr>
        <w:spacing w:line="360" w:after="210" w:lineRule="auto"/>
      </w:pPr>
      <w:r>
        <w:rPr>
          <w:rFonts w:eastAsia="inter" w:cs="inter" w:ascii="inter" w:hAnsi="inter"/>
          <w:color w:val="000000"/>
        </w:rPr>
        <w:t xml:space="preserve">The firm employs </w:t>
      </w:r>
      <w:r>
        <w:rPr>
          <w:rFonts w:eastAsia="inter" w:cs="inter" w:ascii="inter" w:hAnsi="inter"/>
          <w:b/>
          <w:color w:val="000000"/>
        </w:rPr>
        <w:t xml:space="preserve">hundreds of technology specialists</w:t>
      </w:r>
      <w:r>
        <w:rPr>
          <w:rFonts w:eastAsia="inter" w:cs="inter" w:ascii="inter" w:hAnsi="inter"/>
          <w:color w:val="000000"/>
        </w:rPr>
        <w:t xml:space="preserve"> within KPMG Technology Consulting in Israel, spanning AI, cybersecurity, cloud, data analytics, and digital transformation. This represents substantial implementation capacity, not advisory overhead.</w:t>
      </w:r>
      <w:bookmarkStart w:id="58" w:name="fnref5_1"/>
      <w:bookmarkEnd w:id="58"/>
      <w:hyperlink w:anchor="fn5">
        <w:r>
          <w:rPr>
            <w:rFonts w:eastAsia="inter" w:cs="inter" w:ascii="inter" w:hAnsi="inter"/>
            <w:color w:val="#000"/>
            <w:u w:val="single"/>
            <w:vertAlign w:val="superscript"/>
          </w:rPr>
          <w:t xml:space="preserve">[5]</w:t>
        </w:r>
      </w:hyperlink>
      <w:bookmarkStart w:id="59" w:name="fnref6_1"/>
      <w:bookmarkEnd w:id="59"/>
      <w:hyperlink w:anchor="fn6">
        <w:r>
          <w:rPr>
            <w:rFonts w:eastAsia="inter" w:cs="inter" w:ascii="inter" w:hAnsi="inter"/>
            <w:color w:val="#000"/>
            <w:u w:val="single"/>
            <w:vertAlign w:val="superscript"/>
          </w:rPr>
          <w:t xml:space="preserve">[6]</w:t>
        </w:r>
      </w:hyperlink>
      <w:bookmarkStart w:id="60" w:name="fnref42"/>
      <w:bookmarkEnd w:id="60"/>
      <w:hyperlink w:anchor="fn42">
        <w:r>
          <w:rPr>
            <w:rFonts w:eastAsia="inter" w:cs="inter" w:ascii="inter" w:hAnsi="inter"/>
            <w:color w:val="#000"/>
            <w:u w:val="single"/>
            <w:vertAlign w:val="superscript"/>
          </w:rPr>
          <w:t xml:space="preserve">[42]</w:t>
        </w:r>
      </w:hyperlink>
      <w:bookmarkStart w:id="61" w:name="fnref43"/>
      <w:bookmarkEnd w:id="61"/>
      <w:hyperlink w:anchor="fn43">
        <w:r>
          <w:rPr>
            <w:rFonts w:eastAsia="inter" w:cs="inter" w:ascii="inter" w:hAnsi="inter"/>
            <w:color w:val="#000"/>
            <w:u w:val="single"/>
            <w:vertAlign w:val="superscript"/>
          </w:rPr>
          <w:t xml:space="preserve">[43]</w:t>
        </w:r>
      </w:hyperlink>
      <w:bookmarkStart w:id="62" w:name="fnref1_1"/>
      <w:bookmarkEnd w:id="6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Competitive Comparison:</w:t>
      </w:r>
      <w:r>
        <w:rPr>
          <w:rFonts w:eastAsia="inter" w:cs="inter" w:ascii="inter" w:hAnsi="inter"/>
          <w:color w:val="000000"/>
        </w:rPr>
        <w:t xml:space="preserve"> Deloitte emphasizes strategy and analytics; EY focuses on people-centric tech consulting; KPMG differentiates through implementation excellence and operational execution—clients hire KPMG to build systems, not just recommend them.</w:t>
      </w:r>
      <w:bookmarkStart w:id="63" w:name="fnref37_1"/>
      <w:bookmarkEnd w:id="63"/>
      <w:hyperlink w:anchor="fn37">
        <w:r>
          <w:rPr>
            <w:rFonts w:eastAsia="inter" w:cs="inter" w:ascii="inter" w:hAnsi="inter"/>
            <w:color w:val="#000"/>
            <w:u w:val="single"/>
            <w:vertAlign w:val="superscript"/>
          </w:rPr>
          <w:t xml:space="preserve">[37]</w:t>
        </w:r>
      </w:hyperlink>
      <w:bookmarkStart w:id="64" w:name="fnref36_1"/>
      <w:bookmarkEnd w:id="64"/>
      <w:hyperlink w:anchor="fn36">
        <w:r>
          <w:rPr>
            <w:rFonts w:eastAsia="inter" w:cs="inter" w:ascii="inter" w:hAnsi="inter"/>
            <w:color w:val="#000"/>
            <w:u w:val="single"/>
            <w:vertAlign w:val="superscript"/>
          </w:rPr>
          <w:t xml:space="preserve">[36]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technology_consulting_service_arc_8b0820"/>
      <w:r>
        <w:rPr>
          <w:rFonts w:eastAsia="inter" w:cs="inter" w:ascii="inter" w:hAnsi="inter"/>
          <w:b/>
          <w:color w:val="000000"/>
          <w:sz w:val="24"/>
        </w:rPr>
        <w:t xml:space="preserve">Technology Consulting Service Architecture</w:t>
      </w:r>
      <w:bookmarkEnd w:id="65"/>
    </w:p>
    <w:p>
      <w:pPr>
        <w:spacing w:line="360" w:after="210" w:lineRule="auto"/>
      </w:pPr>
      <w:r>
        <w:rPr>
          <w:rFonts w:eastAsia="inter" w:cs="inter" w:ascii="inter" w:hAnsi="inter"/>
          <w:color w:val="000000"/>
        </w:rPr>
        <w:t xml:space="preserve">KPMG Israel's technology practice spans eight core domains:</w:t>
      </w:r>
      <w:bookmarkStart w:id="66" w:name="fnref44"/>
      <w:bookmarkEnd w:id="66"/>
      <w:hyperlink w:anchor="fn44">
        <w:r>
          <w:rPr>
            <w:rFonts w:eastAsia="inter" w:cs="inter" w:ascii="inter" w:hAnsi="inter"/>
            <w:color w:val="#000"/>
            <w:u w:val="single"/>
            <w:vertAlign w:val="superscript"/>
          </w:rPr>
          <w:t xml:space="preserve">[44]</w:t>
        </w:r>
      </w:hyperlink>
      <w:bookmarkStart w:id="67" w:name="fnref45"/>
      <w:bookmarkEnd w:id="67"/>
      <w:hyperlink w:anchor="fn45">
        <w:r>
          <w:rPr>
            <w:rFonts w:eastAsia="inter" w:cs="inter" w:ascii="inter" w:hAnsi="inter"/>
            <w:color w:val="#000"/>
            <w:u w:val="single"/>
            <w:vertAlign w:val="superscript"/>
          </w:rPr>
          <w:t xml:space="preserve">[45]</w:t>
        </w:r>
      </w:hyperlink>
      <w:bookmarkStart w:id="68" w:name="fnref42_1"/>
      <w:bookmarkEnd w:id="68"/>
      <w:hyperlink w:anchor="fn42">
        <w:r>
          <w:rPr>
            <w:rFonts w:eastAsia="inter" w:cs="inter" w:ascii="inter" w:hAnsi="inter"/>
            <w:color w:val="#000"/>
            <w:u w:val="single"/>
            <w:vertAlign w:val="superscript"/>
          </w:rPr>
          <w:t xml:space="preserve">[42]</w:t>
        </w:r>
      </w:hyperlink>
      <w:bookmarkStart w:id="69" w:name="fnref43_1"/>
      <w:bookmarkEnd w:id="69"/>
      <w:hyperlink w:anchor="fn43">
        <w:r>
          <w:rPr>
            <w:rFonts w:eastAsia="inter" w:cs="inter" w:ascii="inter" w:hAnsi="inter"/>
            <w:color w:val="#000"/>
            <w:u w:val="single"/>
            <w:vertAlign w:val="superscript"/>
          </w:rPr>
          <w:t xml:space="preserve">[43]</w:t>
        </w:r>
      </w:hyperlink>
    </w:p>
    <w:p>
      <w:pPr>
        <w:numPr>
          <w:ilvl w:val="0"/>
          <w:numId w:val="5"/>
        </w:numPr>
        <w:spacing w:line="360" w:before="105" w:after="105" w:lineRule="auto"/>
      </w:pPr>
      <w:r>
        <w:rPr>
          <w:rFonts w:eastAsia="inter" w:cs="inter" w:ascii="inter" w:hAnsi="inter"/>
          <w:b/>
          <w:color w:val="000000"/>
          <w:sz w:val="21"/>
        </w:rPr>
        <w:t xml:space="preserve">AI &amp; Generative AI</w:t>
      </w:r>
      <w:r>
        <w:rPr>
          <w:rFonts w:eastAsia="inter" w:cs="inter" w:ascii="inter" w:hAnsi="inter"/>
          <w:color w:val="000000"/>
          <w:sz w:val="21"/>
        </w:rPr>
        <w:t xml:space="preserve">: End-to-end GenAI implementation, business process optimization, Microsoft Power Platform COE</w:t>
      </w:r>
    </w:p>
    <w:p>
      <w:pPr>
        <w:numPr>
          <w:ilvl w:val="0"/>
          <w:numId w:val="5"/>
        </w:numPr>
        <w:spacing w:line="360" w:before="105" w:after="105" w:lineRule="auto"/>
      </w:pPr>
      <w:r>
        <w:rPr>
          <w:rFonts w:eastAsia="inter" w:cs="inter" w:ascii="inter" w:hAnsi="inter"/>
          <w:b/>
          <w:color w:val="000000"/>
          <w:sz w:val="21"/>
        </w:rPr>
        <w:t xml:space="preserve">Cybersecurity</w:t>
      </w:r>
      <w:r>
        <w:rPr>
          <w:rFonts w:eastAsia="inter" w:cs="inter" w:ascii="inter" w:hAnsi="inter"/>
          <w:color w:val="000000"/>
          <w:sz w:val="21"/>
        </w:rPr>
        <w:t xml:space="preserve">: Cloud security (IaC, Landing Zones), penetration testing, SOC2/ISO certifications, SIEM implementation</w:t>
      </w:r>
    </w:p>
    <w:p>
      <w:pPr>
        <w:numPr>
          <w:ilvl w:val="0"/>
          <w:numId w:val="5"/>
        </w:numPr>
        <w:spacing w:line="360" w:before="105" w:after="105" w:lineRule="auto"/>
      </w:pPr>
      <w:r>
        <w:rPr>
          <w:rFonts w:eastAsia="inter" w:cs="inter" w:ascii="inter" w:hAnsi="inter"/>
          <w:b/>
          <w:color w:val="000000"/>
          <w:sz w:val="21"/>
        </w:rPr>
        <w:t xml:space="preserve">Cloud Migration</w:t>
      </w:r>
      <w:r>
        <w:rPr>
          <w:rFonts w:eastAsia="inter" w:cs="inter" w:ascii="inter" w:hAnsi="inter"/>
          <w:color w:val="000000"/>
          <w:sz w:val="21"/>
        </w:rPr>
        <w:t xml:space="preserve">: Secure cloud transformation with automation tools and Target Operating Models</w:t>
      </w:r>
    </w:p>
    <w:p>
      <w:pPr>
        <w:numPr>
          <w:ilvl w:val="0"/>
          <w:numId w:val="5"/>
        </w:numPr>
        <w:spacing w:line="360" w:before="105" w:after="105" w:lineRule="auto"/>
      </w:pPr>
      <w:r>
        <w:rPr>
          <w:rFonts w:eastAsia="inter" w:cs="inter" w:ascii="inter" w:hAnsi="inter"/>
          <w:b/>
          <w:color w:val="000000"/>
          <w:sz w:val="21"/>
        </w:rPr>
        <w:t xml:space="preserve">Data &amp; Analytics</w:t>
      </w:r>
      <w:r>
        <w:rPr>
          <w:rFonts w:eastAsia="inter" w:cs="inter" w:ascii="inter" w:hAnsi="inter"/>
          <w:color w:val="000000"/>
          <w:sz w:val="21"/>
        </w:rPr>
        <w:t xml:space="preserve">: Enterprise data platforms, business intelligence, data governance</w:t>
      </w:r>
    </w:p>
    <w:p>
      <w:pPr>
        <w:numPr>
          <w:ilvl w:val="0"/>
          <w:numId w:val="5"/>
        </w:numPr>
        <w:spacing w:line="360" w:before="105" w:after="105" w:lineRule="auto"/>
      </w:pPr>
      <w:r>
        <w:rPr>
          <w:rFonts w:eastAsia="inter" w:cs="inter" w:ascii="inter" w:hAnsi="inter"/>
          <w:b/>
          <w:color w:val="000000"/>
          <w:sz w:val="21"/>
        </w:rPr>
        <w:t xml:space="preserve">Digital Transformation</w:t>
      </w:r>
      <w:r>
        <w:rPr>
          <w:rFonts w:eastAsia="inter" w:cs="inter" w:ascii="inter" w:hAnsi="inter"/>
          <w:color w:val="000000"/>
          <w:sz w:val="21"/>
        </w:rPr>
        <w:t xml:space="preserve">: Process automation, RPA, workflow optimization</w:t>
      </w:r>
    </w:p>
    <w:p>
      <w:pPr>
        <w:numPr>
          <w:ilvl w:val="0"/>
          <w:numId w:val="5"/>
        </w:numPr>
        <w:spacing w:line="360" w:before="105" w:after="105" w:lineRule="auto"/>
      </w:pPr>
      <w:r>
        <w:rPr>
          <w:rFonts w:eastAsia="inter" w:cs="inter" w:ascii="inter" w:hAnsi="inter"/>
          <w:b/>
          <w:color w:val="000000"/>
          <w:sz w:val="21"/>
        </w:rPr>
        <w:t xml:space="preserve">SAP Solutions</w:t>
      </w:r>
      <w:r>
        <w:rPr>
          <w:rFonts w:eastAsia="inter" w:cs="inter" w:ascii="inter" w:hAnsi="inter"/>
          <w:color w:val="000000"/>
          <w:sz w:val="21"/>
        </w:rPr>
        <w:t xml:space="preserve">: Via Q.V.—AI-powered S/4HANA implementation, UX optimization, finance/controlling modules</w:t>
      </w:r>
      <w:bookmarkStart w:id="70" w:name="fnref8_3"/>
      <w:bookmarkEnd w:id="70"/>
      <w:hyperlink w:anchor="fn8">
        <w:r>
          <w:rPr>
            <w:rFonts w:eastAsia="inter" w:cs="inter" w:ascii="inter" w:hAnsi="inter"/>
            <w:color w:val="#000"/>
            <w:sz w:val="21"/>
            <w:u w:val="single"/>
            <w:vertAlign w:val="superscript"/>
          </w:rPr>
          <w:t xml:space="preserve">[8]</w:t>
        </w:r>
      </w:hyperlink>
      <w:bookmarkStart w:id="71" w:name="fnref7_3"/>
      <w:bookmarkEnd w:id="71"/>
      <w:hyperlink w:anchor="fn7">
        <w:r>
          <w:rPr>
            <w:rFonts w:eastAsia="inter" w:cs="inter" w:ascii="inter" w:hAnsi="inter"/>
            <w:color w:val="#000"/>
            <w:sz w:val="21"/>
            <w:u w:val="single"/>
            <w:vertAlign w:val="superscript"/>
          </w:rPr>
          <w:t xml:space="preserve">[7]</w:t>
        </w:r>
      </w:hyperlink>
    </w:p>
    <w:p>
      <w:pPr>
        <w:numPr>
          <w:ilvl w:val="0"/>
          <w:numId w:val="5"/>
        </w:numPr>
        <w:spacing w:line="360" w:before="105" w:after="105" w:lineRule="auto"/>
      </w:pPr>
      <w:r>
        <w:rPr>
          <w:rFonts w:eastAsia="inter" w:cs="inter" w:ascii="inter" w:hAnsi="inter"/>
          <w:b/>
          <w:color w:val="000000"/>
          <w:sz w:val="21"/>
        </w:rPr>
        <w:t xml:space="preserve">Oracle/NetSuite</w:t>
      </w:r>
      <w:r>
        <w:rPr>
          <w:rFonts w:eastAsia="inter" w:cs="inter" w:ascii="inter" w:hAnsi="inter"/>
          <w:color w:val="000000"/>
          <w:sz w:val="21"/>
        </w:rPr>
        <w:t xml:space="preserve">: ERP implementation and managed services</w:t>
      </w:r>
      <w:bookmarkStart w:id="72" w:name="fnref46"/>
      <w:bookmarkEnd w:id="72"/>
      <w:hyperlink w:anchor="fn46">
        <w:r>
          <w:rPr>
            <w:rFonts w:eastAsia="inter" w:cs="inter" w:ascii="inter" w:hAnsi="inter"/>
            <w:color w:val="#000"/>
            <w:sz w:val="21"/>
            <w:u w:val="single"/>
            <w:vertAlign w:val="superscript"/>
          </w:rPr>
          <w:t xml:space="preserve">[46]</w:t>
        </w:r>
      </w:hyperlink>
      <w:bookmarkStart w:id="73" w:name="fnref40_1"/>
      <w:bookmarkEnd w:id="73"/>
      <w:hyperlink w:anchor="fn40">
        <w:r>
          <w:rPr>
            <w:rFonts w:eastAsia="inter" w:cs="inter" w:ascii="inter" w:hAnsi="inter"/>
            <w:color w:val="#000"/>
            <w:sz w:val="21"/>
            <w:u w:val="single"/>
            <w:vertAlign w:val="superscript"/>
          </w:rPr>
          <w:t xml:space="preserve">[40]</w:t>
        </w:r>
      </w:hyperlink>
    </w:p>
    <w:p>
      <w:pPr>
        <w:numPr>
          <w:ilvl w:val="0"/>
          <w:numId w:val="5"/>
        </w:numPr>
        <w:spacing w:line="360" w:before="105" w:after="105" w:lineRule="auto"/>
      </w:pPr>
      <w:r>
        <w:rPr>
          <w:rFonts w:eastAsia="inter" w:cs="inter" w:ascii="inter" w:hAnsi="inter"/>
          <w:b/>
          <w:color w:val="000000"/>
          <w:sz w:val="21"/>
        </w:rPr>
        <w:t xml:space="preserve">Governance &amp; Compliance</w:t>
      </w:r>
      <w:r>
        <w:rPr>
          <w:rFonts w:eastAsia="inter" w:cs="inter" w:ascii="inter" w:hAnsi="inter"/>
          <w:color w:val="000000"/>
          <w:sz w:val="21"/>
        </w:rPr>
        <w:t xml:space="preserve">: GRC systems, risk control, information security strategy</w:t>
      </w:r>
    </w:p>
    <w:p>
      <w:pPr>
        <w:spacing w:line="360" w:after="210" w:lineRule="auto"/>
      </w:pPr>
      <w:r>
        <w:rPr>
          <w:rFonts w:eastAsia="inter" w:cs="inter" w:ascii="inter" w:hAnsi="inter"/>
          <w:color w:val="000000"/>
        </w:rPr>
        <w:t xml:space="preserve">This breadth positions KPMG as technology integrator serving Israel's 1,700-person professional services firm across five offices.</w:t>
      </w:r>
      <w:bookmarkStart w:id="74" w:name="fnref1_2"/>
      <w:bookmarkEnd w:id="74"/>
      <w:hyperlink w:anchor="fn1">
        <w:r>
          <w:rPr>
            <w:rFonts w:eastAsia="inter" w:cs="inter" w:ascii="inter" w:hAnsi="inter"/>
            <w:color w:val="#000"/>
            <w:u w:val="single"/>
            <w:vertAlign w:val="superscript"/>
          </w:rPr>
          <w:t xml:space="preserve">[1]</w:t>
        </w:r>
      </w:hyperlink>
      <w:bookmarkStart w:id="75" w:name="fnref5_2"/>
      <w:bookmarkEnd w:id="75"/>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innovation_infrastructure_edge_vs_94f399"/>
      <w:r>
        <w:rPr>
          <w:rFonts w:eastAsia="inter" w:cs="inter" w:ascii="inter" w:hAnsi="inter"/>
          <w:b/>
          <w:color w:val="000000"/>
          <w:sz w:val="24"/>
        </w:rPr>
        <w:t xml:space="preserve">Innovation Infrastructure: Edge vs. Ignition</w:t>
      </w:r>
      <w:bookmarkEnd w:id="76"/>
    </w:p>
    <w:p>
      <w:pPr>
        <w:spacing w:line="360" w:after="210" w:lineRule="auto"/>
      </w:pPr>
      <w:r>
        <w:rPr>
          <w:rFonts w:eastAsia="inter" w:cs="inter" w:ascii="inter" w:hAnsi="inter"/>
          <w:b/>
          <w:color w:val="000000"/>
        </w:rPr>
        <w:t xml:space="preserve">KPMG Edge</w:t>
      </w:r>
      <w:r>
        <w:rPr>
          <w:rFonts w:eastAsia="inter" w:cs="inter" w:ascii="inter" w:hAnsi="inter"/>
          <w:color w:val="000000"/>
        </w:rPr>
        <w:t xml:space="preserve"> (September 2022 launch) serves as Israel's primary innovation brand, led by Roni Michael. The platform focuses on helping organizations adopt technological solutions to maintain competitive differentiation. This branding appears more prominent in Israel than the global "KPMG Ignition" network.</w:t>
      </w:r>
      <w:bookmarkStart w:id="77" w:name="fnref2_1"/>
      <w:bookmarkEnd w:id="77"/>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KPMG Ignition Center - Tel Aviv</w:t>
      </w:r>
      <w:r>
        <w:rPr>
          <w:rFonts w:eastAsia="inter" w:cs="inter" w:ascii="inter" w:hAnsi="inter"/>
          <w:color w:val="000000"/>
        </w:rPr>
        <w:t xml:space="preserve"> exists as part of KPMG's 25+ global Ignition Centers providing design thinking, technology experimentation, and client co-creation spaces. However, references are limited compared to the KPMG Edge branding in Israeli media, suggesting Edge serves as the market-facing innovation narrative while Ignition operates as physical infrastructure.</w:t>
      </w:r>
      <w:bookmarkStart w:id="78" w:name="fnref47"/>
      <w:bookmarkEnd w:id="78"/>
      <w:hyperlink w:anchor="fn47">
        <w:r>
          <w:rPr>
            <w:rFonts w:eastAsia="inter" w:cs="inter" w:ascii="inter" w:hAnsi="inter"/>
            <w:color w:val="#000"/>
            <w:u w:val="single"/>
            <w:vertAlign w:val="superscript"/>
          </w:rPr>
          <w:t xml:space="preserve">[47]</w:t>
        </w:r>
      </w:hyperlink>
      <w:bookmarkStart w:id="79" w:name="fnref48"/>
      <w:bookmarkEnd w:id="79"/>
      <w:hyperlink w:anchor="fn48">
        <w:r>
          <w:rPr>
            <w:rFonts w:eastAsia="inter" w:cs="inter" w:ascii="inter" w:hAnsi="inter"/>
            <w:color w:val="#000"/>
            <w:u w:val="single"/>
            <w:vertAlign w:val="superscript"/>
          </w:rPr>
          <w:t xml:space="preserve">[48]</w:t>
        </w:r>
      </w:hyperlink>
      <w:bookmarkStart w:id="80" w:name="fnref49"/>
      <w:bookmarkEnd w:id="80"/>
      <w:hyperlink w:anchor="fn49">
        <w:r>
          <w:rPr>
            <w:rFonts w:eastAsia="inter" w:cs="inter" w:ascii="inter" w:hAnsi="inter"/>
            <w:color w:val="#000"/>
            <w:u w:val="single"/>
            <w:vertAlign w:val="superscript"/>
          </w:rPr>
          <w:t xml:space="preserve">[49]</w:t>
        </w:r>
      </w:hyperlink>
      <w:bookmarkStart w:id="81" w:name="fnref50"/>
      <w:bookmarkEnd w:id="81"/>
      <w:hyperlink w:anchor="fn50">
        <w:r>
          <w:rPr>
            <w:rFonts w:eastAsia="inter" w:cs="inter" w:ascii="inter" w:hAnsi="inter"/>
            <w:color w:val="#000"/>
            <w:u w:val="single"/>
            <w:vertAlign w:val="superscript"/>
          </w:rPr>
          <w:t xml:space="preserve">[50]</w:t>
        </w:r>
      </w:hyperlink>
    </w:p>
    <w:p>
      <w:pPr>
        <w:spacing w:line="360" w:after="210" w:lineRule="auto"/>
      </w:pPr>
      <w:r>
        <w:rPr>
          <w:rFonts w:eastAsia="inter" w:cs="inter" w:ascii="inter" w:hAnsi="inter"/>
          <w:b/>
          <w:color w:val="000000"/>
        </w:rPr>
        <w:t xml:space="preserve">Global Leadership Leverage:</w:t>
      </w:r>
      <w:r>
        <w:rPr>
          <w:rFonts w:eastAsia="inter" w:cs="inter" w:ascii="inter" w:hAnsi="inter"/>
          <w:color w:val="000000"/>
        </w:rPr>
        <w:t xml:space="preserve"> Roni Michael's role as both Israel innovation lead and Global Head of Innovation at KPMG International creates strategic advantage—Israel serves as testing ground for innovations later scaled globally. Her recent appointment to FIBI Bank's board (July 2024) further embeds KPMG in Israel's financial services ecosystem.</w:t>
      </w:r>
      <w:bookmarkStart w:id="82" w:name="fnref3_1"/>
      <w:bookmarkEnd w:id="82"/>
      <w:hyperlink w:anchor="fn3">
        <w:r>
          <w:rPr>
            <w:rFonts w:eastAsia="inter" w:cs="inter" w:ascii="inter" w:hAnsi="inter"/>
            <w:color w:val="#000"/>
            <w:u w:val="single"/>
            <w:vertAlign w:val="superscript"/>
          </w:rPr>
          <w:t xml:space="preserve">[3]</w:t>
        </w:r>
      </w:hyperlink>
      <w:bookmarkStart w:id="83" w:name="fnref51"/>
      <w:bookmarkEnd w:id="83"/>
      <w:hyperlink w:anchor="fn51">
        <w:r>
          <w:rPr>
            <w:rFonts w:eastAsia="inter" w:cs="inter" w:ascii="inter" w:hAnsi="inter"/>
            <w:color w:val="#000"/>
            <w:u w:val="single"/>
            <w:vertAlign w:val="superscript"/>
          </w:rPr>
          <w:t xml:space="preserve">[51]</w:t>
        </w:r>
      </w:hyperlink>
      <w:bookmarkStart w:id="84" w:name="fnref52"/>
      <w:bookmarkEnd w:id="84"/>
      <w:hyperlink w:anchor="fn52">
        <w:r>
          <w:rPr>
            <w:rFonts w:eastAsia="inter" w:cs="inter" w:ascii="inter" w:hAnsi="inter"/>
            <w:color w:val="#000"/>
            <w:u w:val="single"/>
            <w:vertAlign w:val="superscript"/>
          </w:rPr>
          <w:t xml:space="preserve">[52]</w:t>
        </w:r>
      </w:hyperlink>
      <w:bookmarkStart w:id="85" w:name="fnref53"/>
      <w:bookmarkEnd w:id="85"/>
      <w:hyperlink w:anchor="fn53">
        <w:r>
          <w:rPr>
            <w:rFonts w:eastAsia="inter" w:cs="inter" w:ascii="inter" w:hAnsi="inter"/>
            <w:color w:val="#000"/>
            <w:u w:val="single"/>
            <w:vertAlign w:val="superscript"/>
          </w:rPr>
          <w:t xml:space="preserve">[53]</w:t>
        </w:r>
      </w:hyperlink>
      <w:bookmarkStart w:id="86" w:name="fnref54"/>
      <w:bookmarkEnd w:id="86"/>
      <w:hyperlink w:anchor="fn54">
        <w:r>
          <w:rPr>
            <w:rFonts w:eastAsia="inter" w:cs="inter" w:ascii="inter" w:hAnsi="inter"/>
            <w:color w:val="#000"/>
            <w:u w:val="single"/>
            <w:vertAlign w:val="superscript"/>
          </w:rPr>
          <w:t xml:space="preserve">[54]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banking_sector_strength_european_fef02d"/>
      <w:r>
        <w:rPr>
          <w:rFonts w:eastAsia="inter" w:cs="inter" w:ascii="inter" w:hAnsi="inter"/>
          <w:b/>
          <w:color w:val="000000"/>
          <w:sz w:val="24"/>
        </w:rPr>
        <w:t xml:space="preserve">Banking Sector Strength &amp; European Expansion</w:t>
      </w:r>
      <w:bookmarkEnd w:id="87"/>
    </w:p>
    <w:p>
      <w:pPr>
        <w:spacing w:line="360" w:after="210" w:lineRule="auto"/>
      </w:pPr>
      <w:r>
        <w:rPr>
          <w:rFonts w:eastAsia="inter" w:cs="inter" w:ascii="inter" w:hAnsi="inter"/>
          <w:color w:val="000000"/>
        </w:rPr>
        <w:t xml:space="preserve">KPMG Israel maintains deep banking relationships, evidenced by regular IVC-GNY-KPMG Investors Reports tracking venture capital and fintech investment trends. The December 2025 study (with Planven and EIT Hub Israel) documented 1,686 Israeli tech companies employing 30,000+ Europeans with 4.8% annual growth, highlighting sectors where KPMG clients dominate: AI, cybersecurity, and fintech.</w:t>
      </w:r>
      <w:bookmarkStart w:id="88" w:name="fnref55"/>
      <w:bookmarkEnd w:id="88"/>
      <w:hyperlink w:anchor="fn55">
        <w:r>
          <w:rPr>
            <w:rFonts w:eastAsia="inter" w:cs="inter" w:ascii="inter" w:hAnsi="inter"/>
            <w:color w:val="#000"/>
            <w:u w:val="single"/>
            <w:vertAlign w:val="superscript"/>
          </w:rPr>
          <w:t xml:space="preserve">[55]</w:t>
        </w:r>
      </w:hyperlink>
      <w:bookmarkStart w:id="89" w:name="fnref56"/>
      <w:bookmarkEnd w:id="89"/>
      <w:hyperlink w:anchor="fn56">
        <w:r>
          <w:rPr>
            <w:rFonts w:eastAsia="inter" w:cs="inter" w:ascii="inter" w:hAnsi="inter"/>
            <w:color w:val="#000"/>
            <w:u w:val="single"/>
            <w:vertAlign w:val="superscript"/>
          </w:rPr>
          <w:t xml:space="preserve">[56]</w:t>
        </w:r>
      </w:hyperlink>
      <w:bookmarkStart w:id="90" w:name="fnref57"/>
      <w:bookmarkEnd w:id="90"/>
      <w:hyperlink w:anchor="fn57">
        <w:r>
          <w:rPr>
            <w:rFonts w:eastAsia="inter" w:cs="inter" w:ascii="inter" w:hAnsi="inter"/>
            <w:color w:val="#000"/>
            <w:u w:val="single"/>
            <w:vertAlign w:val="superscript"/>
          </w:rPr>
          <w:t xml:space="preserve">[57]</w:t>
        </w:r>
      </w:hyperlink>
      <w:bookmarkStart w:id="91" w:name="fnref16_1"/>
      <w:bookmarkEnd w:id="91"/>
      <w:hyperlink w:anchor="fn16">
        <w:r>
          <w:rPr>
            <w:rFonts w:eastAsia="inter" w:cs="inter" w:ascii="inter" w:hAnsi="inter"/>
            <w:color w:val="#000"/>
            <w:u w:val="single"/>
            <w:vertAlign w:val="superscript"/>
          </w:rPr>
          <w:t xml:space="preserve">[16]</w:t>
        </w:r>
      </w:hyperlink>
      <w:bookmarkStart w:id="92" w:name="fnref58"/>
      <w:bookmarkEnd w:id="92"/>
      <w:hyperlink w:anchor="fn58">
        <w:r>
          <w:rPr>
            <w:rFonts w:eastAsia="inter" w:cs="inter" w:ascii="inter" w:hAnsi="inter"/>
            <w:color w:val="#000"/>
            <w:u w:val="single"/>
            <w:vertAlign w:val="superscript"/>
          </w:rPr>
          <w:t xml:space="preserve">[58]</w:t>
        </w:r>
      </w:hyperlink>
      <w:bookmarkStart w:id="93" w:name="fnref20_1"/>
      <w:bookmarkEnd w:id="93"/>
      <w:hyperlink w:anchor="fn20">
        <w:r>
          <w:rPr>
            <w:rFonts w:eastAsia="inter" w:cs="inter" w:ascii="inter" w:hAnsi="inter"/>
            <w:color w:val="#000"/>
            <w:u w:val="single"/>
            <w:vertAlign w:val="superscript"/>
          </w:rPr>
          <w:t xml:space="preserve">[20]</w:t>
        </w:r>
      </w:hyperlink>
      <w:bookmarkStart w:id="94" w:name="fnref22_1"/>
      <w:bookmarkEnd w:id="94"/>
      <w:hyperlink w:anchor="fn22">
        <w:r>
          <w:rPr>
            <w:rFonts w:eastAsia="inter" w:cs="inter" w:ascii="inter" w:hAnsi="inter"/>
            <w:color w:val="#000"/>
            <w:u w:val="single"/>
            <w:vertAlign w:val="superscript"/>
          </w:rPr>
          <w:t xml:space="preserve">[22]</w:t>
        </w:r>
      </w:hyperlink>
      <w:bookmarkStart w:id="95" w:name="fnref17_1"/>
      <w:bookmarkEnd w:id="95"/>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Dina Pasca-Raz's Market Commentary</w:t>
      </w:r>
      <w:r>
        <w:rPr>
          <w:rFonts w:eastAsia="inter" w:cs="inter" w:ascii="inter" w:hAnsi="inter"/>
          <w:color w:val="000000"/>
        </w:rPr>
        <w:t xml:space="preserve"> (December 2024): At the Calcalist-KPMG "Work After Work" event, she emphasized geopolitical instability affecting Israeli tech: "The tectonic plates of global politics continue to shift, creating instability." She noted Israel's economic dependence on Western democratic partners while acknowledging reputation risks deterring some global investors. This public positioning establishes KPMG as thought leader on macro risks affecting portfolio companies.</w:t>
      </w:r>
      <w:bookmarkStart w:id="96" w:name="fnref59"/>
      <w:bookmarkEnd w:id="96"/>
      <w:hyperlink w:anchor="fn59">
        <w:r>
          <w:rPr>
            <w:rFonts w:eastAsia="inter" w:cs="inter" w:ascii="inter" w:hAnsi="inter"/>
            <w:color w:val="#000"/>
            <w:u w:val="single"/>
            <w:vertAlign w:val="superscript"/>
          </w:rPr>
          <w:t xml:space="preserve">[59]</w:t>
        </w:r>
      </w:hyperlink>
      <w:bookmarkStart w:id="97" w:name="fnref60"/>
      <w:bookmarkEnd w:id="97"/>
      <w:hyperlink w:anchor="fn60">
        <w:r>
          <w:rPr>
            <w:rFonts w:eastAsia="inter" w:cs="inter" w:ascii="inter" w:hAnsi="inter"/>
            <w:color w:val="#000"/>
            <w:u w:val="single"/>
            <w:vertAlign w:val="superscript"/>
          </w:rPr>
          <w:t xml:space="preserve">[60]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competitive_differentiation_matri_d9c0c9"/>
      <w:r>
        <w:rPr>
          <w:rFonts w:eastAsia="inter" w:cs="inter" w:ascii="inter" w:hAnsi="inter"/>
          <w:b/>
          <w:color w:val="000000"/>
          <w:sz w:val="24"/>
        </w:rPr>
        <w:t xml:space="preserve">Competitive Differentiation Matrix: KPMG vs. EY vs. Deloitte</w:t>
      </w:r>
      <w:bookmarkEnd w:id="9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KPMG Israel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Deloitte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Core Positioning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Implementation &amp; execution</w:t>
            </w:r>
            <w:hyperlink w:anchor="fn36">
              <w:r>
                <w:rPr>
                  <w:rFonts w:eastAsia="inter" w:cs="inter" w:ascii="inter" w:hAnsi="inter"/>
                  <w:color w:val="#000"/>
                  <w:sz w:val="17"/>
                  <w:u w:val="single"/>
                  <w:vertAlign w:val="superscript"/>
                </w:rPr>
                <w:t xml:space="preserve">[36]</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People-centric tech consulting</w:t>
            </w:r>
            <w:hyperlink w:anchor="fn37">
              <w:r>
                <w:rPr>
                  <w:rFonts w:eastAsia="inter" w:cs="inter" w:ascii="inter" w:hAnsi="inter"/>
                  <w:color w:val="#000"/>
                  <w:sz w:val="17"/>
                  <w:u w:val="single"/>
                  <w:vertAlign w:val="superscript"/>
                </w:rPr>
                <w:t xml:space="preserve">[37]</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Strategy &amp; analytics</w:t>
            </w:r>
            <w:hyperlink w:anchor="fn36">
              <w:r>
                <w:rPr>
                  <w:rFonts w:eastAsia="inter" w:cs="inter" w:ascii="inter" w:hAnsi="inter"/>
                  <w:color w:val="#000"/>
                  <w:sz w:val="17"/>
                  <w:u w:val="single"/>
                  <w:vertAlign w:val="superscript"/>
                </w:rPr>
                <w:t xml:space="preserve">[36]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SAP Capability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 implementation + AI (Q.V.)</w:t>
            </w:r>
            <w:hyperlink w:anchor="fn1">
              <w:r>
                <w:rPr>
                  <w:rFonts w:eastAsia="inter" w:cs="inter" w:ascii="inter" w:hAnsi="inter"/>
                  <w:color w:val="#000"/>
                  <w:sz w:val="17"/>
                  <w:u w:val="single"/>
                  <w:vertAlign w:val="superscript"/>
                </w:rPr>
                <w:t xml:space="preserve">[1]</w:t>
              </w:r>
            </w:hyperlink>
            <w:hyperlink w:anchor="fn7">
              <w:r>
                <w:rPr>
                  <w:rFonts w:eastAsia="inter" w:cs="inter" w:ascii="inter" w:hAnsi="inter"/>
                  <w:color w:val="#000"/>
                  <w:sz w:val="17"/>
                  <w:u w:val="single"/>
                  <w:vertAlign w:val="superscript"/>
                </w:rPr>
                <w:t xml:space="preserve">[7]</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Advisory &amp; selection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Implementation partner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Innovation Hub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KPMG Edge (2022)</w:t>
            </w:r>
            <w:hyperlink w:anchor="fn2">
              <w:r>
                <w:rPr>
                  <w:rFonts w:eastAsia="inter" w:cs="inter" w:ascii="inter" w:hAnsi="inter"/>
                  <w:color w:val="#000"/>
                  <w:sz w:val="17"/>
                  <w:u w:val="single"/>
                  <w:vertAlign w:val="superscript"/>
                </w:rPr>
                <w:t xml:space="preserve">[2]</w:t>
              </w:r>
            </w:hyperlink>
            <w:r>
              <w:rPr>
                <w:rFonts w:eastAsia="inter" w:cs="inter" w:ascii="inter" w:hAnsi="inter"/>
                <w:color w:val="000000"/>
                <w:sz w:val="17"/>
              </w:rPr>
              <w:t xml:space="preserve"> + Ignition Center</w:t>
            </w:r>
            <w:hyperlink w:anchor="fn50">
              <w:r>
                <w:rPr>
                  <w:rFonts w:eastAsia="inter" w:cs="inter" w:ascii="inter" w:hAnsi="inter"/>
                  <w:color w:val="#000"/>
                  <w:sz w:val="17"/>
                  <w:u w:val="single"/>
                  <w:vertAlign w:val="superscript"/>
                </w:rPr>
                <w:t xml:space="preserve">[50]</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EY wavespaces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Deloitte Greenhouse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Branded "Trusted AI Framework"</w:t>
            </w:r>
            <w:hyperlink w:anchor="fn32">
              <w:r>
                <w:rPr>
                  <w:rFonts w:eastAsia="inter" w:cs="inter" w:ascii="inter" w:hAnsi="inter"/>
                  <w:color w:val="#000"/>
                  <w:sz w:val="17"/>
                  <w:u w:val="single"/>
                  <w:vertAlign w:val="superscript"/>
                </w:rPr>
                <w:t xml:space="preserve">[32]</w:t>
              </w:r>
            </w:hyperlink>
            <w:hyperlink w:anchor="fn33">
              <w:r>
                <w:rPr>
                  <w:rFonts w:eastAsia="inter" w:cs="inter" w:ascii="inter" w:hAnsi="inter"/>
                  <w:color w:val="#000"/>
                  <w:sz w:val="17"/>
                  <w:u w:val="single"/>
                  <w:vertAlign w:val="superscript"/>
                </w:rPr>
                <w:t xml:space="preserve">[33]</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Embedded in services</w:t>
            </w:r>
            <w:hyperlink w:anchor="fn35">
              <w:r>
                <w:rPr>
                  <w:rFonts w:eastAsia="inter" w:cs="inter" w:ascii="inter" w:hAnsi="inter"/>
                  <w:color w:val="#000"/>
                  <w:sz w:val="17"/>
                  <w:u w:val="single"/>
                  <w:vertAlign w:val="superscript"/>
                </w:rPr>
                <w:t xml:space="preserve">[35]</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ethics practice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Fintech Practice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Analytics-strong, no branded practice</w:t>
            </w:r>
            <w:hyperlink w:anchor="fn9">
              <w:r>
                <w:rPr>
                  <w:rFonts w:eastAsia="inter" w:cs="inter" w:ascii="inter" w:hAnsi="inter"/>
                  <w:color w:val="#000"/>
                  <w:sz w:val="17"/>
                  <w:u w:val="single"/>
                  <w:vertAlign w:val="superscript"/>
                </w:rPr>
                <w:t xml:space="preserve">[9]</w:t>
              </w:r>
            </w:hyperlink>
            <w:hyperlink w:anchor="fn10">
              <w:r>
                <w:rPr>
                  <w:rFonts w:eastAsia="inter" w:cs="inter" w:ascii="inter" w:hAnsi="inter"/>
                  <w:color w:val="#000"/>
                  <w:sz w:val="17"/>
                  <w:u w:val="single"/>
                  <w:vertAlign w:val="superscript"/>
                </w:rPr>
                <w:t xml:space="preserve">[10]</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Financial services 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Dedicated fintech 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EnTech Practice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Energy team, no EnTech brand</w:t>
            </w:r>
            <w:hyperlink w:anchor="fn24">
              <w:r>
                <w:rPr>
                  <w:rFonts w:eastAsia="inter" w:cs="inter" w:ascii="inter" w:hAnsi="inter"/>
                  <w:color w:val="#000"/>
                  <w:sz w:val="17"/>
                  <w:u w:val="single"/>
                  <w:vertAlign w:val="superscript"/>
                </w:rPr>
                <w:t xml:space="preserve">[24]</w:t>
              </w:r>
            </w:hyperlink>
            <w:hyperlink w:anchor="fn25">
              <w:r>
                <w:rPr>
                  <w:rFonts w:eastAsia="inter" w:cs="inter" w:ascii="inter" w:hAnsi="inter"/>
                  <w:color w:val="#000"/>
                  <w:sz w:val="17"/>
                  <w:u w:val="single"/>
                  <w:vertAlign w:val="superscript"/>
                </w:rPr>
                <w:t xml:space="preserve">[25]</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Industry energy group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Energy &amp; chemicals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Israel Leadership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Roni Michael (Global Innovation)</w:t>
            </w:r>
            <w:hyperlink w:anchor="fn3">
              <w:r>
                <w:rPr>
                  <w:rFonts w:eastAsia="inter" w:cs="inter" w:ascii="inter" w:hAnsi="inter"/>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Local partners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Local partners</w:t>
            </w:r>
          </w:p>
        </w:tc>
      </w:tr>
    </w:tbl>
    <w:p>
      <w:pPr>
        <w:spacing w:lineRule="auto"/>
      </w:pPr>
    </w:p>
    <w:p>
      <w:pPr>
        <w:spacing w:line="360" w:after="210" w:lineRule="auto"/>
      </w:pPr>
      <w:r>
        <w:rPr>
          <w:rFonts w:eastAsia="inter" w:cs="inter" w:ascii="inter" w:hAnsi="inter"/>
          <w:b/>
          <w:color w:val="000000"/>
        </w:rPr>
        <w:t xml:space="preserve">Key Differentiator:</w:t>
      </w:r>
      <w:r>
        <w:rPr>
          <w:rFonts w:eastAsia="inter" w:cs="inter" w:ascii="inter" w:hAnsi="inter"/>
          <w:color w:val="000000"/>
        </w:rPr>
        <w:t xml:space="preserve"> KPMG acquired technology capability (Q.V.) rather than building organically or relying on alliances, creating proprietary IP competitors cannot quickly replicate.</w:t>
      </w:r>
      <w:bookmarkStart w:id="99" w:name="fnref5_3"/>
      <w:bookmarkEnd w:id="99"/>
      <w:hyperlink w:anchor="fn5">
        <w:r>
          <w:rPr>
            <w:rFonts w:eastAsia="inter" w:cs="inter" w:ascii="inter" w:hAnsi="inter"/>
            <w:color w:val="#000"/>
            <w:u w:val="single"/>
            <w:vertAlign w:val="superscript"/>
          </w:rPr>
          <w:t xml:space="preserve">[5]</w:t>
        </w:r>
      </w:hyperlink>
      <w:bookmarkStart w:id="100" w:name="fnref1_4"/>
      <w:bookmarkEnd w:id="100"/>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strategic_implications_unanswered_44d882"/>
      <w:r>
        <w:rPr>
          <w:rFonts w:eastAsia="inter" w:cs="inter" w:ascii="inter" w:hAnsi="inter"/>
          <w:b/>
          <w:color w:val="000000"/>
          <w:sz w:val="24"/>
        </w:rPr>
        <w:t xml:space="preserve">Strategic Implications &amp; Unanswered Questions</w:t>
      </w:r>
      <w:bookmarkEnd w:id="101"/>
    </w:p>
    <w:p>
      <w:pPr>
        <w:spacing w:line="360" w:after="210" w:lineRule="auto"/>
      </w:pPr>
      <w:r>
        <w:rPr>
          <w:rFonts w:eastAsia="inter" w:cs="inter" w:ascii="inter" w:hAnsi="inter"/>
          <w:b/>
          <w:color w:val="000000"/>
        </w:rPr>
        <w:t xml:space="preserve">Where KPMG Israel's Technology Stake Truly Lies:</w:t>
      </w:r>
    </w:p>
    <w:p>
      <w:pPr>
        <w:numPr>
          <w:ilvl w:val="0"/>
          <w:numId w:val="6"/>
        </w:numPr>
        <w:spacing w:line="360" w:before="105" w:after="105" w:lineRule="auto"/>
      </w:pPr>
      <w:r>
        <w:rPr>
          <w:rFonts w:eastAsia="inter" w:cs="inter" w:ascii="inter" w:hAnsi="inter"/>
          <w:b/>
          <w:color w:val="000000"/>
          <w:sz w:val="21"/>
        </w:rPr>
        <w:t xml:space="preserve">AI-SAP Integration</w:t>
      </w:r>
      <w:r>
        <w:rPr>
          <w:rFonts w:eastAsia="inter" w:cs="inter" w:ascii="inter" w:hAnsi="inter"/>
          <w:color w:val="000000"/>
          <w:sz w:val="21"/>
        </w:rPr>
        <w:t xml:space="preserve">: The Q.V. acquisition represents real technology IP ownership, not consulting services rental</w:t>
      </w:r>
    </w:p>
    <w:p>
      <w:pPr>
        <w:numPr>
          <w:ilvl w:val="0"/>
          <w:numId w:val="6"/>
        </w:numPr>
        <w:spacing w:line="360" w:before="105" w:after="105" w:lineRule="auto"/>
      </w:pPr>
      <w:r>
        <w:rPr>
          <w:rFonts w:eastAsia="inter" w:cs="inter" w:ascii="inter" w:hAnsi="inter"/>
          <w:b/>
          <w:color w:val="000000"/>
          <w:sz w:val="21"/>
        </w:rPr>
        <w:t xml:space="preserve">Responsible AI Compliance</w:t>
      </w:r>
      <w:r>
        <w:rPr>
          <w:rFonts w:eastAsia="inter" w:cs="inter" w:ascii="inter" w:hAnsi="inter"/>
          <w:color w:val="000000"/>
          <w:sz w:val="21"/>
        </w:rPr>
        <w:t xml:space="preserve">: Positioning ahead of regulatory wave as Israeli firms navigate global AI governance</w:t>
      </w:r>
    </w:p>
    <w:p>
      <w:pPr>
        <w:numPr>
          <w:ilvl w:val="0"/>
          <w:numId w:val="6"/>
        </w:numPr>
        <w:spacing w:line="360" w:before="105" w:after="105" w:lineRule="auto"/>
      </w:pPr>
      <w:r>
        <w:rPr>
          <w:rFonts w:eastAsia="inter" w:cs="inter" w:ascii="inter" w:hAnsi="inter"/>
          <w:b/>
          <w:color w:val="000000"/>
          <w:sz w:val="21"/>
        </w:rPr>
        <w:t xml:space="preserve">Implementation Execution</w:t>
      </w:r>
      <w:r>
        <w:rPr>
          <w:rFonts w:eastAsia="inter" w:cs="inter" w:ascii="inter" w:hAnsi="inter"/>
          <w:color w:val="000000"/>
          <w:sz w:val="21"/>
        </w:rPr>
        <w:t xml:space="preserve">: Heavy systems deployment (SAP/Oracle/Salesforce) generating recurring revenue vs. one-time advisory fees</w:t>
      </w:r>
    </w:p>
    <w:p>
      <w:pPr>
        <w:numPr>
          <w:ilvl w:val="0"/>
          <w:numId w:val="6"/>
        </w:numPr>
        <w:spacing w:line="360" w:before="105" w:after="105" w:lineRule="auto"/>
      </w:pPr>
      <w:r>
        <w:rPr>
          <w:rFonts w:eastAsia="inter" w:cs="inter" w:ascii="inter" w:hAnsi="inter"/>
          <w:b/>
          <w:color w:val="000000"/>
          <w:sz w:val="21"/>
        </w:rPr>
        <w:t xml:space="preserve">Global Innovation Laboratory</w:t>
      </w:r>
      <w:r>
        <w:rPr>
          <w:rFonts w:eastAsia="inter" w:cs="inter" w:ascii="inter" w:hAnsi="inter"/>
          <w:color w:val="000000"/>
          <w:sz w:val="21"/>
        </w:rPr>
        <w:t xml:space="preserve">: Israel office serves as testing ground for KPMG International innovations via Roni Michael's dual role</w:t>
      </w:r>
    </w:p>
    <w:p>
      <w:pPr>
        <w:spacing w:line="360" w:after="210" w:lineRule="auto"/>
      </w:pPr>
      <w:r>
        <w:rPr>
          <w:rFonts w:eastAsia="inter" w:cs="inter" w:ascii="inter" w:hAnsi="inter"/>
          <w:b/>
          <w:color w:val="000000"/>
        </w:rPr>
        <w:t xml:space="preserve">Critical Gaps:</w:t>
      </w:r>
    </w:p>
    <w:p>
      <w:pPr>
        <w:numPr>
          <w:ilvl w:val="0"/>
          <w:numId w:val="7"/>
        </w:numPr>
        <w:spacing w:line="360" w:before="105" w:after="105" w:lineRule="auto"/>
      </w:pPr>
      <w:r>
        <w:rPr>
          <w:rFonts w:eastAsia="inter" w:cs="inter" w:ascii="inter" w:hAnsi="inter"/>
          <w:b/>
          <w:color w:val="000000"/>
          <w:sz w:val="21"/>
        </w:rPr>
        <w:t xml:space="preserve">No Fintech Practice Branding</w:t>
      </w:r>
      <w:r>
        <w:rPr>
          <w:rFonts w:eastAsia="inter" w:cs="inter" w:ascii="inter" w:hAnsi="inter"/>
          <w:color w:val="000000"/>
          <w:sz w:val="21"/>
        </w:rPr>
        <w:t xml:space="preserve">: Despite banking strength and fintech analytics, lacks vertical go-to-market positioning competitors could exploit</w:t>
      </w:r>
    </w:p>
    <w:p>
      <w:pPr>
        <w:numPr>
          <w:ilvl w:val="0"/>
          <w:numId w:val="7"/>
        </w:numPr>
        <w:spacing w:line="360" w:before="105" w:after="105" w:lineRule="auto"/>
      </w:pPr>
      <w:r>
        <w:rPr>
          <w:rFonts w:eastAsia="inter" w:cs="inter" w:ascii="inter" w:hAnsi="inter"/>
          <w:b/>
          <w:color w:val="000000"/>
          <w:sz w:val="21"/>
        </w:rPr>
        <w:t xml:space="preserve">Absent EnTech Focus</w:t>
      </w:r>
      <w:r>
        <w:rPr>
          <w:rFonts w:eastAsia="inter" w:cs="inter" w:ascii="inter" w:hAnsi="inter"/>
          <w:color w:val="000000"/>
          <w:sz w:val="21"/>
        </w:rPr>
        <w:t xml:space="preserve">: Israel's 350+ energy startups raising $400M+ annually represent missed specialization opportunity</w:t>
      </w:r>
      <w:bookmarkStart w:id="102" w:name="fnref28_1"/>
      <w:bookmarkEnd w:id="102"/>
      <w:hyperlink w:anchor="fn28">
        <w:r>
          <w:rPr>
            <w:rFonts w:eastAsia="inter" w:cs="inter" w:ascii="inter" w:hAnsi="inter"/>
            <w:color w:val="#000"/>
            <w:sz w:val="21"/>
            <w:u w:val="single"/>
            <w:vertAlign w:val="superscript"/>
          </w:rPr>
          <w:t xml:space="preserve">[28]</w:t>
        </w:r>
      </w:hyperlink>
    </w:p>
    <w:p>
      <w:pPr>
        <w:numPr>
          <w:ilvl w:val="0"/>
          <w:numId w:val="7"/>
        </w:numPr>
        <w:spacing w:line="360" w:before="105" w:after="105" w:lineRule="auto"/>
      </w:pPr>
      <w:r>
        <w:rPr>
          <w:rFonts w:eastAsia="inter" w:cs="inter" w:ascii="inter" w:hAnsi="inter"/>
          <w:b/>
          <w:color w:val="000000"/>
          <w:sz w:val="21"/>
        </w:rPr>
        <w:t xml:space="preserve">Limited Public Thought Leadership</w:t>
      </w:r>
      <w:r>
        <w:rPr>
          <w:rFonts w:eastAsia="inter" w:cs="inter" w:ascii="inter" w:hAnsi="inter"/>
          <w:color w:val="000000"/>
          <w:sz w:val="21"/>
        </w:rPr>
        <w:t xml:space="preserve">: Compared to Deloitte's visible tech reports or EY's innovation publications, KPMG Israel's market-facing content appears primarily through conference participation rather than authored research</w:t>
      </w:r>
    </w:p>
    <w:p>
      <w:pPr>
        <w:spacing w:line="360" w:after="210" w:lineRule="auto"/>
      </w:pPr>
      <w:r>
        <w:rPr>
          <w:rFonts w:eastAsia="inter" w:cs="inter" w:ascii="inter" w:hAnsi="inter"/>
          <w:b/>
          <w:color w:val="000000"/>
        </w:rPr>
        <w:t xml:space="preserve">The Verdict on the "Smoking Gun":</w:t>
      </w:r>
    </w:p>
    <w:p>
      <w:pPr>
        <w:spacing w:line="360" w:after="210" w:lineRule="auto"/>
      </w:pPr>
      <w:r>
        <w:rPr>
          <w:rFonts w:eastAsia="inter" w:cs="inter" w:ascii="inter" w:hAnsi="inter"/>
          <w:b/>
          <w:color w:val="000000"/>
        </w:rPr>
        <w:t xml:space="preserve">KPMG Edge</w:t>
      </w:r>
      <w:r>
        <w:rPr>
          <w:rFonts w:eastAsia="inter" w:cs="inter" w:ascii="inter" w:hAnsi="inter"/>
          <w:color w:val="000000"/>
        </w:rPr>
        <w:t xml:space="preserve"> + </w:t>
      </w:r>
      <w:r>
        <w:rPr>
          <w:rFonts w:eastAsia="inter" w:cs="inter" w:ascii="inter" w:hAnsi="inter"/>
          <w:b/>
          <w:color w:val="000000"/>
        </w:rPr>
        <w:t xml:space="preserve">Q.V. Technologies acquisition</w:t>
      </w:r>
      <w:r>
        <w:rPr>
          <w:rFonts w:eastAsia="inter" w:cs="inter" w:ascii="inter" w:hAnsi="inter"/>
          <w:color w:val="000000"/>
        </w:rPr>
        <w:t xml:space="preserve"> = KPMG's technology differentiation play. Edge provides innovation brand and client engagement framework; Q.V. delivers proprietary AI-SAP implementation capability competitors lack. This combination, led by a globally-influential innovation executive (Roni Michael) who simultaneously shapes KPMG International strategy, positions Israel not as regional office but as </w:t>
      </w:r>
      <w:r>
        <w:rPr>
          <w:rFonts w:eastAsia="inter" w:cs="inter" w:ascii="inter" w:hAnsi="inter"/>
          <w:b/>
          <w:color w:val="000000"/>
        </w:rPr>
        <w:t xml:space="preserve">KPMG's global technology innovation laboratory</w:t>
      </w:r>
      <w:r>
        <w:rPr>
          <w:rFonts w:eastAsia="inter" w:cs="inter" w:ascii="inter" w:hAnsi="inter"/>
          <w:color w:val="000000"/>
        </w:rPr>
        <w:t xml:space="preserve">.</w:t>
      </w:r>
      <w:bookmarkStart w:id="103" w:name="fnref2_3"/>
      <w:bookmarkEnd w:id="103"/>
      <w:hyperlink w:anchor="fn2">
        <w:r>
          <w:rPr>
            <w:rFonts w:eastAsia="inter" w:cs="inter" w:ascii="inter" w:hAnsi="inter"/>
            <w:color w:val="#000"/>
            <w:u w:val="single"/>
            <w:vertAlign w:val="superscript"/>
          </w:rPr>
          <w:t xml:space="preserve">[2]</w:t>
        </w:r>
      </w:hyperlink>
      <w:bookmarkStart w:id="104" w:name="fnref3_3"/>
      <w:bookmarkEnd w:id="104"/>
      <w:hyperlink w:anchor="fn3">
        <w:r>
          <w:rPr>
            <w:rFonts w:eastAsia="inter" w:cs="inter" w:ascii="inter" w:hAnsi="inter"/>
            <w:color w:val="#000"/>
            <w:u w:val="single"/>
            <w:vertAlign w:val="superscript"/>
          </w:rPr>
          <w:t xml:space="preserve">[3]</w:t>
        </w:r>
      </w:hyperlink>
      <w:bookmarkStart w:id="105" w:name="fnref5_4"/>
      <w:bookmarkEnd w:id="105"/>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The real stake isn't in any single vertical (fintech, EnTech) but in </w:t>
      </w:r>
      <w:r>
        <w:rPr>
          <w:rFonts w:eastAsia="inter" w:cs="inter" w:ascii="inter" w:hAnsi="inter"/>
          <w:b/>
          <w:color w:val="000000"/>
        </w:rPr>
        <w:t xml:space="preserve">horizontal AI governance and enterprise systems intelligence</w:t>
      </w:r>
      <w:r>
        <w:rPr>
          <w:rFonts w:eastAsia="inter" w:cs="inter" w:ascii="inter" w:hAnsi="inter"/>
          <w:color w:val="000000"/>
        </w:rPr>
        <w:t xml:space="preserve"> embedded across banking, manufacturing, and government clients through implementation work that generates data advantages consultants advising from outside never achieve.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6" w:name="fn1"/>
    <w:bookmarkEnd w:id="106"/>
    <w:p>
      <w:pPr>
        <w:numPr>
          <w:ilvl w:val="0"/>
          <w:numId w:val="9"/>
        </w:numPr>
        <w:spacing w:line="360" w:after="210" w:lineRule="auto"/>
      </w:pPr>
      <w:hyperlink r:id="rId6">
        <w:r>
          <w:rPr>
            <w:rFonts w:eastAsia="inter" w:cs="inter" w:ascii="inter" w:hAnsi="inter"/>
            <w:color w:val="#000"/>
            <w:sz w:val="18"/>
            <w:u w:val="single"/>
          </w:rPr>
          <w:t xml:space="preserve">https://www.calcalistech.com/ctechnews/article/bjoooe8dge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7" w:name="fn2"/>
    <w:bookmarkEnd w:id="107"/>
    <w:p>
      <w:pPr>
        <w:numPr>
          <w:ilvl w:val="0"/>
          <w:numId w:val="9"/>
        </w:numPr>
        <w:spacing w:line="360" w:after="210" w:lineRule="auto"/>
      </w:pPr>
      <w:hyperlink r:id="rId7">
        <w:r>
          <w:rPr>
            <w:rFonts w:eastAsia="inter" w:cs="inter" w:ascii="inter" w:hAnsi="inter"/>
            <w:color w:val="#000"/>
            <w:sz w:val="18"/>
            <w:u w:val="single"/>
          </w:rPr>
          <w:t xml:space="preserve">https://www.semanticscholar.org/paper/d7c89e6f9658bbac2e3a593e65dbcb980767ef43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8" w:name="fn3"/>
    <w:bookmarkEnd w:id="108"/>
    <w:p>
      <w:pPr>
        <w:numPr>
          <w:ilvl w:val="0"/>
          <w:numId w:val="9"/>
        </w:numPr>
        <w:spacing w:line="360" w:after="210" w:lineRule="auto"/>
      </w:pPr>
      <w:hyperlink r:id="rId8">
        <w:r>
          <w:rPr>
            <w:rFonts w:eastAsia="inter" w:cs="inter" w:ascii="inter" w:hAnsi="inter"/>
            <w:color w:val="#000"/>
            <w:sz w:val="18"/>
            <w:u w:val="single"/>
          </w:rPr>
          <w:t xml:space="preserve">https://www.youtube.com/watch?v=-DaiyqBLFy0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9" w:name="fn4"/>
    <w:bookmarkEnd w:id="109"/>
    <w:p>
      <w:pPr>
        <w:numPr>
          <w:ilvl w:val="0"/>
          <w:numId w:val="9"/>
        </w:numPr>
        <w:spacing w:line="360" w:after="210" w:lineRule="auto"/>
      </w:pPr>
      <w:hyperlink r:id="rId9">
        <w:r>
          <w:rPr>
            <w:rFonts w:eastAsia="inter" w:cs="inter" w:ascii="inter" w:hAnsi="inter"/>
            <w:color w:val="#000"/>
            <w:sz w:val="18"/>
            <w:u w:val="single"/>
          </w:rPr>
          <w:t xml:space="preserve">https://kpmg.com/il/en/home/careers/experienced-hires/advisory/our-people--roni-michael.html</w:t>
        </w:r>
      </w:hyperlink>
      <w:r>
        <w:rPr>
          <w:rFonts w:eastAsia="inter" w:cs="inter" w:ascii="inter" w:hAnsi="inter"/>
          <w:color w:val="000000"/>
          <w:sz w:val="18"/>
        </w:rPr>
        <w:t xml:space="preserve"> </w:t>
      </w:r>
    </w:p>
    <w:bookmarkStart w:id="110" w:name="fn5"/>
    <w:bookmarkEnd w:id="110"/>
    <w:p>
      <w:pPr>
        <w:numPr>
          <w:ilvl w:val="0"/>
          <w:numId w:val="9"/>
        </w:numPr>
        <w:spacing w:line="360" w:after="210" w:lineRule="auto"/>
      </w:pPr>
      <w:hyperlink r:id="rId10">
        <w:r>
          <w:rPr>
            <w:rFonts w:eastAsia="inter" w:cs="inter" w:ascii="inter" w:hAnsi="inter"/>
            <w:color w:val="#000"/>
            <w:sz w:val="18"/>
            <w:u w:val="single"/>
          </w:rPr>
          <w:t xml:space="preserve">https://www.jpost.com/business-and-innovation/article-864029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1" w:name="fn6"/>
    <w:bookmarkEnd w:id="111"/>
    <w:p>
      <w:pPr>
        <w:numPr>
          <w:ilvl w:val="0"/>
          <w:numId w:val="9"/>
        </w:numPr>
        <w:spacing w:line="360" w:after="210" w:lineRule="auto"/>
      </w:pPr>
      <w:hyperlink r:id="rId11">
        <w:r>
          <w:rPr>
            <w:rFonts w:eastAsia="inter" w:cs="inter" w:ascii="inter" w:hAnsi="inter"/>
            <w:color w:val="#000"/>
            <w:sz w:val="18"/>
            <w:u w:val="single"/>
          </w:rPr>
          <w:t xml:space="preserve">https://www.calcalist.co.il/calcalistech/article/rktl11euuee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2" w:name="fn7"/>
    <w:bookmarkEnd w:id="112"/>
    <w:p>
      <w:pPr>
        <w:numPr>
          <w:ilvl w:val="0"/>
          <w:numId w:val="9"/>
        </w:numPr>
        <w:spacing w:line="360" w:after="210" w:lineRule="auto"/>
      </w:pPr>
      <w:hyperlink r:id="rId12">
        <w:r>
          <w:rPr>
            <w:rFonts w:eastAsia="inter" w:cs="inter" w:ascii="inter" w:hAnsi="inter"/>
            <w:color w:val="#000"/>
            <w:sz w:val="18"/>
            <w:u w:val="single"/>
          </w:rPr>
          <w:t xml:space="preserve">https://kpmg.co.il/technologyconsulting/our-offerings/qv</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3" w:name="fn8"/>
    <w:bookmarkEnd w:id="113"/>
    <w:p>
      <w:pPr>
        <w:numPr>
          <w:ilvl w:val="0"/>
          <w:numId w:val="9"/>
        </w:numPr>
        <w:spacing w:line="360" w:after="210" w:lineRule="auto"/>
      </w:pPr>
      <w:hyperlink r:id="rId13">
        <w:r>
          <w:rPr>
            <w:rFonts w:eastAsia="inter" w:cs="inter" w:ascii="inter" w:hAnsi="inter"/>
            <w:color w:val="#000"/>
            <w:sz w:val="18"/>
            <w:u w:val="single"/>
          </w:rPr>
          <w:t xml:space="preserve">https://kpmg.co.il/technologyconsulting/he/our-offerings/qv-technologies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4" w:name="fn9"/>
    <w:bookmarkEnd w:id="114"/>
    <w:p>
      <w:pPr>
        <w:numPr>
          <w:ilvl w:val="0"/>
          <w:numId w:val="9"/>
        </w:numPr>
        <w:spacing w:line="360" w:after="210" w:lineRule="auto"/>
      </w:pPr>
      <w:hyperlink r:id="rId14">
        <w:r>
          <w:rPr>
            <w:rFonts w:eastAsia="inter" w:cs="inter" w:ascii="inter" w:hAnsi="inter"/>
            <w:color w:val="#000"/>
            <w:sz w:val="18"/>
            <w:u w:val="single"/>
          </w:rPr>
          <w:t xml:space="preserve">https://assets.kpmg.com/content/dam/kpmg/be/pdf/Pulse-of-Fintech-H1-2025-Report.pdf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5" w:name="fn10"/>
    <w:bookmarkEnd w:id="115"/>
    <w:p>
      <w:pPr>
        <w:numPr>
          <w:ilvl w:val="0"/>
          <w:numId w:val="9"/>
        </w:numPr>
        <w:spacing w:line="360" w:after="210" w:lineRule="auto"/>
      </w:pPr>
      <w:hyperlink r:id="rId15">
        <w:r>
          <w:rPr>
            <w:rFonts w:eastAsia="inter" w:cs="inter" w:ascii="inter" w:hAnsi="inter"/>
            <w:color w:val="#000"/>
            <w:sz w:val="18"/>
            <w:u w:val="single"/>
          </w:rPr>
          <w:t xml:space="preserve">https://www.linkedin.com/pulse/kpmg-pulse-fintech-h1-2025-global-funding-trends-simone-cirelli-horoe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11"/>
    <w:bookmarkEnd w:id="116"/>
    <w:p>
      <w:pPr>
        <w:numPr>
          <w:ilvl w:val="0"/>
          <w:numId w:val="9"/>
        </w:numPr>
        <w:spacing w:line="360" w:after="210" w:lineRule="auto"/>
      </w:pPr>
      <w:hyperlink r:id="rId16">
        <w:r>
          <w:rPr>
            <w:rFonts w:eastAsia="inter" w:cs="inter" w:ascii="inter" w:hAnsi="inter"/>
            <w:color w:val="#000"/>
            <w:sz w:val="18"/>
            <w:u w:val="single"/>
          </w:rPr>
          <w:t xml:space="preserve">https://kpmg.com/xx/en/what-we-do/industries/financial-services/pulse-of-fintech.html</w:t>
        </w:r>
      </w:hyperlink>
      <w:r>
        <w:rPr>
          <w:rFonts w:eastAsia="inter" w:cs="inter" w:ascii="inter" w:hAnsi="inter"/>
          <w:color w:val="000000"/>
          <w:sz w:val="18"/>
        </w:rPr>
        <w:t xml:space="preserve"> </w:t>
      </w:r>
    </w:p>
    <w:bookmarkStart w:id="117" w:name="fn12"/>
    <w:bookmarkEnd w:id="117"/>
    <w:p>
      <w:pPr>
        <w:numPr>
          <w:ilvl w:val="0"/>
          <w:numId w:val="9"/>
        </w:numPr>
        <w:spacing w:line="360" w:after="210" w:lineRule="auto"/>
      </w:pPr>
      <w:hyperlink r:id="rId17">
        <w:r>
          <w:rPr>
            <w:rFonts w:eastAsia="inter" w:cs="inter" w:ascii="inter" w:hAnsi="inter"/>
            <w:color w:val="#000"/>
            <w:sz w:val="18"/>
            <w:u w:val="single"/>
          </w:rPr>
          <w:t xml:space="preserve">https://www.linkedin.com/posts/georgesfouadsalem_kpmg-pulse-of-fintech-activity-7364189589957132288-wfFF</w:t>
        </w:r>
      </w:hyperlink>
      <w:r>
        <w:rPr>
          <w:rFonts w:eastAsia="inter" w:cs="inter" w:ascii="inter" w:hAnsi="inter"/>
          <w:color w:val="000000"/>
          <w:sz w:val="18"/>
        </w:rPr>
        <w:t xml:space="preserve"> </w:t>
      </w:r>
    </w:p>
    <w:bookmarkStart w:id="118" w:name="fn13"/>
    <w:bookmarkEnd w:id="118"/>
    <w:p>
      <w:pPr>
        <w:numPr>
          <w:ilvl w:val="0"/>
          <w:numId w:val="9"/>
        </w:numPr>
        <w:spacing w:line="360" w:after="210" w:lineRule="auto"/>
      </w:pPr>
      <w:hyperlink r:id="rId18">
        <w:r>
          <w:rPr>
            <w:rFonts w:eastAsia="inter" w:cs="inter" w:ascii="inter" w:hAnsi="inter"/>
            <w:color w:val="#000"/>
            <w:sz w:val="18"/>
            <w:u w:val="single"/>
          </w:rPr>
          <w:t xml:space="preserve">https://www.linkedin.com/posts/tomjmathew_fintechtrends-digitalfinance-payments-activity-7396034370412797952-jwTM</w:t>
        </w:r>
      </w:hyperlink>
      <w:r>
        <w:rPr>
          <w:rFonts w:eastAsia="inter" w:cs="inter" w:ascii="inter" w:hAnsi="inter"/>
          <w:color w:val="000000"/>
          <w:sz w:val="18"/>
        </w:rPr>
        <w:t xml:space="preserve"> </w:t>
      </w:r>
    </w:p>
    <w:bookmarkStart w:id="119" w:name="fn14"/>
    <w:bookmarkEnd w:id="119"/>
    <w:p>
      <w:pPr>
        <w:numPr>
          <w:ilvl w:val="0"/>
          <w:numId w:val="9"/>
        </w:numPr>
        <w:spacing w:line="360" w:after="210" w:lineRule="auto"/>
      </w:pPr>
      <w:hyperlink r:id="rId19">
        <w:r>
          <w:rPr>
            <w:rFonts w:eastAsia="inter" w:cs="inter" w:ascii="inter" w:hAnsi="inter"/>
            <w:color w:val="#000"/>
            <w:sz w:val="18"/>
            <w:u w:val="single"/>
          </w:rPr>
          <w:t xml:space="preserve">https://kpmg.com/xx/en/what-we-do/industries/financial-services/pulse-of-fintech/top-fintech-trends.html</w:t>
        </w:r>
      </w:hyperlink>
      <w:r>
        <w:rPr>
          <w:rFonts w:eastAsia="inter" w:cs="inter" w:ascii="inter" w:hAnsi="inter"/>
          <w:color w:val="000000"/>
          <w:sz w:val="18"/>
        </w:rPr>
        <w:t xml:space="preserve"> </w:t>
      </w:r>
    </w:p>
    <w:bookmarkStart w:id="120" w:name="fn15"/>
    <w:bookmarkEnd w:id="120"/>
    <w:p>
      <w:pPr>
        <w:numPr>
          <w:ilvl w:val="0"/>
          <w:numId w:val="9"/>
        </w:numPr>
        <w:spacing w:line="360" w:after="210" w:lineRule="auto"/>
      </w:pPr>
      <w:hyperlink r:id="rId20">
        <w:r>
          <w:rPr>
            <w:rFonts w:eastAsia="inter" w:cs="inter" w:ascii="inter" w:hAnsi="inter"/>
            <w:color w:val="#000"/>
            <w:sz w:val="18"/>
            <w:u w:val="single"/>
          </w:rPr>
          <w:t xml:space="preserve">https://startupnationcentral.org/hub/blog/israeli-fintech-in-2025/</w:t>
        </w:r>
      </w:hyperlink>
      <w:r>
        <w:rPr>
          <w:rFonts w:eastAsia="inter" w:cs="inter" w:ascii="inter" w:hAnsi="inter"/>
          <w:color w:val="000000"/>
          <w:sz w:val="18"/>
        </w:rPr>
        <w:t xml:space="preserve"> </w:t>
      </w:r>
    </w:p>
    <w:bookmarkStart w:id="121" w:name="fn16"/>
    <w:bookmarkEnd w:id="121"/>
    <w:p>
      <w:pPr>
        <w:numPr>
          <w:ilvl w:val="0"/>
          <w:numId w:val="9"/>
        </w:numPr>
        <w:spacing w:line="360" w:after="210" w:lineRule="auto"/>
      </w:pPr>
      <w:hyperlink r:id="rId21">
        <w:r>
          <w:rPr>
            <w:rFonts w:eastAsia="inter" w:cs="inter" w:ascii="inter" w:hAnsi="inter"/>
            <w:color w:val="#000"/>
            <w:sz w:val="18"/>
            <w:u w:val="single"/>
          </w:rPr>
          <w:t xml:space="preserve">https://www.linkedin.com/posts/gornitzky_the-h12025-ivcgnykpmg-investors-report-activity-7370873541698695168-axER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2" w:name="fn17"/>
    <w:bookmarkEnd w:id="122"/>
    <w:p>
      <w:pPr>
        <w:numPr>
          <w:ilvl w:val="0"/>
          <w:numId w:val="9"/>
        </w:numPr>
        <w:spacing w:line="360" w:after="210" w:lineRule="auto"/>
      </w:pPr>
      <w:hyperlink r:id="rId22">
        <w:r>
          <w:rPr>
            <w:rFonts w:eastAsia="inter" w:cs="inter" w:ascii="inter" w:hAnsi="inter"/>
            <w:color w:val="#000"/>
            <w:sz w:val="18"/>
            <w:u w:val="single"/>
          </w:rPr>
          <w:t xml:space="preserve">https://techtime.news/2025/12/23/kpmg-2/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3" w:name="fn18"/>
    <w:bookmarkEnd w:id="123"/>
    <w:p>
      <w:pPr>
        <w:numPr>
          <w:ilvl w:val="0"/>
          <w:numId w:val="9"/>
        </w:numPr>
        <w:spacing w:line="360" w:after="210" w:lineRule="auto"/>
      </w:pPr>
      <w:hyperlink r:id="rId23">
        <w:r>
          <w:rPr>
            <w:rFonts w:eastAsia="inter" w:cs="inter" w:ascii="inter" w:hAnsi="inter"/>
            <w:color w:val="#000"/>
            <w:sz w:val="18"/>
            <w:u w:val="single"/>
          </w:rPr>
          <w:t xml:space="preserve">https://kpmg.co.il/en</w:t>
        </w:r>
      </w:hyperlink>
      <w:r>
        <w:rPr>
          <w:rFonts w:eastAsia="inter" w:cs="inter" w:ascii="inter" w:hAnsi="inter"/>
          <w:color w:val="000000"/>
          <w:sz w:val="18"/>
        </w:rPr>
        <w:t xml:space="preserve"> </w:t>
      </w:r>
    </w:p>
    <w:bookmarkStart w:id="124" w:name="fn19"/>
    <w:bookmarkEnd w:id="124"/>
    <w:p>
      <w:pPr>
        <w:numPr>
          <w:ilvl w:val="0"/>
          <w:numId w:val="9"/>
        </w:numPr>
        <w:spacing w:line="360" w:after="210" w:lineRule="auto"/>
      </w:pPr>
      <w:hyperlink r:id="rId24">
        <w:r>
          <w:rPr>
            <w:rFonts w:eastAsia="inter" w:cs="inter" w:ascii="inter" w:hAnsi="inter"/>
            <w:color w:val="#000"/>
            <w:sz w:val="18"/>
            <w:u w:val="single"/>
          </w:rPr>
          <w:t xml:space="preserve">https://kpmg.com/il/en/home/About KPMG Israel.html</w:t>
        </w:r>
      </w:hyperlink>
      <w:r>
        <w:rPr>
          <w:rFonts w:eastAsia="inter" w:cs="inter" w:ascii="inter" w:hAnsi="inter"/>
          <w:color w:val="000000"/>
          <w:sz w:val="18"/>
        </w:rPr>
        <w:t xml:space="preserve"> </w:t>
      </w:r>
    </w:p>
    <w:bookmarkStart w:id="125" w:name="fn20"/>
    <w:bookmarkEnd w:id="125"/>
    <w:p>
      <w:pPr>
        <w:numPr>
          <w:ilvl w:val="0"/>
          <w:numId w:val="9"/>
        </w:numPr>
        <w:spacing w:line="360" w:after="210" w:lineRule="auto"/>
      </w:pPr>
      <w:hyperlink r:id="rId25">
        <w:r>
          <w:rPr>
            <w:rFonts w:eastAsia="inter" w:cs="inter" w:ascii="inter" w:hAnsi="inter"/>
            <w:color w:val="#000"/>
            <w:sz w:val="18"/>
            <w:u w:val="single"/>
          </w:rPr>
          <w:t xml:space="preserve">https://www.jpost.com/business-and-innovation/article-881246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6" w:name="fn21"/>
    <w:bookmarkEnd w:id="126"/>
    <w:p>
      <w:pPr>
        <w:numPr>
          <w:ilvl w:val="0"/>
          <w:numId w:val="9"/>
        </w:numPr>
        <w:spacing w:line="360" w:after="210" w:lineRule="auto"/>
      </w:pPr>
      <w:hyperlink r:id="rId26">
        <w:r>
          <w:rPr>
            <w:rFonts w:eastAsia="inter" w:cs="inter" w:ascii="inter" w:hAnsi="inter"/>
            <w:color w:val="#000"/>
            <w:sz w:val="18"/>
            <w:u w:val="single"/>
          </w:rPr>
          <w:t xml:space="preserve">https://kpmg.com/il/en/home/contacts/p/Dina Pasca - Raz.html</w:t>
        </w:r>
      </w:hyperlink>
      <w:r>
        <w:rPr>
          <w:rFonts w:eastAsia="inter" w:cs="inter" w:ascii="inter" w:hAnsi="inter"/>
          <w:color w:val="000000"/>
          <w:sz w:val="18"/>
        </w:rPr>
        <w:t xml:space="preserve"> </w:t>
      </w:r>
    </w:p>
    <w:bookmarkStart w:id="127" w:name="fn22"/>
    <w:bookmarkEnd w:id="127"/>
    <w:p>
      <w:pPr>
        <w:numPr>
          <w:ilvl w:val="0"/>
          <w:numId w:val="9"/>
        </w:numPr>
        <w:spacing w:line="360" w:after="210" w:lineRule="auto"/>
      </w:pPr>
      <w:hyperlink r:id="rId27">
        <w:r>
          <w:rPr>
            <w:rFonts w:eastAsia="inter" w:cs="inter" w:ascii="inter" w:hAnsi="inter"/>
            <w:color w:val="#000"/>
            <w:sz w:val="18"/>
            <w:u w:val="single"/>
          </w:rPr>
          <w:t xml:space="preserve">https://www.ivc-online.com/Portals/0/RC/Investors Report (MAF)/IVC_GNY_KPMG_INVESTORS_REPORT_H1_2025_Final.pdf?ver=2025-09-07-100503-070&amp;timestamp=1757319886374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8" w:name="fn23"/>
    <w:bookmarkEnd w:id="128"/>
    <w:p>
      <w:pPr>
        <w:numPr>
          <w:ilvl w:val="0"/>
          <w:numId w:val="9"/>
        </w:numPr>
        <w:spacing w:line="360" w:after="210" w:lineRule="auto"/>
      </w:pPr>
      <w:hyperlink r:id="rId28">
        <w:r>
          <w:rPr>
            <w:rFonts w:eastAsia="inter" w:cs="inter" w:ascii="inter" w:hAnsi="inter"/>
            <w:color w:val="#000"/>
            <w:sz w:val="18"/>
            <w:u w:val="single"/>
          </w:rPr>
          <w:t xml:space="preserve">https://assets.kpmg.com/content/dam/kpmg/be/pdf/ENG-global-tech-report-enrc.pdf.coredownload.inline.pdf</w:t>
        </w:r>
      </w:hyperlink>
      <w:r>
        <w:rPr>
          <w:rFonts w:eastAsia="inter" w:cs="inter" w:ascii="inter" w:hAnsi="inter"/>
          <w:color w:val="000000"/>
          <w:sz w:val="18"/>
        </w:rPr>
        <w:t xml:space="preserve"> </w:t>
      </w:r>
    </w:p>
    <w:bookmarkStart w:id="129" w:name="fn24"/>
    <w:bookmarkEnd w:id="129"/>
    <w:p>
      <w:pPr>
        <w:numPr>
          <w:ilvl w:val="0"/>
          <w:numId w:val="9"/>
        </w:numPr>
        <w:spacing w:line="360" w:after="210" w:lineRule="auto"/>
      </w:pPr>
      <w:hyperlink r:id="rId29">
        <w:r>
          <w:rPr>
            <w:rFonts w:eastAsia="inter" w:cs="inter" w:ascii="inter" w:hAnsi="inter"/>
            <w:color w:val="#000"/>
            <w:sz w:val="18"/>
            <w:u w:val="single"/>
          </w:rPr>
          <w:t xml:space="preserve">https://kpmg.com/il/en/home/industries/energy.html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0" w:name="fn25"/>
    <w:bookmarkEnd w:id="130"/>
    <w:p>
      <w:pPr>
        <w:numPr>
          <w:ilvl w:val="0"/>
          <w:numId w:val="9"/>
        </w:numPr>
        <w:spacing w:line="360" w:after="210" w:lineRule="auto"/>
      </w:pPr>
      <w:hyperlink r:id="rId30">
        <w:r>
          <w:rPr>
            <w:rFonts w:eastAsia="inter" w:cs="inter" w:ascii="inter" w:hAnsi="inter"/>
            <w:color w:val="#000"/>
            <w:sz w:val="18"/>
            <w:u w:val="single"/>
          </w:rPr>
          <w:t xml:space="preserve">https://kpmg.co.il/en/teams/communications-and-energy-team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1" w:name="fn26"/>
    <w:bookmarkEnd w:id="131"/>
    <w:p>
      <w:pPr>
        <w:numPr>
          <w:ilvl w:val="0"/>
          <w:numId w:val="9"/>
        </w:numPr>
        <w:spacing w:line="360" w:after="210" w:lineRule="auto"/>
      </w:pPr>
      <w:hyperlink r:id="rId31">
        <w:r>
          <w:rPr>
            <w:rFonts w:eastAsia="inter" w:cs="inter" w:ascii="inter" w:hAnsi="inter"/>
            <w:color w:val="#000"/>
            <w:sz w:val="18"/>
            <w:u w:val="single"/>
          </w:rPr>
          <w:t xml:space="preserve">https://assets.kpmg.com/content/dam/kpmg/nl/pdf/2025/enr-ceo-outlook-2025-report.pdf</w:t>
        </w:r>
      </w:hyperlink>
      <w:r>
        <w:rPr>
          <w:rFonts w:eastAsia="inter" w:cs="inter" w:ascii="inter" w:hAnsi="inter"/>
          <w:color w:val="000000"/>
          <w:sz w:val="18"/>
        </w:rPr>
        <w:t xml:space="preserve"> </w:t>
      </w:r>
    </w:p>
    <w:bookmarkStart w:id="132" w:name="fn27"/>
    <w:bookmarkEnd w:id="132"/>
    <w:p>
      <w:pPr>
        <w:numPr>
          <w:ilvl w:val="0"/>
          <w:numId w:val="9"/>
        </w:numPr>
        <w:spacing w:line="360" w:after="210" w:lineRule="auto"/>
      </w:pPr>
      <w:hyperlink r:id="rId32">
        <w:r>
          <w:rPr>
            <w:rFonts w:eastAsia="inter" w:cs="inter" w:ascii="inter" w:hAnsi="inter"/>
            <w:color w:val="#000"/>
            <w:sz w:val="18"/>
            <w:u w:val="single"/>
          </w:rPr>
          <w:t xml:space="preserve">https://assets.kpmg.com/content/dam/kpmgsites/au/pdf/2025/kpmg-global-tech-report-2024-energy-insights.pdf</w:t>
        </w:r>
      </w:hyperlink>
      <w:r>
        <w:rPr>
          <w:rFonts w:eastAsia="inter" w:cs="inter" w:ascii="inter" w:hAnsi="inter"/>
          <w:color w:val="000000"/>
          <w:sz w:val="18"/>
        </w:rPr>
        <w:t xml:space="preserve"> </w:t>
      </w:r>
    </w:p>
    <w:bookmarkStart w:id="133" w:name="fn28"/>
    <w:bookmarkEnd w:id="133"/>
    <w:p>
      <w:pPr>
        <w:numPr>
          <w:ilvl w:val="0"/>
          <w:numId w:val="9"/>
        </w:numPr>
        <w:spacing w:line="360" w:after="210" w:lineRule="auto"/>
      </w:pPr>
      <w:hyperlink r:id="rId33">
        <w:r>
          <w:rPr>
            <w:rFonts w:eastAsia="inter" w:cs="inter" w:ascii="inter" w:hAnsi="inter"/>
            <w:color w:val="#000"/>
            <w:sz w:val="18"/>
            <w:u w:val="single"/>
          </w:rPr>
          <w:t xml:space="preserve">https://startupnationcentral.org/hub/blog/energy-tech/</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4" w:name="fn29"/>
    <w:bookmarkEnd w:id="134"/>
    <w:p>
      <w:pPr>
        <w:numPr>
          <w:ilvl w:val="0"/>
          <w:numId w:val="9"/>
        </w:numPr>
        <w:spacing w:line="360" w:after="210" w:lineRule="auto"/>
      </w:pPr>
      <w:hyperlink r:id="rId34">
        <w:r>
          <w:rPr>
            <w:rFonts w:eastAsia="inter" w:cs="inter" w:ascii="inter" w:hAnsi="inter"/>
            <w:color w:val="#000"/>
            <w:sz w:val="18"/>
            <w:u w:val="single"/>
          </w:rPr>
          <w:t xml:space="preserve">https://innovationisrael.org.il/wp-content/uploads/2025/05/AI-National-Program-en-14.5.25.pdf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5" w:name="fn30"/>
    <w:bookmarkEnd w:id="135"/>
    <w:p>
      <w:pPr>
        <w:numPr>
          <w:ilvl w:val="0"/>
          <w:numId w:val="9"/>
        </w:numPr>
        <w:spacing w:line="360" w:after="210" w:lineRule="auto"/>
      </w:pPr>
      <w:hyperlink r:id="rId35">
        <w:r>
          <w:rPr>
            <w:rFonts w:eastAsia="inter" w:cs="inter" w:ascii="inter" w:hAnsi="inter"/>
            <w:color w:val="#000"/>
            <w:sz w:val="18"/>
            <w:u w:val="single"/>
          </w:rPr>
          <w:t xml:space="preserve">https://kpmg.com/us/en/media/news/trusted-ai-regulatory-landscape.html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6" w:name="fn31"/>
    <w:bookmarkEnd w:id="136"/>
    <w:p>
      <w:pPr>
        <w:numPr>
          <w:ilvl w:val="0"/>
          <w:numId w:val="9"/>
        </w:numPr>
        <w:spacing w:line="360" w:after="210" w:lineRule="auto"/>
      </w:pPr>
      <w:hyperlink r:id="rId36">
        <w:r>
          <w:rPr>
            <w:rFonts w:eastAsia="inter" w:cs="inter" w:ascii="inter" w:hAnsi="inter"/>
            <w:color w:val="#000"/>
            <w:sz w:val="18"/>
            <w:u w:val="single"/>
          </w:rPr>
          <w:t xml:space="preserve">https://assets.kpmg.com/content/dam/kpmgsites/xx/pdf/2025/05/trust-attitudes-and-use-of-ai-israel-snapshot.pdf.coredownload.inline.pdf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7" w:name="fn32"/>
    <w:bookmarkEnd w:id="137"/>
    <w:p>
      <w:pPr>
        <w:numPr>
          <w:ilvl w:val="0"/>
          <w:numId w:val="9"/>
        </w:numPr>
        <w:spacing w:line="360" w:after="210" w:lineRule="auto"/>
      </w:pPr>
      <w:hyperlink r:id="rId37">
        <w:r>
          <w:rPr>
            <w:rFonts w:eastAsia="inter" w:cs="inter" w:ascii="inter" w:hAnsi="inter"/>
            <w:color w:val="#000"/>
            <w:sz w:val="18"/>
            <w:u w:val="single"/>
          </w:rPr>
          <w:t xml:space="preserve">https://kpmg.com/us/en/articles/2025/ai-security-responsible-ai-adoption.html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8" w:name="fn33"/>
    <w:bookmarkEnd w:id="138"/>
    <w:p>
      <w:pPr>
        <w:numPr>
          <w:ilvl w:val="0"/>
          <w:numId w:val="9"/>
        </w:numPr>
        <w:spacing w:line="360" w:after="210" w:lineRule="auto"/>
      </w:pPr>
      <w:hyperlink r:id="rId38">
        <w:r>
          <w:rPr>
            <w:rFonts w:eastAsia="inter" w:cs="inter" w:ascii="inter" w:hAnsi="inter"/>
            <w:color w:val="#000"/>
            <w:sz w:val="18"/>
            <w:u w:val="single"/>
          </w:rPr>
          <w:t xml:space="preserve">https://kpmg.com/us/en/articles/2025/harnessing-power-ai-responsibly.html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34"/>
    <w:bookmarkEnd w:id="139"/>
    <w:p>
      <w:pPr>
        <w:numPr>
          <w:ilvl w:val="0"/>
          <w:numId w:val="9"/>
        </w:numPr>
        <w:spacing w:line="360" w:after="210" w:lineRule="auto"/>
      </w:pPr>
      <w:hyperlink r:id="rId39">
        <w:r>
          <w:rPr>
            <w:rFonts w:eastAsia="inter" w:cs="inter" w:ascii="inter" w:hAnsi="inter"/>
            <w:color w:val="#000"/>
            <w:sz w:val="18"/>
            <w:u w:val="single"/>
          </w:rPr>
          <w:t xml:space="preserve">https://kpmg.com/us/en/events/2025/kpmg-at-responsible-ai-summit-2025.html</w:t>
        </w:r>
      </w:hyperlink>
      <w:r>
        <w:rPr>
          <w:rFonts w:eastAsia="inter" w:cs="inter" w:ascii="inter" w:hAnsi="inter"/>
          <w:color w:val="000000"/>
          <w:sz w:val="18"/>
        </w:rPr>
        <w:t xml:space="preserve"> </w:t>
      </w:r>
    </w:p>
    <w:bookmarkStart w:id="140" w:name="fn35"/>
    <w:bookmarkEnd w:id="140"/>
    <w:p>
      <w:pPr>
        <w:numPr>
          <w:ilvl w:val="0"/>
          <w:numId w:val="9"/>
        </w:numPr>
        <w:spacing w:line="360" w:after="210" w:lineRule="auto"/>
      </w:pPr>
      <w:hyperlink r:id="rId40">
        <w:r>
          <w:rPr>
            <w:rFonts w:eastAsia="inter" w:cs="inter" w:ascii="inter" w:hAnsi="inter"/>
            <w:color w:val="#000"/>
            <w:sz w:val="18"/>
            <w:u w:val="single"/>
          </w:rPr>
          <w:t xml:space="preserve">https://ey.co.il/wp-content/uploads/2025/10/Transparency-Report-2025-clean-October-23-2025-Israel-JV.pdf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1" w:name="fn36"/>
    <w:bookmarkEnd w:id="141"/>
    <w:p>
      <w:pPr>
        <w:numPr>
          <w:ilvl w:val="0"/>
          <w:numId w:val="9"/>
        </w:numPr>
        <w:spacing w:line="360" w:after="210" w:lineRule="auto"/>
      </w:pPr>
      <w:hyperlink r:id="rId41">
        <w:r>
          <w:rPr>
            <w:rFonts w:eastAsia="inter" w:cs="inter" w:ascii="inter" w:hAnsi="inter"/>
            <w:color w:val="#000"/>
            <w:sz w:val="18"/>
            <w:u w:val="single"/>
          </w:rPr>
          <w:t xml:space="preserve">https://www.casebasix.com/pages/kpmg-vs-deloitte-consulting-comparison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2" w:name="fn37"/>
    <w:bookmarkEnd w:id="142"/>
    <w:p>
      <w:pPr>
        <w:numPr>
          <w:ilvl w:val="0"/>
          <w:numId w:val="9"/>
        </w:numPr>
        <w:spacing w:line="360" w:after="210" w:lineRule="auto"/>
      </w:pPr>
      <w:hyperlink r:id="rId42">
        <w:r>
          <w:rPr>
            <w:rFonts w:eastAsia="inter" w:cs="inter" w:ascii="inter" w:hAnsi="inter"/>
            <w:color w:val="#000"/>
            <w:sz w:val="18"/>
            <w:u w:val="single"/>
          </w:rPr>
          <w:t xml:space="preserve">https://www.linkedin.com/pulse/comparing-big-4-consulting-firms-deloitte-pwc-ey-kpmg-kevin-pramanik-8qcue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38"/>
    <w:bookmarkEnd w:id="143"/>
    <w:p>
      <w:pPr>
        <w:numPr>
          <w:ilvl w:val="0"/>
          <w:numId w:val="9"/>
        </w:numPr>
        <w:spacing w:line="360" w:after="210" w:lineRule="auto"/>
      </w:pPr>
      <w:hyperlink r:id="rId43">
        <w:r>
          <w:rPr>
            <w:rFonts w:eastAsia="inter" w:cs="inter" w:ascii="inter" w:hAnsi="inter"/>
            <w:color w:val="#000"/>
            <w:sz w:val="18"/>
            <w:u w:val="single"/>
          </w:rPr>
          <w:t xml:space="preserve">https://kpmg.com/xx/en/what-we-do/services/advisory/consulting/kpmg-powered-enterprise/kpmg-powered-enterprise-enabled-by-sap.html</w:t>
        </w:r>
      </w:hyperlink>
      <w:r>
        <w:rPr>
          <w:rFonts w:eastAsia="inter" w:cs="inter" w:ascii="inter" w:hAnsi="inter"/>
          <w:color w:val="000000"/>
          <w:sz w:val="18"/>
        </w:rPr>
        <w:t xml:space="preserve"> </w:t>
      </w:r>
    </w:p>
    <w:bookmarkStart w:id="144" w:name="fn39"/>
    <w:bookmarkEnd w:id="144"/>
    <w:p>
      <w:pPr>
        <w:numPr>
          <w:ilvl w:val="0"/>
          <w:numId w:val="9"/>
        </w:numPr>
        <w:spacing w:line="360" w:after="210" w:lineRule="auto"/>
      </w:pPr>
      <w:hyperlink r:id="rId44">
        <w:r>
          <w:rPr>
            <w:rFonts w:eastAsia="inter" w:cs="inter" w:ascii="inter" w:hAnsi="inter"/>
            <w:color w:val="#000"/>
            <w:sz w:val="18"/>
            <w:u w:val="single"/>
          </w:rPr>
          <w:t xml:space="preserve">https://kpmg.com/gr/en/home/insights/2024/07/powered-enterprise-sap.html</w:t>
        </w:r>
      </w:hyperlink>
      <w:r>
        <w:rPr>
          <w:rFonts w:eastAsia="inter" w:cs="inter" w:ascii="inter" w:hAnsi="inter"/>
          <w:color w:val="000000"/>
          <w:sz w:val="18"/>
        </w:rPr>
        <w:t xml:space="preserve"> </w:t>
      </w:r>
    </w:p>
    <w:bookmarkStart w:id="145" w:name="fn40"/>
    <w:bookmarkEnd w:id="145"/>
    <w:p>
      <w:pPr>
        <w:numPr>
          <w:ilvl w:val="0"/>
          <w:numId w:val="9"/>
        </w:numPr>
        <w:spacing w:line="360" w:after="210" w:lineRule="auto"/>
      </w:pPr>
      <w:hyperlink r:id="rId45">
        <w:r>
          <w:rPr>
            <w:rFonts w:eastAsia="inter" w:cs="inter" w:ascii="inter" w:hAnsi="inter"/>
            <w:color w:val="#000"/>
            <w:sz w:val="18"/>
            <w:u w:val="single"/>
          </w:rPr>
          <w:t xml:space="preserve">https://www.oracle.com/il-en/partner/kpmg/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41"/>
    <w:bookmarkEnd w:id="146"/>
    <w:p>
      <w:pPr>
        <w:numPr>
          <w:ilvl w:val="0"/>
          <w:numId w:val="9"/>
        </w:numPr>
        <w:spacing w:line="360" w:after="210" w:lineRule="auto"/>
      </w:pPr>
      <w:hyperlink r:id="rId46">
        <w:r>
          <w:rPr>
            <w:rFonts w:eastAsia="inter" w:cs="inter" w:ascii="inter" w:hAnsi="inter"/>
            <w:color w:val="#000"/>
            <w:sz w:val="18"/>
            <w:u w:val="single"/>
          </w:rPr>
          <w:t xml:space="preserve">https://kpmg.com/xx/en/what-we-do/alliances/salesforce.html</w:t>
        </w:r>
      </w:hyperlink>
      <w:r>
        <w:rPr>
          <w:rFonts w:eastAsia="inter" w:cs="inter" w:ascii="inter" w:hAnsi="inter"/>
          <w:color w:val="000000"/>
          <w:sz w:val="18"/>
        </w:rPr>
        <w:t xml:space="preserve"> </w:t>
      </w:r>
    </w:p>
    <w:bookmarkStart w:id="147" w:name="fn42"/>
    <w:bookmarkEnd w:id="147"/>
    <w:p>
      <w:pPr>
        <w:numPr>
          <w:ilvl w:val="0"/>
          <w:numId w:val="9"/>
        </w:numPr>
        <w:spacing w:line="360" w:after="210" w:lineRule="auto"/>
      </w:pPr>
      <w:hyperlink r:id="rId47">
        <w:r>
          <w:rPr>
            <w:rFonts w:eastAsia="inter" w:cs="inter" w:ascii="inter" w:hAnsi="inter"/>
            <w:color w:val="#000"/>
            <w:sz w:val="18"/>
            <w:u w:val="single"/>
          </w:rPr>
          <w:t xml:space="preserve">https://kpmg.co.il/technologyconsulting/our-offerings/digitalai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43"/>
    <w:bookmarkEnd w:id="148"/>
    <w:p>
      <w:pPr>
        <w:numPr>
          <w:ilvl w:val="0"/>
          <w:numId w:val="9"/>
        </w:numPr>
        <w:spacing w:line="360" w:after="210" w:lineRule="auto"/>
      </w:pPr>
      <w:hyperlink r:id="rId48">
        <w:r>
          <w:rPr>
            <w:rFonts w:eastAsia="inter" w:cs="inter" w:ascii="inter" w:hAnsi="inter"/>
            <w:color w:val="#000"/>
            <w:sz w:val="18"/>
            <w:u w:val="single"/>
          </w:rPr>
          <w:t xml:space="preserve">https://kpmg.co.il/technologyconsulting/our-offerings/cyber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44"/>
    <w:bookmarkEnd w:id="149"/>
    <w:p>
      <w:pPr>
        <w:numPr>
          <w:ilvl w:val="0"/>
          <w:numId w:val="9"/>
        </w:numPr>
        <w:spacing w:line="360" w:after="210" w:lineRule="auto"/>
      </w:pPr>
      <w:hyperlink r:id="rId49">
        <w:r>
          <w:rPr>
            <w:rFonts w:eastAsia="inter" w:cs="inter" w:ascii="inter" w:hAnsi="inter"/>
            <w:color w:val="#000"/>
            <w:sz w:val="18"/>
            <w:u w:val="single"/>
          </w:rPr>
          <w:t xml:space="preserve">https://kpmg.co.il/technologyconsulting</w:t>
        </w:r>
      </w:hyperlink>
      <w:r>
        <w:rPr>
          <w:rFonts w:eastAsia="inter" w:cs="inter" w:ascii="inter" w:hAnsi="inter"/>
          <w:color w:val="000000"/>
          <w:sz w:val="18"/>
        </w:rPr>
        <w:t xml:space="preserve"> </w:t>
      </w:r>
    </w:p>
    <w:bookmarkStart w:id="150" w:name="fn45"/>
    <w:bookmarkEnd w:id="150"/>
    <w:p>
      <w:pPr>
        <w:numPr>
          <w:ilvl w:val="0"/>
          <w:numId w:val="9"/>
        </w:numPr>
        <w:spacing w:line="360" w:after="210" w:lineRule="auto"/>
      </w:pPr>
      <w:hyperlink r:id="rId50">
        <w:r>
          <w:rPr>
            <w:rFonts w:eastAsia="inter" w:cs="inter" w:ascii="inter" w:hAnsi="inter"/>
            <w:color w:val="#000"/>
            <w:sz w:val="18"/>
            <w:u w:val="single"/>
          </w:rPr>
          <w:t xml:space="preserve">https://kpmg.co.il/technologyconsulting/our-offerings/products</w:t>
        </w:r>
      </w:hyperlink>
      <w:r>
        <w:rPr>
          <w:rFonts w:eastAsia="inter" w:cs="inter" w:ascii="inter" w:hAnsi="inter"/>
          <w:color w:val="000000"/>
          <w:sz w:val="18"/>
        </w:rPr>
        <w:t xml:space="preserve"> </w:t>
      </w:r>
    </w:p>
    <w:bookmarkStart w:id="151" w:name="fn46"/>
    <w:bookmarkEnd w:id="151"/>
    <w:p>
      <w:pPr>
        <w:numPr>
          <w:ilvl w:val="0"/>
          <w:numId w:val="9"/>
        </w:numPr>
        <w:spacing w:line="360" w:after="210" w:lineRule="auto"/>
      </w:pPr>
      <w:hyperlink r:id="rId51">
        <w:r>
          <w:rPr>
            <w:rFonts w:eastAsia="inter" w:cs="inter" w:ascii="inter" w:hAnsi="inter"/>
            <w:color w:val="#000"/>
            <w:sz w:val="18"/>
            <w:u w:val="single"/>
          </w:rPr>
          <w:t xml:space="preserve">https://kpmg.co.il/en/services/consulting-division/it-systems-consulting</w:t>
        </w:r>
      </w:hyperlink>
      <w:r>
        <w:rPr>
          <w:rFonts w:eastAsia="inter" w:cs="inter" w:ascii="inter" w:hAnsi="inter"/>
          <w:color w:val="000000"/>
          <w:sz w:val="18"/>
        </w:rPr>
        <w:t xml:space="preserve"> </w:t>
      </w:r>
    </w:p>
    <w:bookmarkStart w:id="152" w:name="fn47"/>
    <w:bookmarkEnd w:id="152"/>
    <w:p>
      <w:pPr>
        <w:numPr>
          <w:ilvl w:val="0"/>
          <w:numId w:val="9"/>
        </w:numPr>
        <w:spacing w:line="360" w:after="210" w:lineRule="auto"/>
      </w:pPr>
      <w:hyperlink r:id="rId52">
        <w:r>
          <w:rPr>
            <w:rFonts w:eastAsia="inter" w:cs="inter" w:ascii="inter" w:hAnsi="inter"/>
            <w:color w:val="#000"/>
            <w:sz w:val="18"/>
            <w:u w:val="single"/>
          </w:rPr>
          <w:t xml:space="preserve">https://kpmg.com/us/en/capabilities-services/kpmg-innovation-services/kpmg-ignition.html</w:t>
        </w:r>
      </w:hyperlink>
      <w:r>
        <w:rPr>
          <w:rFonts w:eastAsia="inter" w:cs="inter" w:ascii="inter" w:hAnsi="inter"/>
          <w:color w:val="000000"/>
          <w:sz w:val="18"/>
        </w:rPr>
        <w:t xml:space="preserve"> </w:t>
      </w:r>
    </w:p>
    <w:bookmarkStart w:id="153" w:name="fn48"/>
    <w:bookmarkEnd w:id="153"/>
    <w:p>
      <w:pPr>
        <w:numPr>
          <w:ilvl w:val="0"/>
          <w:numId w:val="9"/>
        </w:numPr>
        <w:spacing w:line="360" w:after="210" w:lineRule="auto"/>
      </w:pPr>
      <w:hyperlink r:id="rId53">
        <w:r>
          <w:rPr>
            <w:rFonts w:eastAsia="inter" w:cs="inter" w:ascii="inter" w:hAnsi="inter"/>
            <w:color w:val="#000"/>
            <w:sz w:val="18"/>
            <w:u w:val="single"/>
          </w:rPr>
          <w:t xml:space="preserve">https://www.unispace.com/projects/kmpg-ignition-center-london</w:t>
        </w:r>
      </w:hyperlink>
      <w:r>
        <w:rPr>
          <w:rFonts w:eastAsia="inter" w:cs="inter" w:ascii="inter" w:hAnsi="inter"/>
          <w:color w:val="000000"/>
          <w:sz w:val="18"/>
        </w:rPr>
        <w:t xml:space="preserve"> </w:t>
      </w:r>
    </w:p>
    <w:bookmarkStart w:id="154" w:name="fn49"/>
    <w:bookmarkEnd w:id="154"/>
    <w:p>
      <w:pPr>
        <w:numPr>
          <w:ilvl w:val="0"/>
          <w:numId w:val="9"/>
        </w:numPr>
        <w:spacing w:line="360" w:after="210" w:lineRule="auto"/>
      </w:pPr>
      <w:hyperlink r:id="rId54">
        <w:r>
          <w:rPr>
            <w:rFonts w:eastAsia="inter" w:cs="inter" w:ascii="inter" w:hAnsi="inter"/>
            <w:color w:val="#000"/>
            <w:sz w:val="18"/>
            <w:u w:val="single"/>
          </w:rPr>
          <w:t xml:space="preserve">https://kpmg.com/us/en/capabilities-services/kpmg-innovation-services/kpmg-ignition/exploration.html</w:t>
        </w:r>
      </w:hyperlink>
      <w:r>
        <w:rPr>
          <w:rFonts w:eastAsia="inter" w:cs="inter" w:ascii="inter" w:hAnsi="inter"/>
          <w:color w:val="000000"/>
          <w:sz w:val="18"/>
        </w:rPr>
        <w:t xml:space="preserve"> </w:t>
      </w:r>
    </w:p>
    <w:bookmarkStart w:id="155" w:name="fn50"/>
    <w:bookmarkEnd w:id="155"/>
    <w:p>
      <w:pPr>
        <w:numPr>
          <w:ilvl w:val="0"/>
          <w:numId w:val="9"/>
        </w:numPr>
        <w:spacing w:line="360" w:after="210" w:lineRule="auto"/>
      </w:pPr>
      <w:hyperlink r:id="rId55">
        <w:r>
          <w:rPr>
            <w:rFonts w:eastAsia="inter" w:cs="inter" w:ascii="inter" w:hAnsi="inter"/>
            <w:color w:val="#000"/>
            <w:sz w:val="18"/>
            <w:u w:val="single"/>
          </w:rPr>
          <w:t xml:space="preserve">https://www.dunskyarch.com/en/project/kpmg-ignition-center-tel-aviv/</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6" w:name="fn51"/>
    <w:bookmarkEnd w:id="156"/>
    <w:p>
      <w:pPr>
        <w:numPr>
          <w:ilvl w:val="0"/>
          <w:numId w:val="9"/>
        </w:numPr>
        <w:spacing w:line="360" w:after="210" w:lineRule="auto"/>
      </w:pPr>
      <w:hyperlink r:id="rId56">
        <w:r>
          <w:rPr>
            <w:rFonts w:eastAsia="inter" w:cs="inter" w:ascii="inter" w:hAnsi="inter"/>
            <w:color w:val="#000"/>
            <w:sz w:val="18"/>
            <w:u w:val="single"/>
          </w:rPr>
          <w:t xml:space="preserve">https://kpmg.com/xx/en/contacts/m/roni-michael.html</w:t>
        </w:r>
      </w:hyperlink>
      <w:r>
        <w:rPr>
          <w:rFonts w:eastAsia="inter" w:cs="inter" w:ascii="inter" w:hAnsi="inter"/>
          <w:color w:val="000000"/>
          <w:sz w:val="18"/>
        </w:rPr>
        <w:t xml:space="preserve"> </w:t>
      </w:r>
    </w:p>
    <w:bookmarkStart w:id="157" w:name="fn52"/>
    <w:bookmarkEnd w:id="157"/>
    <w:p>
      <w:pPr>
        <w:numPr>
          <w:ilvl w:val="0"/>
          <w:numId w:val="9"/>
        </w:numPr>
        <w:spacing w:line="360" w:after="210" w:lineRule="auto"/>
      </w:pPr>
      <w:hyperlink r:id="rId57">
        <w:r>
          <w:rPr>
            <w:rFonts w:eastAsia="inter" w:cs="inter" w:ascii="inter" w:hAnsi="inter"/>
            <w:color w:val="#000"/>
            <w:sz w:val="18"/>
            <w:u w:val="single"/>
          </w:rPr>
          <w:t xml:space="preserve">https://il.linkedin.com/in/roni-michael-7ab35a64</w:t>
        </w:r>
      </w:hyperlink>
      <w:r>
        <w:rPr>
          <w:rFonts w:eastAsia="inter" w:cs="inter" w:ascii="inter" w:hAnsi="inter"/>
          <w:color w:val="000000"/>
          <w:sz w:val="18"/>
        </w:rPr>
        <w:t xml:space="preserve"> </w:t>
      </w:r>
    </w:p>
    <w:bookmarkStart w:id="158" w:name="fn53"/>
    <w:bookmarkEnd w:id="158"/>
    <w:p>
      <w:pPr>
        <w:numPr>
          <w:ilvl w:val="0"/>
          <w:numId w:val="9"/>
        </w:numPr>
        <w:spacing w:line="360" w:after="210" w:lineRule="auto"/>
      </w:pPr>
      <w:hyperlink r:id="rId58">
        <w:r>
          <w:rPr>
            <w:rFonts w:eastAsia="inter" w:cs="inter" w:ascii="inter" w:hAnsi="inter"/>
            <w:color w:val="#000"/>
            <w:sz w:val="18"/>
            <w:u w:val="single"/>
          </w:rPr>
          <w:t xml:space="preserve">https://www.itonics-innovation.com/podcast/episodes/kpmg-roni-michael</w:t>
        </w:r>
      </w:hyperlink>
      <w:r>
        <w:rPr>
          <w:rFonts w:eastAsia="inter" w:cs="inter" w:ascii="inter" w:hAnsi="inter"/>
          <w:color w:val="000000"/>
          <w:sz w:val="18"/>
        </w:rPr>
        <w:t xml:space="preserve"> </w:t>
      </w:r>
    </w:p>
    <w:bookmarkStart w:id="159" w:name="fn54"/>
    <w:bookmarkEnd w:id="159"/>
    <w:p>
      <w:pPr>
        <w:numPr>
          <w:ilvl w:val="0"/>
          <w:numId w:val="9"/>
        </w:numPr>
        <w:spacing w:line="360" w:after="210" w:lineRule="auto"/>
      </w:pPr>
      <w:hyperlink r:id="rId59">
        <w:r>
          <w:rPr>
            <w:rFonts w:eastAsia="inter" w:cs="inter" w:ascii="inter" w:hAnsi="inter"/>
            <w:color w:val="#000"/>
            <w:sz w:val="18"/>
            <w:u w:val="single"/>
          </w:rPr>
          <w:t xml:space="preserve">https://online.fibi.co.il/wps/wcm/connect/online.fibi.co.il9960/4aa1a8eb-32ee-4f77-8367-fdf216f1ab46/Appointment+of+a+Director+-+Roni+Michael.pdf?MOD=AJPERES&amp;CACHEID=ROOTWORKSPACE.Z18_5G3DTJOFITLC70AN3NN69D0003-4aa1a8eb-32ee-4f77-8367-fdf216f1ab46-pcwe02C</w:t>
        </w:r>
      </w:hyperlink>
      <w:r>
        <w:rPr>
          <w:rFonts w:eastAsia="inter" w:cs="inter" w:ascii="inter" w:hAnsi="inter"/>
          <w:color w:val="000000"/>
          <w:sz w:val="18"/>
        </w:rPr>
        <w:t xml:space="preserve"> </w:t>
      </w:r>
    </w:p>
    <w:bookmarkStart w:id="160" w:name="fn55"/>
    <w:bookmarkEnd w:id="160"/>
    <w:p>
      <w:pPr>
        <w:numPr>
          <w:ilvl w:val="0"/>
          <w:numId w:val="9"/>
        </w:numPr>
        <w:spacing w:line="360" w:after="210" w:lineRule="auto"/>
      </w:pPr>
      <w:hyperlink r:id="rId60">
        <w:r>
          <w:rPr>
            <w:rFonts w:eastAsia="inter" w:cs="inter" w:ascii="inter" w:hAnsi="inter"/>
            <w:color w:val="#000"/>
            <w:sz w:val="18"/>
            <w:u w:val="single"/>
          </w:rPr>
          <w:t xml:space="preserve">https://innovationisrael.org.il/wp-content/uploads/2024/03/INVESTORS-REPORT-2023.pdf</w:t>
        </w:r>
      </w:hyperlink>
      <w:r>
        <w:rPr>
          <w:rFonts w:eastAsia="inter" w:cs="inter" w:ascii="inter" w:hAnsi="inter"/>
          <w:color w:val="000000"/>
          <w:sz w:val="18"/>
        </w:rPr>
        <w:t xml:space="preserve"> </w:t>
      </w:r>
    </w:p>
    <w:bookmarkStart w:id="161" w:name="fn56"/>
    <w:bookmarkEnd w:id="161"/>
    <w:p>
      <w:pPr>
        <w:numPr>
          <w:ilvl w:val="0"/>
          <w:numId w:val="9"/>
        </w:numPr>
        <w:spacing w:line="360" w:after="210" w:lineRule="auto"/>
      </w:pPr>
      <w:hyperlink r:id="rId61">
        <w:r>
          <w:rPr>
            <w:rFonts w:eastAsia="inter" w:cs="inter" w:ascii="inter" w:hAnsi="inter"/>
            <w:color w:val="#000"/>
            <w:sz w:val="18"/>
            <w:u w:val="single"/>
          </w:rPr>
          <w:t xml:space="preserve">https://innovationisrael.org.il/en/wp-content/uploads/sites/3/2024/03/INVESTORS-REPORT-2023_Final.pdf</w:t>
        </w:r>
      </w:hyperlink>
      <w:r>
        <w:rPr>
          <w:rFonts w:eastAsia="inter" w:cs="inter" w:ascii="inter" w:hAnsi="inter"/>
          <w:color w:val="000000"/>
          <w:sz w:val="18"/>
        </w:rPr>
        <w:t xml:space="preserve"> </w:t>
      </w:r>
    </w:p>
    <w:bookmarkStart w:id="162" w:name="fn57"/>
    <w:bookmarkEnd w:id="162"/>
    <w:p>
      <w:pPr>
        <w:numPr>
          <w:ilvl w:val="0"/>
          <w:numId w:val="9"/>
        </w:numPr>
        <w:spacing w:line="360" w:after="210" w:lineRule="auto"/>
      </w:pPr>
      <w:hyperlink r:id="rId62">
        <w:r>
          <w:rPr>
            <w:rFonts w:eastAsia="inter" w:cs="inter" w:ascii="inter" w:hAnsi="inter"/>
            <w:color w:val="#000"/>
            <w:sz w:val="18"/>
            <w:u w:val="single"/>
          </w:rPr>
          <w:t xml:space="preserve">https://kpmg.co.il/media/gvbnxjpo/ivc_gny_kpmg_investors-report-h1_2024_final.pdf</w:t>
        </w:r>
      </w:hyperlink>
      <w:r>
        <w:rPr>
          <w:rFonts w:eastAsia="inter" w:cs="inter" w:ascii="inter" w:hAnsi="inter"/>
          <w:color w:val="000000"/>
          <w:sz w:val="18"/>
        </w:rPr>
        <w:t xml:space="preserve"> </w:t>
      </w:r>
    </w:p>
    <w:bookmarkStart w:id="163" w:name="fn58"/>
    <w:bookmarkEnd w:id="163"/>
    <w:p>
      <w:pPr>
        <w:numPr>
          <w:ilvl w:val="0"/>
          <w:numId w:val="9"/>
        </w:numPr>
        <w:spacing w:line="360" w:after="210" w:lineRule="auto"/>
      </w:pPr>
      <w:hyperlink r:id="rId63">
        <w:r>
          <w:rPr>
            <w:rFonts w:eastAsia="inter" w:cs="inter" w:ascii="inter" w:hAnsi="inter"/>
            <w:color w:val="#000"/>
            <w:sz w:val="18"/>
            <w:u w:val="single"/>
          </w:rPr>
          <w:t xml:space="preserve">https://en.wikipedia.org/wiki/Economy_of_Israel</w:t>
        </w:r>
      </w:hyperlink>
      <w:r>
        <w:rPr>
          <w:rFonts w:eastAsia="inter" w:cs="inter" w:ascii="inter" w:hAnsi="inter"/>
          <w:color w:val="000000"/>
          <w:sz w:val="18"/>
        </w:rPr>
        <w:t xml:space="preserve"> </w:t>
      </w:r>
    </w:p>
    <w:bookmarkStart w:id="164" w:name="fn59"/>
    <w:bookmarkEnd w:id="164"/>
    <w:p>
      <w:pPr>
        <w:numPr>
          <w:ilvl w:val="0"/>
          <w:numId w:val="9"/>
        </w:numPr>
        <w:spacing w:line="360" w:after="210" w:lineRule="auto"/>
      </w:pPr>
      <w:hyperlink r:id="rId64">
        <w:r>
          <w:rPr>
            <w:rFonts w:eastAsia="inter" w:cs="inter" w:ascii="inter" w:hAnsi="inter"/>
            <w:color w:val="#000"/>
            <w:sz w:val="18"/>
            <w:u w:val="single"/>
          </w:rPr>
          <w:t xml:space="preserve">https://www.calcalistech.com/ctechnews/article/hjdkcdbskl</w:t>
        </w:r>
      </w:hyperlink>
      <w:r>
        <w:rPr>
          <w:rFonts w:eastAsia="inter" w:cs="inter" w:ascii="inter" w:hAnsi="inter"/>
          <w:color w:val="000000"/>
          <w:sz w:val="18"/>
        </w:rPr>
        <w:t xml:space="preserve"> </w:t>
      </w:r>
    </w:p>
    <w:bookmarkStart w:id="165" w:name="fn60"/>
    <w:bookmarkEnd w:id="165"/>
    <w:p>
      <w:pPr>
        <w:numPr>
          <w:ilvl w:val="0"/>
          <w:numId w:val="9"/>
        </w:numPr>
        <w:spacing w:line="360" w:after="210" w:lineRule="auto"/>
      </w:pPr>
      <w:hyperlink r:id="rId65">
        <w:r>
          <w:rPr>
            <w:rFonts w:eastAsia="inter" w:cs="inter" w:ascii="inter" w:hAnsi="inter"/>
            <w:color w:val="#000"/>
            <w:sz w:val="18"/>
            <w:u w:val="single"/>
          </w:rPr>
          <w:t xml:space="preserve">https://www.mdpi.com/2199-8531/8/3/162/pdf?version=1663030014</w:t>
        </w:r>
      </w:hyperlink>
      <w:r>
        <w:rPr>
          <w:rFonts w:eastAsia="inter" w:cs="inter" w:ascii="inter" w:hAnsi="inter"/>
          <w:color w:val="000000"/>
          <w:sz w:val="18"/>
        </w:rPr>
        <w:t xml:space="preserve"> </w:t>
      </w:r>
    </w:p>
    <w:bookmarkStart w:id="166" w:name="fn61"/>
    <w:bookmarkEnd w:id="166"/>
    <w:p>
      <w:pPr>
        <w:numPr>
          <w:ilvl w:val="0"/>
          <w:numId w:val="9"/>
        </w:numPr>
        <w:spacing w:line="360" w:after="210" w:lineRule="auto"/>
      </w:pPr>
      <w:hyperlink r:id="rId66">
        <w:r>
          <w:rPr>
            <w:rFonts w:eastAsia="inter" w:cs="inter" w:ascii="inter" w:hAnsi="inter"/>
            <w:color w:val="#000"/>
            <w:sz w:val="18"/>
            <w:u w:val="single"/>
          </w:rPr>
          <w:t xml:space="preserve">https://link.springer.com/10.1007/s40477-025-01097-6</w:t>
        </w:r>
      </w:hyperlink>
      <w:r>
        <w:rPr>
          <w:rFonts w:eastAsia="inter" w:cs="inter" w:ascii="inter" w:hAnsi="inter"/>
          <w:color w:val="000000"/>
          <w:sz w:val="18"/>
        </w:rPr>
        <w:t xml:space="preserve"> </w:t>
      </w:r>
    </w:p>
    <w:bookmarkStart w:id="167" w:name="fn62"/>
    <w:bookmarkEnd w:id="167"/>
    <w:p>
      <w:pPr>
        <w:numPr>
          <w:ilvl w:val="0"/>
          <w:numId w:val="9"/>
        </w:numPr>
        <w:spacing w:line="360" w:after="210" w:lineRule="auto"/>
      </w:pPr>
      <w:hyperlink r:id="rId67">
        <w:r>
          <w:rPr>
            <w:rFonts w:eastAsia="inter" w:cs="inter" w:ascii="inter" w:hAnsi="inter"/>
            <w:color w:val="#000"/>
            <w:sz w:val="18"/>
            <w:u w:val="single"/>
          </w:rPr>
          <w:t xml:space="preserve">https://www.semanticscholar.org/paper/ee05fde9c44485635ca76128f0352d3fc3c89fdd</w:t>
        </w:r>
      </w:hyperlink>
      <w:r>
        <w:rPr>
          <w:rFonts w:eastAsia="inter" w:cs="inter" w:ascii="inter" w:hAnsi="inter"/>
          <w:color w:val="000000"/>
          <w:sz w:val="18"/>
        </w:rPr>
        <w:t xml:space="preserve"> </w:t>
      </w:r>
    </w:p>
    <w:bookmarkStart w:id="168" w:name="fn63"/>
    <w:bookmarkEnd w:id="168"/>
    <w:p>
      <w:pPr>
        <w:numPr>
          <w:ilvl w:val="0"/>
          <w:numId w:val="9"/>
        </w:numPr>
        <w:spacing w:line="360" w:after="210" w:lineRule="auto"/>
      </w:pPr>
      <w:hyperlink r:id="rId68">
        <w:r>
          <w:rPr>
            <w:rFonts w:eastAsia="inter" w:cs="inter" w:ascii="inter" w:hAnsi="inter"/>
            <w:color w:val="#000"/>
            <w:sz w:val="18"/>
            <w:u w:val="single"/>
          </w:rPr>
          <w:t xml:space="preserve">https://ijcsrr.org/single-view/?id=17506&amp;pid=17470</w:t>
        </w:r>
      </w:hyperlink>
      <w:r>
        <w:rPr>
          <w:rFonts w:eastAsia="inter" w:cs="inter" w:ascii="inter" w:hAnsi="inter"/>
          <w:color w:val="000000"/>
          <w:sz w:val="18"/>
        </w:rPr>
        <w:t xml:space="preserve"> </w:t>
      </w:r>
    </w:p>
    <w:bookmarkStart w:id="169" w:name="fn64"/>
    <w:bookmarkEnd w:id="169"/>
    <w:p>
      <w:pPr>
        <w:numPr>
          <w:ilvl w:val="0"/>
          <w:numId w:val="9"/>
        </w:numPr>
        <w:spacing w:line="360" w:after="210" w:lineRule="auto"/>
      </w:pPr>
      <w:hyperlink r:id="rId69">
        <w:r>
          <w:rPr>
            <w:rFonts w:eastAsia="inter" w:cs="inter" w:ascii="inter" w:hAnsi="inter"/>
            <w:color w:val="#000"/>
            <w:sz w:val="18"/>
            <w:u w:val="single"/>
          </w:rPr>
          <w:t xml:space="preserve">https://linkinghub.elsevier.com/retrieve/pii/S0306261923002076</w:t>
        </w:r>
      </w:hyperlink>
      <w:r>
        <w:rPr>
          <w:rFonts w:eastAsia="inter" w:cs="inter" w:ascii="inter" w:hAnsi="inter"/>
          <w:color w:val="000000"/>
          <w:sz w:val="18"/>
        </w:rPr>
        <w:t xml:space="preserve"> </w:t>
      </w:r>
    </w:p>
    <w:bookmarkStart w:id="170" w:name="fn65"/>
    <w:bookmarkEnd w:id="170"/>
    <w:p>
      <w:pPr>
        <w:numPr>
          <w:ilvl w:val="0"/>
          <w:numId w:val="9"/>
        </w:numPr>
        <w:spacing w:line="360" w:after="210" w:lineRule="auto"/>
      </w:pPr>
      <w:hyperlink r:id="rId70">
        <w:r>
          <w:rPr>
            <w:rFonts w:eastAsia="inter" w:cs="inter" w:ascii="inter" w:hAnsi="inter"/>
            <w:color w:val="#000"/>
            <w:sz w:val="18"/>
            <w:u w:val="single"/>
          </w:rPr>
          <w:t xml:space="preserve">https://www.mdpi.com/2227-7099/9/3/121/pdf?version=1630058820</w:t>
        </w:r>
      </w:hyperlink>
      <w:r>
        <w:rPr>
          <w:rFonts w:eastAsia="inter" w:cs="inter" w:ascii="inter" w:hAnsi="inter"/>
          <w:color w:val="000000"/>
          <w:sz w:val="18"/>
        </w:rPr>
        <w:t xml:space="preserve"> </w:t>
      </w:r>
    </w:p>
    <w:bookmarkStart w:id="171" w:name="fn66"/>
    <w:bookmarkEnd w:id="171"/>
    <w:p>
      <w:pPr>
        <w:numPr>
          <w:ilvl w:val="0"/>
          <w:numId w:val="9"/>
        </w:numPr>
        <w:spacing w:line="360" w:after="210" w:lineRule="auto"/>
      </w:pPr>
      <w:hyperlink r:id="rId71">
        <w:r>
          <w:rPr>
            <w:rFonts w:eastAsia="inter" w:cs="inter" w:ascii="inter" w:hAnsi="inter"/>
            <w:color w:val="#000"/>
            <w:sz w:val="18"/>
            <w:u w:val="single"/>
          </w:rPr>
          <w:t xml:space="preserve">https://www.mdpi.com/2071-1050/15/16/12419/pdf?version=1692155456</w:t>
        </w:r>
      </w:hyperlink>
      <w:r>
        <w:rPr>
          <w:rFonts w:eastAsia="inter" w:cs="inter" w:ascii="inter" w:hAnsi="inter"/>
          <w:color w:val="000000"/>
          <w:sz w:val="18"/>
        </w:rPr>
        <w:t xml:space="preserve"> </w:t>
      </w:r>
    </w:p>
    <w:bookmarkStart w:id="172" w:name="fn67"/>
    <w:bookmarkEnd w:id="172"/>
    <w:p>
      <w:pPr>
        <w:numPr>
          <w:ilvl w:val="0"/>
          <w:numId w:val="9"/>
        </w:numPr>
        <w:spacing w:line="360" w:after="210" w:lineRule="auto"/>
      </w:pPr>
      <w:hyperlink r:id="rId72">
        <w:r>
          <w:rPr>
            <w:rFonts w:eastAsia="inter" w:cs="inter" w:ascii="inter" w:hAnsi="inter"/>
            <w:color w:val="#000"/>
            <w:sz w:val="18"/>
            <w:u w:val="single"/>
          </w:rPr>
          <w:t xml:space="preserve">https://www.mdpi.com/2071-1050/14/20/13501/pdf?version=1666180084</w:t>
        </w:r>
      </w:hyperlink>
      <w:r>
        <w:rPr>
          <w:rFonts w:eastAsia="inter" w:cs="inter" w:ascii="inter" w:hAnsi="inter"/>
          <w:color w:val="000000"/>
          <w:sz w:val="18"/>
        </w:rPr>
        <w:t xml:space="preserve"> </w:t>
      </w:r>
    </w:p>
    <w:bookmarkStart w:id="173" w:name="fn68"/>
    <w:bookmarkEnd w:id="173"/>
    <w:p>
      <w:pPr>
        <w:numPr>
          <w:ilvl w:val="0"/>
          <w:numId w:val="9"/>
        </w:numPr>
        <w:spacing w:line="360" w:after="210" w:lineRule="auto"/>
      </w:pPr>
      <w:hyperlink r:id="rId73">
        <w:r>
          <w:rPr>
            <w:rFonts w:eastAsia="inter" w:cs="inter" w:ascii="inter" w:hAnsi="inter"/>
            <w:color w:val="#000"/>
            <w:sz w:val="18"/>
            <w:u w:val="single"/>
          </w:rPr>
          <w:t xml:space="preserve">http://www.scirp.org/journal/PaperDownload.aspx?paperID=88238</w:t>
        </w:r>
      </w:hyperlink>
      <w:r>
        <w:rPr>
          <w:rFonts w:eastAsia="inter" w:cs="inter" w:ascii="inter" w:hAnsi="inter"/>
          <w:color w:val="000000"/>
          <w:sz w:val="18"/>
        </w:rPr>
        <w:t xml:space="preserve"> </w:t>
      </w:r>
    </w:p>
    <w:bookmarkStart w:id="174" w:name="fn69"/>
    <w:bookmarkEnd w:id="174"/>
    <w:p>
      <w:pPr>
        <w:numPr>
          <w:ilvl w:val="0"/>
          <w:numId w:val="9"/>
        </w:numPr>
        <w:spacing w:line="360" w:after="210" w:lineRule="auto"/>
      </w:pPr>
      <w:hyperlink r:id="rId74">
        <w:r>
          <w:rPr>
            <w:rFonts w:eastAsia="inter" w:cs="inter" w:ascii="inter" w:hAnsi="inter"/>
            <w:color w:val="#000"/>
            <w:sz w:val="18"/>
            <w:u w:val="single"/>
          </w:rPr>
          <w:t xml:space="preserve">https://downloads.hindawi.com/journals/jeph/2022/1064558.pdf</w:t>
        </w:r>
      </w:hyperlink>
      <w:r>
        <w:rPr>
          <w:rFonts w:eastAsia="inter" w:cs="inter" w:ascii="inter" w:hAnsi="inter"/>
          <w:color w:val="000000"/>
          <w:sz w:val="18"/>
        </w:rPr>
        <w:t xml:space="preserve"> </w:t>
      </w:r>
    </w:p>
    <w:bookmarkStart w:id="175" w:name="fn70"/>
    <w:bookmarkEnd w:id="175"/>
    <w:p>
      <w:pPr>
        <w:numPr>
          <w:ilvl w:val="0"/>
          <w:numId w:val="9"/>
        </w:numPr>
        <w:spacing w:line="360" w:after="210" w:lineRule="auto"/>
      </w:pPr>
      <w:hyperlink r:id="rId75">
        <w:r>
          <w:rPr>
            <w:rFonts w:eastAsia="inter" w:cs="inter" w:ascii="inter" w:hAnsi="inter"/>
            <w:color w:val="#000"/>
            <w:sz w:val="18"/>
            <w:u w:val="single"/>
          </w:rPr>
          <w:t xml:space="preserve">https://ourcoders.com/news/show/47348/</w:t>
        </w:r>
      </w:hyperlink>
      <w:r>
        <w:rPr>
          <w:rFonts w:eastAsia="inter" w:cs="inter" w:ascii="inter" w:hAnsi="inter"/>
          <w:color w:val="000000"/>
          <w:sz w:val="18"/>
        </w:rPr>
        <w:t xml:space="preserve"> </w:t>
      </w:r>
    </w:p>
    <w:bookmarkStart w:id="176" w:name="fn71"/>
    <w:bookmarkEnd w:id="176"/>
    <w:p>
      <w:pPr>
        <w:numPr>
          <w:ilvl w:val="0"/>
          <w:numId w:val="9"/>
        </w:numPr>
        <w:spacing w:line="360" w:after="210" w:lineRule="auto"/>
      </w:pPr>
      <w:hyperlink r:id="rId76">
        <w:r>
          <w:rPr>
            <w:rFonts w:eastAsia="inter" w:cs="inter" w:ascii="inter" w:hAnsi="inter"/>
            <w:color w:val="#000"/>
            <w:sz w:val="18"/>
            <w:u w:val="single"/>
          </w:rPr>
          <w:t xml:space="preserve">https://www.business-inform.net/export_pdf/business-inform-2025-7_0-pages-377_386.pdf</w:t>
        </w:r>
      </w:hyperlink>
      <w:r>
        <w:rPr>
          <w:rFonts w:eastAsia="inter" w:cs="inter" w:ascii="inter" w:hAnsi="inter"/>
          <w:color w:val="000000"/>
          <w:sz w:val="18"/>
        </w:rPr>
        <w:t xml:space="preserve"> </w:t>
      </w:r>
    </w:p>
    <w:bookmarkStart w:id="177" w:name="fn72"/>
    <w:bookmarkEnd w:id="177"/>
    <w:p>
      <w:pPr>
        <w:numPr>
          <w:ilvl w:val="0"/>
          <w:numId w:val="9"/>
        </w:numPr>
        <w:spacing w:line="360" w:after="210" w:lineRule="auto"/>
      </w:pPr>
      <w:hyperlink r:id="rId77">
        <w:r>
          <w:rPr>
            <w:rFonts w:eastAsia="inter" w:cs="inter" w:ascii="inter" w:hAnsi="inter"/>
            <w:color w:val="#000"/>
            <w:sz w:val="18"/>
            <w:u w:val="single"/>
          </w:rPr>
          <w:t xml:space="preserve">https://www.semanticscholar.org/paper/cf390ce1ca032ae91b2f29a341de47f07932f2e6</w:t>
        </w:r>
      </w:hyperlink>
      <w:r>
        <w:rPr>
          <w:rFonts w:eastAsia="inter" w:cs="inter" w:ascii="inter" w:hAnsi="inter"/>
          <w:color w:val="000000"/>
          <w:sz w:val="18"/>
        </w:rPr>
        <w:t xml:space="preserve"> </w:t>
      </w:r>
    </w:p>
    <w:bookmarkStart w:id="178" w:name="fn73"/>
    <w:bookmarkEnd w:id="178"/>
    <w:p>
      <w:pPr>
        <w:numPr>
          <w:ilvl w:val="0"/>
          <w:numId w:val="9"/>
        </w:numPr>
        <w:spacing w:line="360" w:after="210" w:lineRule="auto"/>
      </w:pPr>
      <w:hyperlink r:id="rId78">
        <w:r>
          <w:rPr>
            <w:rFonts w:eastAsia="inter" w:cs="inter" w:ascii="inter" w:hAnsi="inter"/>
            <w:color w:val="#000"/>
            <w:sz w:val="18"/>
            <w:u w:val="single"/>
          </w:rPr>
          <w:t xml:space="preserve">https://fkd.net.ua/index.php/fkd/article/view/3577</w:t>
        </w:r>
      </w:hyperlink>
      <w:r>
        <w:rPr>
          <w:rFonts w:eastAsia="inter" w:cs="inter" w:ascii="inter" w:hAnsi="inter"/>
          <w:color w:val="000000"/>
          <w:sz w:val="18"/>
        </w:rPr>
        <w:t xml:space="preserve"> </w:t>
      </w:r>
    </w:p>
    <w:bookmarkStart w:id="179" w:name="fn74"/>
    <w:bookmarkEnd w:id="179"/>
    <w:p>
      <w:pPr>
        <w:numPr>
          <w:ilvl w:val="0"/>
          <w:numId w:val="9"/>
        </w:numPr>
        <w:spacing w:line="360" w:after="210" w:lineRule="auto"/>
      </w:pPr>
      <w:hyperlink r:id="rId79">
        <w:r>
          <w:rPr>
            <w:rFonts w:eastAsia="inter" w:cs="inter" w:ascii="inter" w:hAnsi="inter"/>
            <w:color w:val="#000"/>
            <w:sz w:val="18"/>
            <w:u w:val="single"/>
          </w:rPr>
          <w:t xml:space="preserve">https://www.frontiersin.org/articles/10.3389/frai.2024.1326358/pdf?isPublishedV2=False</w:t>
        </w:r>
      </w:hyperlink>
      <w:r>
        <w:rPr>
          <w:rFonts w:eastAsia="inter" w:cs="inter" w:ascii="inter" w:hAnsi="inter"/>
          <w:color w:val="000000"/>
          <w:sz w:val="18"/>
        </w:rPr>
        <w:t xml:space="preserve"> </w:t>
      </w:r>
    </w:p>
    <w:bookmarkStart w:id="180" w:name="fn75"/>
    <w:bookmarkEnd w:id="180"/>
    <w:p>
      <w:pPr>
        <w:numPr>
          <w:ilvl w:val="0"/>
          <w:numId w:val="9"/>
        </w:numPr>
        <w:spacing w:line="360" w:after="210" w:lineRule="auto"/>
      </w:pPr>
      <w:hyperlink r:id="rId80">
        <w:r>
          <w:rPr>
            <w:rFonts w:eastAsia="inter" w:cs="inter" w:ascii="inter" w:hAnsi="inter"/>
            <w:color w:val="#000"/>
            <w:sz w:val="18"/>
            <w:u w:val="single"/>
          </w:rPr>
          <w:t xml:space="preserve">https://www.mdpi.com/2571-5577/4/3/69/pdf?version=1632308073</w:t>
        </w:r>
      </w:hyperlink>
      <w:r>
        <w:rPr>
          <w:rFonts w:eastAsia="inter" w:cs="inter" w:ascii="inter" w:hAnsi="inter"/>
          <w:color w:val="000000"/>
          <w:sz w:val="18"/>
        </w:rPr>
        <w:t xml:space="preserve"> </w:t>
      </w:r>
    </w:p>
    <w:bookmarkStart w:id="181" w:name="fn76"/>
    <w:bookmarkEnd w:id="181"/>
    <w:p>
      <w:pPr>
        <w:numPr>
          <w:ilvl w:val="0"/>
          <w:numId w:val="9"/>
        </w:numPr>
        <w:spacing w:line="360" w:after="210" w:lineRule="auto"/>
      </w:pPr>
      <w:hyperlink r:id="rId81">
        <w:r>
          <w:rPr>
            <w:rFonts w:eastAsia="inter" w:cs="inter" w:ascii="inter" w:hAnsi="inter"/>
            <w:color w:val="#000"/>
            <w:sz w:val="18"/>
            <w:u w:val="single"/>
          </w:rPr>
          <w:t xml:space="preserve">https://www.mdpi.com/2227-7072/12/1/3/pdf?version=1704963021</w:t>
        </w:r>
      </w:hyperlink>
      <w:r>
        <w:rPr>
          <w:rFonts w:eastAsia="inter" w:cs="inter" w:ascii="inter" w:hAnsi="inter"/>
          <w:color w:val="000000"/>
          <w:sz w:val="18"/>
        </w:rPr>
        <w:t xml:space="preserve"> </w:t>
      </w:r>
    </w:p>
    <w:bookmarkStart w:id="182" w:name="fn77"/>
    <w:bookmarkEnd w:id="182"/>
    <w:p>
      <w:pPr>
        <w:numPr>
          <w:ilvl w:val="0"/>
          <w:numId w:val="9"/>
        </w:numPr>
        <w:spacing w:line="360" w:after="210" w:lineRule="auto"/>
      </w:pPr>
      <w:hyperlink r:id="rId82">
        <w:r>
          <w:rPr>
            <w:rFonts w:eastAsia="inter" w:cs="inter" w:ascii="inter" w:hAnsi="inter"/>
            <w:color w:val="#000"/>
            <w:sz w:val="18"/>
            <w:u w:val="single"/>
          </w:rPr>
          <w:t xml:space="preserve">https://kpmg.com/xx/en/what-we-do/industries/financial-services/pulse-of-fintech/emea.html</w:t>
        </w:r>
      </w:hyperlink>
      <w:r>
        <w:rPr>
          <w:rFonts w:eastAsia="inter" w:cs="inter" w:ascii="inter" w:hAnsi="inter"/>
          <w:color w:val="000000"/>
          <w:sz w:val="18"/>
        </w:rPr>
        <w:t xml:space="preserve"> </w:t>
      </w:r>
    </w:p>
    <w:bookmarkStart w:id="183" w:name="fn78"/>
    <w:bookmarkEnd w:id="183"/>
    <w:p>
      <w:pPr>
        <w:numPr>
          <w:ilvl w:val="0"/>
          <w:numId w:val="9"/>
        </w:numPr>
        <w:spacing w:line="360" w:after="210" w:lineRule="auto"/>
      </w:pPr>
      <w:hyperlink r:id="rId83">
        <w:r>
          <w:rPr>
            <w:rFonts w:eastAsia="inter" w:cs="inter" w:ascii="inter" w:hAnsi="inter"/>
            <w:color w:val="#000"/>
            <w:sz w:val="18"/>
            <w:u w:val="single"/>
          </w:rPr>
          <w:t xml:space="preserve">https://kpmg.co.il/technologyconsulting/blog/digital-transformation-in-the-infrastructure-sector-a-brave-new-world</w:t>
        </w:r>
      </w:hyperlink>
      <w:r>
        <w:rPr>
          <w:rFonts w:eastAsia="inter" w:cs="inter" w:ascii="inter" w:hAnsi="inter"/>
          <w:color w:val="000000"/>
          <w:sz w:val="18"/>
        </w:rPr>
        <w:t xml:space="preserve"> </w:t>
      </w:r>
    </w:p>
    <w:bookmarkStart w:id="184" w:name="fn79"/>
    <w:bookmarkEnd w:id="184"/>
    <w:p>
      <w:pPr>
        <w:numPr>
          <w:ilvl w:val="0"/>
          <w:numId w:val="9"/>
        </w:numPr>
        <w:spacing w:line="360" w:after="210" w:lineRule="auto"/>
      </w:pPr>
      <w:hyperlink r:id="rId84">
        <w:r>
          <w:rPr>
            <w:rFonts w:eastAsia="inter" w:cs="inter" w:ascii="inter" w:hAnsi="inter"/>
            <w:color w:val="#000"/>
            <w:sz w:val="18"/>
            <w:u w:val="single"/>
          </w:rPr>
          <w:t xml:space="preserve">https://www.business-inform.net/export_pdf/business-inform-2025-3_0-pages-23_32.pdf</w:t>
        </w:r>
      </w:hyperlink>
      <w:r>
        <w:rPr>
          <w:rFonts w:eastAsia="inter" w:cs="inter" w:ascii="inter" w:hAnsi="inter"/>
          <w:color w:val="000000"/>
          <w:sz w:val="18"/>
        </w:rPr>
        <w:t xml:space="preserve"> </w:t>
      </w:r>
    </w:p>
    <w:bookmarkStart w:id="185" w:name="fn80"/>
    <w:bookmarkEnd w:id="185"/>
    <w:p>
      <w:pPr>
        <w:numPr>
          <w:ilvl w:val="0"/>
          <w:numId w:val="9"/>
        </w:numPr>
        <w:spacing w:line="360" w:after="210" w:lineRule="auto"/>
      </w:pPr>
      <w:hyperlink r:id="rId85">
        <w:r>
          <w:rPr>
            <w:rFonts w:eastAsia="inter" w:cs="inter" w:ascii="inter" w:hAnsi="inter"/>
            <w:color w:val="#000"/>
            <w:sz w:val="18"/>
            <w:u w:val="single"/>
          </w:rPr>
          <w:t xml:space="preserve">https://vz.kneu.ua/archive/2024/35(2).18</w:t>
        </w:r>
      </w:hyperlink>
      <w:r>
        <w:rPr>
          <w:rFonts w:eastAsia="inter" w:cs="inter" w:ascii="inter" w:hAnsi="inter"/>
          <w:color w:val="000000"/>
          <w:sz w:val="18"/>
        </w:rPr>
        <w:t xml:space="preserve"> </w:t>
      </w:r>
    </w:p>
    <w:bookmarkStart w:id="186" w:name="fn81"/>
    <w:bookmarkEnd w:id="186"/>
    <w:p>
      <w:pPr>
        <w:numPr>
          <w:ilvl w:val="0"/>
          <w:numId w:val="9"/>
        </w:numPr>
        <w:spacing w:line="360" w:after="210" w:lineRule="auto"/>
      </w:pPr>
      <w:hyperlink r:id="rId86">
        <w:r>
          <w:rPr>
            <w:rFonts w:eastAsia="inter" w:cs="inter" w:ascii="inter" w:hAnsi="inter"/>
            <w:color w:val="#000"/>
            <w:sz w:val="18"/>
            <w:u w:val="single"/>
          </w:rPr>
          <w:t xml:space="preserve">https://www.semanticscholar.org/paper/e63eaae7688ed429650571db738d6e34715fbed8</w:t>
        </w:r>
      </w:hyperlink>
      <w:r>
        <w:rPr>
          <w:rFonts w:eastAsia="inter" w:cs="inter" w:ascii="inter" w:hAnsi="inter"/>
          <w:color w:val="000000"/>
          <w:sz w:val="18"/>
        </w:rPr>
        <w:t xml:space="preserve"> </w:t>
      </w:r>
    </w:p>
    <w:bookmarkStart w:id="187" w:name="fn82"/>
    <w:bookmarkEnd w:id="187"/>
    <w:p>
      <w:pPr>
        <w:numPr>
          <w:ilvl w:val="0"/>
          <w:numId w:val="9"/>
        </w:numPr>
        <w:spacing w:line="360" w:after="210" w:lineRule="auto"/>
      </w:pPr>
      <w:hyperlink r:id="rId87">
        <w:r>
          <w:rPr>
            <w:rFonts w:eastAsia="inter" w:cs="inter" w:ascii="inter" w:hAnsi="inter"/>
            <w:color w:val="#000"/>
            <w:sz w:val="18"/>
            <w:u w:val="single"/>
          </w:rPr>
          <w:t xml:space="preserve">https://linkinghub.elsevier.com/retrieve/pii/S2452414X23000936</w:t>
        </w:r>
      </w:hyperlink>
      <w:r>
        <w:rPr>
          <w:rFonts w:eastAsia="inter" w:cs="inter" w:ascii="inter" w:hAnsi="inter"/>
          <w:color w:val="000000"/>
          <w:sz w:val="18"/>
        </w:rPr>
        <w:t xml:space="preserve"> </w:t>
      </w:r>
    </w:p>
    <w:bookmarkStart w:id="188" w:name="fn83"/>
    <w:bookmarkEnd w:id="188"/>
    <w:p>
      <w:pPr>
        <w:numPr>
          <w:ilvl w:val="0"/>
          <w:numId w:val="9"/>
        </w:numPr>
        <w:spacing w:line="360" w:after="210" w:lineRule="auto"/>
      </w:pPr>
      <w:hyperlink r:id="rId88">
        <w:r>
          <w:rPr>
            <w:rFonts w:eastAsia="inter" w:cs="inter" w:ascii="inter" w:hAnsi="inter"/>
            <w:color w:val="#000"/>
            <w:sz w:val="18"/>
            <w:u w:val="single"/>
          </w:rPr>
          <w:t xml:space="preserve">https://arxiv.org/html/2504.07457v1</w:t>
        </w:r>
      </w:hyperlink>
      <w:r>
        <w:rPr>
          <w:rFonts w:eastAsia="inter" w:cs="inter" w:ascii="inter" w:hAnsi="inter"/>
          <w:color w:val="000000"/>
          <w:sz w:val="18"/>
        </w:rPr>
        <w:t xml:space="preserve"> </w:t>
      </w:r>
    </w:p>
    <w:bookmarkStart w:id="189" w:name="fn84"/>
    <w:bookmarkEnd w:id="189"/>
    <w:p>
      <w:pPr>
        <w:numPr>
          <w:ilvl w:val="0"/>
          <w:numId w:val="9"/>
        </w:numPr>
        <w:spacing w:line="360" w:after="210" w:lineRule="auto"/>
      </w:pPr>
      <w:hyperlink r:id="rId89">
        <w:r>
          <w:rPr>
            <w:rFonts w:eastAsia="inter" w:cs="inter" w:ascii="inter" w:hAnsi="inter"/>
            <w:color w:val="#000"/>
            <w:sz w:val="18"/>
            <w:u w:val="single"/>
          </w:rPr>
          <w:t xml:space="preserve">https://www.mdpi.com/2673-7116/4/2/15/pdf?version=1718634314</w:t>
        </w:r>
      </w:hyperlink>
      <w:r>
        <w:rPr>
          <w:rFonts w:eastAsia="inter" w:cs="inter" w:ascii="inter" w:hAnsi="inter"/>
          <w:color w:val="000000"/>
          <w:sz w:val="18"/>
        </w:rPr>
        <w:t xml:space="preserve"> </w:t>
      </w:r>
    </w:p>
    <w:bookmarkStart w:id="190" w:name="fn85"/>
    <w:bookmarkEnd w:id="190"/>
    <w:p>
      <w:pPr>
        <w:numPr>
          <w:ilvl w:val="0"/>
          <w:numId w:val="9"/>
        </w:numPr>
        <w:spacing w:line="360" w:after="210" w:lineRule="auto"/>
      </w:pPr>
      <w:hyperlink r:id="rId90">
        <w:r>
          <w:rPr>
            <w:rFonts w:eastAsia="inter" w:cs="inter" w:ascii="inter" w:hAnsi="inter"/>
            <w:color w:val="#000"/>
            <w:sz w:val="18"/>
            <w:u w:val="single"/>
          </w:rPr>
          <w:t xml:space="preserve">https://arxiv.org/pdf/2501.09025.pdf</w:t>
        </w:r>
      </w:hyperlink>
      <w:r>
        <w:rPr>
          <w:rFonts w:eastAsia="inter" w:cs="inter" w:ascii="inter" w:hAnsi="inter"/>
          <w:color w:val="000000"/>
          <w:sz w:val="18"/>
        </w:rPr>
        <w:t xml:space="preserve"> </w:t>
      </w:r>
    </w:p>
    <w:bookmarkStart w:id="191" w:name="fn86"/>
    <w:bookmarkEnd w:id="191"/>
    <w:p>
      <w:pPr>
        <w:numPr>
          <w:ilvl w:val="0"/>
          <w:numId w:val="9"/>
        </w:numPr>
        <w:spacing w:line="360" w:after="210" w:lineRule="auto"/>
      </w:pPr>
      <w:hyperlink r:id="rId91">
        <w:r>
          <w:rPr>
            <w:rFonts w:eastAsia="inter" w:cs="inter" w:ascii="inter" w:hAnsi="inter"/>
            <w:color w:val="#000"/>
            <w:sz w:val="18"/>
            <w:u w:val="single"/>
          </w:rPr>
          <w:t xml:space="preserve">https://www.mdpi.com/1911-8074/15/7/287/pdf?version=1656493116</w:t>
        </w:r>
      </w:hyperlink>
      <w:r>
        <w:rPr>
          <w:rFonts w:eastAsia="inter" w:cs="inter" w:ascii="inter" w:hAnsi="inter"/>
          <w:color w:val="000000"/>
          <w:sz w:val="18"/>
        </w:rPr>
        <w:t xml:space="preserve"> </w:t>
      </w:r>
    </w:p>
    <w:bookmarkStart w:id="192" w:name="fn87"/>
    <w:bookmarkEnd w:id="192"/>
    <w:p>
      <w:pPr>
        <w:numPr>
          <w:ilvl w:val="0"/>
          <w:numId w:val="9"/>
        </w:numPr>
        <w:spacing w:line="360" w:after="210" w:lineRule="auto"/>
      </w:pPr>
      <w:hyperlink r:id="rId92">
        <w:r>
          <w:rPr>
            <w:rFonts w:eastAsia="inter" w:cs="inter" w:ascii="inter" w:hAnsi="inter"/>
            <w:color w:val="#000"/>
            <w:sz w:val="18"/>
            <w:u w:val="single"/>
          </w:rPr>
          <w:t xml:space="preserve">https://www.mdpi.com/2071-1050/12/18/7669/pdf</w:t>
        </w:r>
      </w:hyperlink>
      <w:r>
        <w:rPr>
          <w:rFonts w:eastAsia="inter" w:cs="inter" w:ascii="inter" w:hAnsi="inter"/>
          <w:color w:val="000000"/>
          <w:sz w:val="18"/>
        </w:rPr>
        <w:t xml:space="preserve"> </w:t>
      </w:r>
    </w:p>
    <w:bookmarkStart w:id="193" w:name="fn88"/>
    <w:bookmarkEnd w:id="193"/>
    <w:p>
      <w:pPr>
        <w:numPr>
          <w:ilvl w:val="0"/>
          <w:numId w:val="9"/>
        </w:numPr>
        <w:spacing w:line="360" w:after="210" w:lineRule="auto"/>
      </w:pPr>
      <w:hyperlink r:id="rId93">
        <w:r>
          <w:rPr>
            <w:rFonts w:eastAsia="inter" w:cs="inter" w:ascii="inter" w:hAnsi="inter"/>
            <w:color w:val="#000"/>
            <w:sz w:val="18"/>
            <w:u w:val="single"/>
          </w:rPr>
          <w:t xml:space="preserve">https://www.mdpi.com/2674-1032/1/4/31/pdf?version=1670501540</w:t>
        </w:r>
      </w:hyperlink>
      <w:r>
        <w:rPr>
          <w:rFonts w:eastAsia="inter" w:cs="inter" w:ascii="inter" w:hAnsi="inter"/>
          <w:color w:val="000000"/>
          <w:sz w:val="18"/>
        </w:rPr>
        <w:t xml:space="preserve"> </w:t>
      </w:r>
    </w:p>
    <w:bookmarkStart w:id="194" w:name="fn89"/>
    <w:bookmarkEnd w:id="194"/>
    <w:p>
      <w:pPr>
        <w:numPr>
          <w:ilvl w:val="0"/>
          <w:numId w:val="9"/>
        </w:numPr>
        <w:spacing w:line="360" w:after="210" w:lineRule="auto"/>
      </w:pPr>
      <w:hyperlink r:id="rId94">
        <w:r>
          <w:rPr>
            <w:rFonts w:eastAsia="inter" w:cs="inter" w:ascii="inter" w:hAnsi="inter"/>
            <w:color w:val="#000"/>
            <w:sz w:val="18"/>
            <w:u w:val="single"/>
          </w:rPr>
          <w:t xml:space="preserve">https://www.tandfonline.com/doi/pdf/10.1080/17521440.2023.2215481?needAccess=true&amp;role=button</w:t>
        </w:r>
      </w:hyperlink>
      <w:r>
        <w:rPr>
          <w:rFonts w:eastAsia="inter" w:cs="inter" w:ascii="inter" w:hAnsi="inter"/>
          <w:color w:val="000000"/>
          <w:sz w:val="18"/>
        </w:rPr>
        <w:t xml:space="preserve"> </w:t>
      </w:r>
    </w:p>
    <w:bookmarkStart w:id="195" w:name="fn90"/>
    <w:bookmarkEnd w:id="195"/>
    <w:p>
      <w:pPr>
        <w:numPr>
          <w:ilvl w:val="0"/>
          <w:numId w:val="9"/>
        </w:numPr>
        <w:spacing w:line="360" w:after="210" w:lineRule="auto"/>
      </w:pPr>
      <w:hyperlink r:id="rId95">
        <w:r>
          <w:rPr>
            <w:rFonts w:eastAsia="inter" w:cs="inter" w:ascii="inter" w:hAnsi="inter"/>
            <w:color w:val="#000"/>
            <w:sz w:val="18"/>
            <w:u w:val="single"/>
          </w:rPr>
          <w:t xml:space="preserve">https://www.mdpi.com/2071-1050/12/24/10316/pdf?version=1607738742</w:t>
        </w:r>
      </w:hyperlink>
      <w:r>
        <w:rPr>
          <w:rFonts w:eastAsia="inter" w:cs="inter" w:ascii="inter" w:hAnsi="inter"/>
          <w:color w:val="000000"/>
          <w:sz w:val="18"/>
        </w:rPr>
        <w:t xml:space="preserve"> </w:t>
      </w:r>
    </w:p>
    <w:bookmarkStart w:id="196" w:name="fn91"/>
    <w:bookmarkEnd w:id="196"/>
    <w:p>
      <w:pPr>
        <w:numPr>
          <w:ilvl w:val="0"/>
          <w:numId w:val="9"/>
        </w:numPr>
        <w:spacing w:line="360" w:after="210" w:lineRule="auto"/>
      </w:pPr>
      <w:hyperlink r:id="rId96">
        <w:r>
          <w:rPr>
            <w:rFonts w:eastAsia="inter" w:cs="inter" w:ascii="inter" w:hAnsi="inter"/>
            <w:color w:val="#000"/>
            <w:sz w:val="18"/>
            <w:u w:val="single"/>
          </w:rPr>
          <w:t xml:space="preserve">http://arxiv.org/pdf/2503.18675.pdf</w:t>
        </w:r>
      </w:hyperlink>
      <w:r>
        <w:rPr>
          <w:rFonts w:eastAsia="inter" w:cs="inter" w:ascii="inter" w:hAnsi="inter"/>
          <w:color w:val="000000"/>
          <w:sz w:val="18"/>
        </w:rPr>
        <w:t xml:space="preserve"> </w:t>
      </w:r>
    </w:p>
    <w:bookmarkStart w:id="197" w:name="fn92"/>
    <w:bookmarkEnd w:id="197"/>
    <w:p>
      <w:pPr>
        <w:numPr>
          <w:ilvl w:val="0"/>
          <w:numId w:val="9"/>
        </w:numPr>
        <w:spacing w:line="360" w:after="210" w:lineRule="auto"/>
      </w:pPr>
      <w:hyperlink r:id="rId97">
        <w:r>
          <w:rPr>
            <w:rFonts w:eastAsia="inter" w:cs="inter" w:ascii="inter" w:hAnsi="inter"/>
            <w:color w:val="#000"/>
            <w:sz w:val="18"/>
            <w:u w:val="single"/>
          </w:rPr>
          <w:t xml:space="preserve">https://www.mdpi.com/2227-7072/11/1/9/pdf?version=1674035846</w:t>
        </w:r>
      </w:hyperlink>
      <w:r>
        <w:rPr>
          <w:rFonts w:eastAsia="inter" w:cs="inter" w:ascii="inter" w:hAnsi="inter"/>
          <w:color w:val="000000"/>
          <w:sz w:val="18"/>
        </w:rPr>
        <w:t xml:space="preserve"> </w:t>
      </w:r>
    </w:p>
    <w:bookmarkStart w:id="198" w:name="fn93"/>
    <w:bookmarkEnd w:id="198"/>
    <w:p>
      <w:pPr>
        <w:numPr>
          <w:ilvl w:val="0"/>
          <w:numId w:val="9"/>
        </w:numPr>
        <w:spacing w:line="360" w:after="210" w:lineRule="auto"/>
      </w:pPr>
      <w:hyperlink r:id="rId98">
        <w:r>
          <w:rPr>
            <w:rFonts w:eastAsia="inter" w:cs="inter" w:ascii="inter" w:hAnsi="inter"/>
            <w:color w:val="#000"/>
            <w:sz w:val="18"/>
            <w:u w:val="single"/>
          </w:rPr>
          <w:t xml:space="preserve">https://bcpublication.org/index.php/BM/article/download/5110/4971</w:t>
        </w:r>
      </w:hyperlink>
      <w:r>
        <w:rPr>
          <w:rFonts w:eastAsia="inter" w:cs="inter" w:ascii="inter" w:hAnsi="inter"/>
          <w:color w:val="000000"/>
          <w:sz w:val="18"/>
        </w:rPr>
        <w:t xml:space="preserve"> </w:t>
      </w:r>
    </w:p>
    <w:bookmarkStart w:id="199" w:name="fn94"/>
    <w:bookmarkEnd w:id="199"/>
    <w:p>
      <w:pPr>
        <w:numPr>
          <w:ilvl w:val="0"/>
          <w:numId w:val="9"/>
        </w:numPr>
        <w:spacing w:line="360" w:after="210" w:lineRule="auto"/>
      </w:pPr>
      <w:hyperlink r:id="rId99">
        <w:r>
          <w:rPr>
            <w:rFonts w:eastAsia="inter" w:cs="inter" w:ascii="inter" w:hAnsi="inter"/>
            <w:color w:val="#000"/>
            <w:sz w:val="18"/>
            <w:u w:val="single"/>
          </w:rPr>
          <w:t xml:space="preserve">https://assets.kpmg.com/content/dam/kpmgsites/xx/pdf/2025/12/ceo-outlook-2025-tmt.pdf</w:t>
        </w:r>
      </w:hyperlink>
      <w:r>
        <w:rPr>
          <w:rFonts w:eastAsia="inter" w:cs="inter" w:ascii="inter" w:hAnsi="inter"/>
          <w:color w:val="000000"/>
          <w:sz w:val="18"/>
        </w:rPr>
        <w:t xml:space="preserve"> </w:t>
      </w:r>
    </w:p>
    <w:bookmarkStart w:id="200" w:name="fn95"/>
    <w:bookmarkEnd w:id="200"/>
    <w:p>
      <w:pPr>
        <w:numPr>
          <w:ilvl w:val="0"/>
          <w:numId w:val="9"/>
        </w:numPr>
        <w:spacing w:line="360" w:after="210" w:lineRule="auto"/>
      </w:pPr>
      <w:hyperlink r:id="rId100">
        <w:r>
          <w:rPr>
            <w:rFonts w:eastAsia="inter" w:cs="inter" w:ascii="inter" w:hAnsi="inter"/>
            <w:color w:val="#000"/>
            <w:sz w:val="18"/>
            <w:u w:val="single"/>
          </w:rPr>
          <w:t xml:space="preserve">https://kpmg.com/in/en/insights/2025/12/kpmg-2025-global-technology-telecommunications-ceo-outlook.html</w:t>
        </w:r>
      </w:hyperlink>
      <w:r>
        <w:rPr>
          <w:rFonts w:eastAsia="inter" w:cs="inter" w:ascii="inter" w:hAnsi="inter"/>
          <w:color w:val="000000"/>
          <w:sz w:val="18"/>
        </w:rPr>
        <w:t xml:space="preserve"> </w:t>
      </w:r>
    </w:p>
    <w:bookmarkStart w:id="201" w:name="fn96"/>
    <w:bookmarkEnd w:id="201"/>
    <w:p>
      <w:pPr>
        <w:numPr>
          <w:ilvl w:val="0"/>
          <w:numId w:val="9"/>
        </w:numPr>
        <w:spacing w:line="360" w:after="210" w:lineRule="auto"/>
      </w:pPr>
      <w:hyperlink r:id="rId101">
        <w:r>
          <w:rPr>
            <w:rFonts w:eastAsia="inter" w:cs="inter" w:ascii="inter" w:hAnsi="inter"/>
            <w:color w:val="#000"/>
            <w:sz w:val="18"/>
            <w:u w:val="single"/>
          </w:rPr>
          <w:t xml:space="preserve">https://kpmg.co.il</w:t>
        </w:r>
      </w:hyperlink>
      <w:r>
        <w:rPr>
          <w:rFonts w:eastAsia="inter" w:cs="inter" w:ascii="inter" w:hAnsi="inter"/>
          <w:color w:val="000000"/>
          <w:sz w:val="18"/>
        </w:rPr>
        <w:t xml:space="preserve"> </w:t>
      </w:r>
    </w:p>
    <w:bookmarkStart w:id="202" w:name="fn97"/>
    <w:bookmarkEnd w:id="202"/>
    <w:p>
      <w:pPr>
        <w:numPr>
          <w:ilvl w:val="0"/>
          <w:numId w:val="9"/>
        </w:numPr>
        <w:spacing w:line="360" w:after="210" w:lineRule="auto"/>
      </w:pPr>
      <w:hyperlink r:id="rId102">
        <w:r>
          <w:rPr>
            <w:rFonts w:eastAsia="inter" w:cs="inter" w:ascii="inter" w:hAnsi="inter"/>
            <w:color w:val="#000"/>
            <w:sz w:val="18"/>
            <w:u w:val="single"/>
          </w:rPr>
          <w:t xml:space="preserve">https://assets.kpmg.com/content/dam/kpmg/ng/pdf/2025/09/AI Governance and Control.pdf</w:t>
        </w:r>
      </w:hyperlink>
      <w:r>
        <w:rPr>
          <w:rFonts w:eastAsia="inter" w:cs="inter" w:ascii="inter" w:hAnsi="inter"/>
          <w:color w:val="000000"/>
          <w:sz w:val="18"/>
        </w:rPr>
        <w:t xml:space="preserve"> </w:t>
      </w:r>
    </w:p>
    <w:bookmarkStart w:id="203" w:name="fn98"/>
    <w:bookmarkEnd w:id="203"/>
    <w:p>
      <w:pPr>
        <w:numPr>
          <w:ilvl w:val="0"/>
          <w:numId w:val="9"/>
        </w:numPr>
        <w:spacing w:line="360" w:after="210" w:lineRule="auto"/>
      </w:pPr>
      <w:hyperlink r:id="rId103">
        <w:r>
          <w:rPr>
            <w:rFonts w:eastAsia="inter" w:cs="inter" w:ascii="inter" w:hAnsi="inter"/>
            <w:color w:val="#000"/>
            <w:sz w:val="18"/>
            <w:u w:val="single"/>
          </w:rPr>
          <w:t xml:space="preserve">https://www.calcalist.co.il/tags/KPMG_סומך_חייקין</w:t>
        </w:r>
      </w:hyperlink>
      <w:r>
        <w:rPr>
          <w:rFonts w:eastAsia="inter" w:cs="inter" w:ascii="inter" w:hAnsi="inter"/>
          <w:color w:val="000000"/>
          <w:sz w:val="18"/>
        </w:rPr>
        <w:t xml:space="preserve"> </w:t>
      </w:r>
    </w:p>
    <w:bookmarkStart w:id="204" w:name="fn99"/>
    <w:bookmarkEnd w:id="204"/>
    <w:p>
      <w:pPr>
        <w:numPr>
          <w:ilvl w:val="0"/>
          <w:numId w:val="9"/>
        </w:numPr>
        <w:spacing w:line="360" w:after="210" w:lineRule="auto"/>
      </w:pPr>
      <w:hyperlink r:id="rId104">
        <w:r>
          <w:rPr>
            <w:rFonts w:eastAsia="inter" w:cs="inter" w:ascii="inter" w:hAnsi="inter"/>
            <w:color w:val="#000"/>
            <w:sz w:val="18"/>
            <w:u w:val="single"/>
          </w:rPr>
          <w:t xml:space="preserve">https://assets.kpmg.com/content/dam/kpmg/ie/pdf/2017/03/ie-disruptive-tech-2017-part-1.pdf</w:t>
        </w:r>
      </w:hyperlink>
      <w:r>
        <w:rPr>
          <w:rFonts w:eastAsia="inter" w:cs="inter" w:ascii="inter" w:hAnsi="inter"/>
          <w:color w:val="000000"/>
          <w:sz w:val="18"/>
        </w:rPr>
        <w:t xml:space="preserve"> </w:t>
      </w:r>
    </w:p>
    <w:bookmarkStart w:id="205" w:name="fn100"/>
    <w:bookmarkEnd w:id="205"/>
    <w:p>
      <w:pPr>
        <w:numPr>
          <w:ilvl w:val="0"/>
          <w:numId w:val="9"/>
        </w:numPr>
        <w:spacing w:line="360" w:after="210" w:lineRule="auto"/>
      </w:pPr>
      <w:hyperlink r:id="rId105">
        <w:r>
          <w:rPr>
            <w:rFonts w:eastAsia="inter" w:cs="inter" w:ascii="inter" w:hAnsi="inter"/>
            <w:color w:val="#000"/>
            <w:sz w:val="18"/>
            <w:u w:val="single"/>
          </w:rPr>
          <w:t xml:space="preserve">https://www.calcalist.co.il/calcalistech/article/byhxxa87bg</w:t>
        </w:r>
      </w:hyperlink>
      <w:r>
        <w:rPr>
          <w:rFonts w:eastAsia="inter" w:cs="inter" w:ascii="inter" w:hAnsi="inter"/>
          <w:color w:val="000000"/>
          <w:sz w:val="18"/>
        </w:rPr>
        <w:t xml:space="preserve"> </w:t>
      </w:r>
    </w:p>
    <w:bookmarkStart w:id="206" w:name="fn101"/>
    <w:bookmarkEnd w:id="206"/>
    <w:p>
      <w:pPr>
        <w:numPr>
          <w:ilvl w:val="0"/>
          <w:numId w:val="9"/>
        </w:numPr>
        <w:spacing w:line="360" w:after="210" w:lineRule="auto"/>
      </w:pPr>
      <w:hyperlink r:id="rId106">
        <w:r>
          <w:rPr>
            <w:rFonts w:eastAsia="inter" w:cs="inter" w:ascii="inter" w:hAnsi="inter"/>
            <w:color w:val="#000"/>
            <w:sz w:val="18"/>
            <w:u w:val="single"/>
          </w:rPr>
          <w:t xml:space="preserve">https://southup.org/innovation-center/</w:t>
        </w:r>
      </w:hyperlink>
      <w:r>
        <w:rPr>
          <w:rFonts w:eastAsia="inter" w:cs="inter" w:ascii="inter" w:hAnsi="inter"/>
          <w:color w:val="000000"/>
          <w:sz w:val="18"/>
        </w:rPr>
        <w:t xml:space="preserve"> </w:t>
      </w:r>
    </w:p>
    <w:bookmarkStart w:id="207" w:name="fn102"/>
    <w:bookmarkEnd w:id="207"/>
    <w:p>
      <w:pPr>
        <w:numPr>
          <w:ilvl w:val="0"/>
          <w:numId w:val="9"/>
        </w:numPr>
        <w:spacing w:line="360" w:after="210" w:lineRule="auto"/>
      </w:pPr>
      <w:hyperlink r:id="rId107">
        <w:r>
          <w:rPr>
            <w:rFonts w:eastAsia="inter" w:cs="inter" w:ascii="inter" w:hAnsi="inter"/>
            <w:color w:val="#000"/>
            <w:sz w:val="18"/>
            <w:u w:val="single"/>
          </w:rPr>
          <w:t xml:space="preserve">https://www.calcalist.co.il/tags/סומך_חייקין_KPMG</w:t>
        </w:r>
      </w:hyperlink>
      <w:r>
        <w:rPr>
          <w:rFonts w:eastAsia="inter" w:cs="inter" w:ascii="inter" w:hAnsi="inter"/>
          <w:color w:val="000000"/>
          <w:sz w:val="18"/>
        </w:rPr>
        <w:t xml:space="preserve"> </w:t>
      </w:r>
    </w:p>
    <w:bookmarkStart w:id="208" w:name="fn103"/>
    <w:bookmarkEnd w:id="208"/>
    <w:p>
      <w:pPr>
        <w:numPr>
          <w:ilvl w:val="0"/>
          <w:numId w:val="9"/>
        </w:numPr>
        <w:spacing w:line="360" w:after="210" w:lineRule="auto"/>
      </w:pPr>
      <w:hyperlink r:id="rId108">
        <w:r>
          <w:rPr>
            <w:rFonts w:eastAsia="inter" w:cs="inter" w:ascii="inter" w:hAnsi="inter"/>
            <w:color w:val="#000"/>
            <w:sz w:val="18"/>
            <w:u w:val="single"/>
          </w:rPr>
          <w:t xml:space="preserve">https://www.facebook.com/calcalistonline/posts/בבנק-הגדול-ביותר-באמריקה-מעריכים-שהראלי-סביב-ה-ai-יימשך-גם-בשנה-הבאה-אלה-המניות-/1271445968349467/</w:t>
        </w:r>
      </w:hyperlink>
      <w:r>
        <w:rPr>
          <w:rFonts w:eastAsia="inter" w:cs="inter" w:ascii="inter" w:hAnsi="inter"/>
          <w:color w:val="000000"/>
          <w:sz w:val="18"/>
        </w:rPr>
        <w:t xml:space="preserve"> </w:t>
      </w:r>
    </w:p>
    <w:bookmarkStart w:id="209" w:name="fn104"/>
    <w:bookmarkEnd w:id="209"/>
    <w:p>
      <w:pPr>
        <w:numPr>
          <w:ilvl w:val="0"/>
          <w:numId w:val="9"/>
        </w:numPr>
        <w:spacing w:line="360" w:after="210" w:lineRule="auto"/>
      </w:pPr>
      <w:hyperlink r:id="rId109">
        <w:r>
          <w:rPr>
            <w:rFonts w:eastAsia="inter" w:cs="inter" w:ascii="inter" w:hAnsi="inter"/>
            <w:color w:val="#000"/>
            <w:sz w:val="18"/>
            <w:u w:val="single"/>
          </w:rPr>
          <w:t xml:space="preserve">https://kpmg.com/il/en/home/industries/technology.html</w:t>
        </w:r>
      </w:hyperlink>
      <w:r>
        <w:rPr>
          <w:rFonts w:eastAsia="inter" w:cs="inter" w:ascii="inter" w:hAnsi="inter"/>
          <w:color w:val="000000"/>
          <w:sz w:val="18"/>
        </w:rPr>
        <w:t xml:space="preserve"> </w:t>
      </w:r>
    </w:p>
    <w:bookmarkStart w:id="210" w:name="fn105"/>
    <w:bookmarkEnd w:id="210"/>
    <w:p>
      <w:pPr>
        <w:numPr>
          <w:ilvl w:val="0"/>
          <w:numId w:val="9"/>
        </w:numPr>
        <w:spacing w:line="360" w:after="210" w:lineRule="auto"/>
      </w:pPr>
      <w:hyperlink r:id="rId110">
        <w:r>
          <w:rPr>
            <w:rFonts w:eastAsia="inter" w:cs="inter" w:ascii="inter" w:hAnsi="inter"/>
            <w:color w:val="#000"/>
            <w:sz w:val="18"/>
            <w:u w:val="single"/>
          </w:rPr>
          <w:t xml:space="preserve">https://www.facebook.com/calcalistonline/videos/עם-אחדות-בעם-ונורמליזציה-אזורית-קיים-תרחיש-ורוד-שלא-חלמנו-עליו/857155677245586/</w:t>
        </w:r>
      </w:hyperlink>
      <w:r>
        <w:rPr>
          <w:rFonts w:eastAsia="inter" w:cs="inter" w:ascii="inter" w:hAnsi="inter"/>
          <w:color w:val="000000"/>
          <w:sz w:val="18"/>
        </w:rPr>
        <w:t xml:space="preserve"> </w:t>
      </w:r>
    </w:p>
    <w:bookmarkStart w:id="211" w:name="fn106"/>
    <w:bookmarkEnd w:id="211"/>
    <w:p>
      <w:pPr>
        <w:numPr>
          <w:ilvl w:val="0"/>
          <w:numId w:val="9"/>
        </w:numPr>
        <w:spacing w:line="360" w:after="210" w:lineRule="auto"/>
      </w:pPr>
      <w:hyperlink r:id="rId111">
        <w:r>
          <w:rPr>
            <w:rFonts w:eastAsia="inter" w:cs="inter" w:ascii="inter" w:hAnsi="inter"/>
            <w:color w:val="#000"/>
            <w:sz w:val="18"/>
            <w:u w:val="single"/>
          </w:rPr>
          <w:t xml:space="preserve">https://kpmg.co.il/technologyconsulting/contact</w:t>
        </w:r>
      </w:hyperlink>
      <w:r>
        <w:rPr>
          <w:rFonts w:eastAsia="inter" w:cs="inter" w:ascii="inter" w:hAnsi="inter"/>
          <w:color w:val="000000"/>
          <w:sz w:val="18"/>
        </w:rPr>
        <w:t xml:space="preserve"> </w:t>
      </w:r>
    </w:p>
    <w:bookmarkStart w:id="212" w:name="fn107"/>
    <w:bookmarkEnd w:id="212"/>
    <w:p>
      <w:pPr>
        <w:numPr>
          <w:ilvl w:val="0"/>
          <w:numId w:val="9"/>
        </w:numPr>
        <w:spacing w:line="360" w:after="210" w:lineRule="auto"/>
      </w:pPr>
      <w:hyperlink r:id="rId112">
        <w:r>
          <w:rPr>
            <w:rFonts w:eastAsia="inter" w:cs="inter" w:ascii="inter" w:hAnsi="inter"/>
            <w:color w:val="#000"/>
            <w:sz w:val="18"/>
            <w:u w:val="single"/>
          </w:rPr>
          <w:t xml:space="preserve">https://www.jisem-journal.com/index.php/journal/article/view/13160</w:t>
        </w:r>
      </w:hyperlink>
      <w:r>
        <w:rPr>
          <w:rFonts w:eastAsia="inter" w:cs="inter" w:ascii="inter" w:hAnsi="inter"/>
          <w:color w:val="000000"/>
          <w:sz w:val="18"/>
        </w:rPr>
        <w:t xml:space="preserve"> </w:t>
      </w:r>
    </w:p>
    <w:bookmarkStart w:id="213" w:name="fn108"/>
    <w:bookmarkEnd w:id="213"/>
    <w:p>
      <w:pPr>
        <w:numPr>
          <w:ilvl w:val="0"/>
          <w:numId w:val="9"/>
        </w:numPr>
        <w:spacing w:line="360" w:after="210" w:lineRule="auto"/>
      </w:pPr>
      <w:hyperlink r:id="rId113">
        <w:r>
          <w:rPr>
            <w:rFonts w:eastAsia="inter" w:cs="inter" w:ascii="inter" w:hAnsi="inter"/>
            <w:color w:val="#000"/>
            <w:sz w:val="18"/>
            <w:u w:val="single"/>
          </w:rPr>
          <w:t xml:space="preserve">http://baltijapublishing.lv/index.php/issue/article/view/945</w:t>
        </w:r>
      </w:hyperlink>
      <w:r>
        <w:rPr>
          <w:rFonts w:eastAsia="inter" w:cs="inter" w:ascii="inter" w:hAnsi="inter"/>
          <w:color w:val="000000"/>
          <w:sz w:val="18"/>
        </w:rPr>
        <w:t xml:space="preserve"> </w:t>
      </w:r>
    </w:p>
    <w:bookmarkStart w:id="214" w:name="fn109"/>
    <w:bookmarkEnd w:id="214"/>
    <w:p>
      <w:pPr>
        <w:numPr>
          <w:ilvl w:val="0"/>
          <w:numId w:val="9"/>
        </w:numPr>
        <w:spacing w:line="360" w:after="210" w:lineRule="auto"/>
      </w:pPr>
      <w:hyperlink r:id="rId114">
        <w:r>
          <w:rPr>
            <w:rFonts w:eastAsia="inter" w:cs="inter" w:ascii="inter" w:hAnsi="inter"/>
            <w:color w:val="#000"/>
            <w:sz w:val="18"/>
            <w:u w:val="single"/>
          </w:rPr>
          <w:t xml:space="preserve">https://www.semanticscholar.org/paper/066fa22e45c6b619aa7e9e293c7f55210a406ee8</w:t>
        </w:r>
      </w:hyperlink>
      <w:r>
        <w:rPr>
          <w:rFonts w:eastAsia="inter" w:cs="inter" w:ascii="inter" w:hAnsi="inter"/>
          <w:color w:val="000000"/>
          <w:sz w:val="18"/>
        </w:rPr>
        <w:t xml:space="preserve"> </w:t>
      </w:r>
    </w:p>
    <w:bookmarkStart w:id="215" w:name="fn110"/>
    <w:bookmarkEnd w:id="215"/>
    <w:p>
      <w:pPr>
        <w:numPr>
          <w:ilvl w:val="0"/>
          <w:numId w:val="9"/>
        </w:numPr>
        <w:spacing w:line="360" w:after="210" w:lineRule="auto"/>
      </w:pPr>
      <w:hyperlink r:id="rId115">
        <w:r>
          <w:rPr>
            <w:rFonts w:eastAsia="inter" w:cs="inter" w:ascii="inter" w:hAnsi="inter"/>
            <w:color w:val="#000"/>
            <w:sz w:val="18"/>
            <w:u w:val="single"/>
          </w:rPr>
          <w:t xml:space="preserve">https://www.mdpi.com/2076-3417/11/11/4937/pdf</w:t>
        </w:r>
      </w:hyperlink>
      <w:r>
        <w:rPr>
          <w:rFonts w:eastAsia="inter" w:cs="inter" w:ascii="inter" w:hAnsi="inter"/>
          <w:color w:val="000000"/>
          <w:sz w:val="18"/>
        </w:rPr>
        <w:t xml:space="preserve"> </w:t>
      </w:r>
    </w:p>
    <w:bookmarkStart w:id="216" w:name="fn111"/>
    <w:bookmarkEnd w:id="216"/>
    <w:p>
      <w:pPr>
        <w:numPr>
          <w:ilvl w:val="0"/>
          <w:numId w:val="9"/>
        </w:numPr>
        <w:spacing w:line="360" w:after="210" w:lineRule="auto"/>
      </w:pPr>
      <w:hyperlink r:id="rId116">
        <w:r>
          <w:rPr>
            <w:rFonts w:eastAsia="inter" w:cs="inter" w:ascii="inter" w:hAnsi="inter"/>
            <w:color w:val="#000"/>
            <w:sz w:val="18"/>
            <w:u w:val="single"/>
          </w:rPr>
          <w:t xml:space="preserve">https://arxiv.org/pdf/2306.02995.pdf</w:t>
        </w:r>
      </w:hyperlink>
      <w:r>
        <w:rPr>
          <w:rFonts w:eastAsia="inter" w:cs="inter" w:ascii="inter" w:hAnsi="inter"/>
          <w:color w:val="000000"/>
          <w:sz w:val="18"/>
        </w:rPr>
        <w:t xml:space="preserve"> </w:t>
      </w:r>
    </w:p>
    <w:bookmarkStart w:id="217" w:name="fn112"/>
    <w:bookmarkEnd w:id="217"/>
    <w:p>
      <w:pPr>
        <w:numPr>
          <w:ilvl w:val="0"/>
          <w:numId w:val="9"/>
        </w:numPr>
        <w:spacing w:line="360" w:after="210" w:lineRule="auto"/>
      </w:pPr>
      <w:hyperlink r:id="rId117">
        <w:r>
          <w:rPr>
            <w:rFonts w:eastAsia="inter" w:cs="inter" w:ascii="inter" w:hAnsi="inter"/>
            <w:color w:val="#000"/>
            <w:sz w:val="18"/>
            <w:u w:val="single"/>
          </w:rPr>
          <w:t xml:space="preserve">https://arxiv.org/abs/2205.02584</w:t>
        </w:r>
      </w:hyperlink>
      <w:r>
        <w:rPr>
          <w:rFonts w:eastAsia="inter" w:cs="inter" w:ascii="inter" w:hAnsi="inter"/>
          <w:color w:val="000000"/>
          <w:sz w:val="18"/>
        </w:rPr>
        <w:t xml:space="preserve"> </w:t>
      </w:r>
    </w:p>
    <w:bookmarkStart w:id="218" w:name="fn113"/>
    <w:bookmarkEnd w:id="218"/>
    <w:p>
      <w:pPr>
        <w:numPr>
          <w:ilvl w:val="0"/>
          <w:numId w:val="9"/>
        </w:numPr>
        <w:spacing w:line="360" w:after="210" w:lineRule="auto"/>
      </w:pPr>
      <w:hyperlink r:id="rId118">
        <w:r>
          <w:rPr>
            <w:rFonts w:eastAsia="inter" w:cs="inter" w:ascii="inter" w:hAnsi="inter"/>
            <w:color w:val="#000"/>
            <w:sz w:val="18"/>
            <w:u w:val="single"/>
          </w:rPr>
          <w:t xml:space="preserve">https://www.mdpi.com/2071-1050/10/8/2916/pdf?version=1534564502</w:t>
        </w:r>
      </w:hyperlink>
      <w:r>
        <w:rPr>
          <w:rFonts w:eastAsia="inter" w:cs="inter" w:ascii="inter" w:hAnsi="inter"/>
          <w:color w:val="000000"/>
          <w:sz w:val="18"/>
        </w:rPr>
        <w:t xml:space="preserve"> </w:t>
      </w:r>
    </w:p>
    <w:bookmarkStart w:id="219" w:name="fn114"/>
    <w:bookmarkEnd w:id="219"/>
    <w:p>
      <w:pPr>
        <w:numPr>
          <w:ilvl w:val="0"/>
          <w:numId w:val="9"/>
        </w:numPr>
        <w:spacing w:line="360" w:after="210" w:lineRule="auto"/>
      </w:pPr>
      <w:hyperlink r:id="rId119">
        <w:r>
          <w:rPr>
            <w:rFonts w:eastAsia="inter" w:cs="inter" w:ascii="inter" w:hAnsi="inter"/>
            <w:color w:val="#000"/>
            <w:sz w:val="18"/>
            <w:u w:val="single"/>
          </w:rPr>
          <w:t xml:space="preserve">https://www.mdpi.com/2076-3387/14/7/138/pdf?version=1719732717</w:t>
        </w:r>
      </w:hyperlink>
      <w:r>
        <w:rPr>
          <w:rFonts w:eastAsia="inter" w:cs="inter" w:ascii="inter" w:hAnsi="inter"/>
          <w:color w:val="000000"/>
          <w:sz w:val="18"/>
        </w:rPr>
        <w:t xml:space="preserve"> </w:t>
      </w:r>
    </w:p>
    <w:bookmarkStart w:id="220" w:name="fn115"/>
    <w:bookmarkEnd w:id="220"/>
    <w:p>
      <w:pPr>
        <w:numPr>
          <w:ilvl w:val="0"/>
          <w:numId w:val="9"/>
        </w:numPr>
        <w:spacing w:line="360" w:after="210" w:lineRule="auto"/>
      </w:pPr>
      <w:hyperlink r:id="rId120">
        <w:r>
          <w:rPr>
            <w:rFonts w:eastAsia="inter" w:cs="inter" w:ascii="inter" w:hAnsi="inter"/>
            <w:color w:val="#000"/>
            <w:sz w:val="18"/>
            <w:u w:val="single"/>
          </w:rPr>
          <w:t xml:space="preserve">https://www.mdpi.com/2079-8954/4/1/11/pdf?version=1454064122</w:t>
        </w:r>
      </w:hyperlink>
      <w:r>
        <w:rPr>
          <w:rFonts w:eastAsia="inter" w:cs="inter" w:ascii="inter" w:hAnsi="inter"/>
          <w:color w:val="000000"/>
          <w:sz w:val="18"/>
        </w:rPr>
        <w:t xml:space="preserve"> </w:t>
      </w:r>
    </w:p>
    <w:bookmarkStart w:id="221" w:name="fn116"/>
    <w:bookmarkEnd w:id="221"/>
    <w:p>
      <w:pPr>
        <w:numPr>
          <w:ilvl w:val="0"/>
          <w:numId w:val="9"/>
        </w:numPr>
        <w:spacing w:line="360" w:after="210" w:lineRule="auto"/>
      </w:pPr>
      <w:hyperlink r:id="rId121">
        <w:r>
          <w:rPr>
            <w:rFonts w:eastAsia="inter" w:cs="inter" w:ascii="inter" w:hAnsi="inter"/>
            <w:color w:val="#000"/>
            <w:sz w:val="18"/>
            <w:u w:val="single"/>
          </w:rPr>
          <w:t xml:space="preserve">https://ojs.amhinternational.com/index.php/imbr/article/download/943/943</w:t>
        </w:r>
      </w:hyperlink>
      <w:r>
        <w:rPr>
          <w:rFonts w:eastAsia="inter" w:cs="inter" w:ascii="inter" w:hAnsi="inter"/>
          <w:color w:val="000000"/>
          <w:sz w:val="18"/>
        </w:rPr>
        <w:t xml:space="preserve"> </w:t>
      </w:r>
    </w:p>
    <w:bookmarkStart w:id="222" w:name="fn117"/>
    <w:bookmarkEnd w:id="222"/>
    <w:p>
      <w:pPr>
        <w:numPr>
          <w:ilvl w:val="0"/>
          <w:numId w:val="9"/>
        </w:numPr>
        <w:spacing w:line="360" w:after="210" w:lineRule="auto"/>
      </w:pPr>
      <w:hyperlink r:id="rId122">
        <w:r>
          <w:rPr>
            <w:rFonts w:eastAsia="inter" w:cs="inter" w:ascii="inter" w:hAnsi="inter"/>
            <w:color w:val="#000"/>
            <w:sz w:val="18"/>
            <w:u w:val="single"/>
          </w:rPr>
          <w:t xml:space="preserve">http://downloads.hindawi.com/journals/tswj/2015/983832.pdf</w:t>
        </w:r>
      </w:hyperlink>
      <w:r>
        <w:rPr>
          <w:rFonts w:eastAsia="inter" w:cs="inter" w:ascii="inter" w:hAnsi="inter"/>
          <w:color w:val="000000"/>
          <w:sz w:val="18"/>
        </w:rPr>
        <w:t xml:space="preserve"> </w:t>
      </w:r>
    </w:p>
    <w:bookmarkStart w:id="223" w:name="fn118"/>
    <w:bookmarkEnd w:id="223"/>
    <w:p>
      <w:pPr>
        <w:numPr>
          <w:ilvl w:val="0"/>
          <w:numId w:val="9"/>
        </w:numPr>
        <w:spacing w:line="360" w:after="210" w:lineRule="auto"/>
      </w:pPr>
      <w:hyperlink r:id="rId123">
        <w:r>
          <w:rPr>
            <w:rFonts w:eastAsia="inter" w:cs="inter" w:ascii="inter" w:hAnsi="inter"/>
            <w:color w:val="#000"/>
            <w:sz w:val="18"/>
            <w:u w:val="single"/>
          </w:rPr>
          <w:t xml:space="preserve">https://emerj.com/ai-in-the-accounting-big-four-comparing-deloitte-pwc-kpmg-and-ey/</w:t>
        </w:r>
      </w:hyperlink>
      <w:r>
        <w:rPr>
          <w:rFonts w:eastAsia="inter" w:cs="inter" w:ascii="inter" w:hAnsi="inter"/>
          <w:color w:val="000000"/>
          <w:sz w:val="18"/>
        </w:rPr>
        <w:t xml:space="preserve"> </w:t>
      </w:r>
    </w:p>
    <w:bookmarkStart w:id="224" w:name="fn119"/>
    <w:bookmarkEnd w:id="224"/>
    <w:p>
      <w:pPr>
        <w:numPr>
          <w:ilvl w:val="0"/>
          <w:numId w:val="9"/>
        </w:numPr>
        <w:spacing w:line="360" w:after="210" w:lineRule="auto"/>
      </w:pPr>
      <w:hyperlink r:id="rId124">
        <w:r>
          <w:rPr>
            <w:rFonts w:eastAsia="inter" w:cs="inter" w:ascii="inter" w:hAnsi="inter"/>
            <w:color w:val="#000"/>
            <w:sz w:val="18"/>
            <w:u w:val="single"/>
          </w:rPr>
          <w:t xml:space="preserve">https://www.brightnetwork.co.uk/career-path-guides/accounting-audit-tax/differences-big-four-firms/</w:t>
        </w:r>
      </w:hyperlink>
      <w:r>
        <w:rPr>
          <w:rFonts w:eastAsia="inter" w:cs="inter" w:ascii="inter" w:hAnsi="inter"/>
          <w:color w:val="000000"/>
          <w:sz w:val="18"/>
        </w:rPr>
        <w:t xml:space="preserve"> </w:t>
      </w:r>
    </w:p>
    <w:bookmarkStart w:id="225" w:name="fn120"/>
    <w:bookmarkEnd w:id="225"/>
    <w:p>
      <w:pPr>
        <w:numPr>
          <w:ilvl w:val="0"/>
          <w:numId w:val="9"/>
        </w:numPr>
        <w:spacing w:line="360" w:after="210" w:lineRule="auto"/>
      </w:pPr>
      <w:hyperlink r:id="rId125">
        <w:r>
          <w:rPr>
            <w:rFonts w:eastAsia="inter" w:cs="inter" w:ascii="inter" w:hAnsi="inter"/>
            <w:color w:val="#000"/>
            <w:sz w:val="18"/>
            <w:u w:val="single"/>
          </w:rPr>
          <w:t xml:space="preserve">https://www.reddit.com/r/Big4/comments/1p5zfzv/deloitte_vs_ey_vs_kpmg_offers/</w:t>
        </w:r>
      </w:hyperlink>
      <w:r>
        <w:rPr>
          <w:rFonts w:eastAsia="inter" w:cs="inter" w:ascii="inter" w:hAnsi="inter"/>
          <w:color w:val="000000"/>
          <w:sz w:val="18"/>
        </w:rPr>
        <w:t xml:space="preserve"> </w:t>
      </w:r>
    </w:p>
    <w:bookmarkStart w:id="226" w:name="fn121"/>
    <w:bookmarkEnd w:id="226"/>
    <w:p>
      <w:pPr>
        <w:numPr>
          <w:ilvl w:val="0"/>
          <w:numId w:val="9"/>
        </w:numPr>
        <w:spacing w:line="360" w:after="210" w:lineRule="auto"/>
      </w:pPr>
      <w:hyperlink r:id="rId126">
        <w:r>
          <w:rPr>
            <w:rFonts w:eastAsia="inter" w:cs="inter" w:ascii="inter" w:hAnsi="inter"/>
            <w:color w:val="#000"/>
            <w:sz w:val="18"/>
            <w:u w:val="single"/>
          </w:rPr>
          <w:t xml:space="preserve">https://publications.iadb.org/en/smart-city-technologies-israel-review-cutting-edge-technologies-and-innovation-hubs</w:t>
        </w:r>
      </w:hyperlink>
      <w:r>
        <w:rPr>
          <w:rFonts w:eastAsia="inter" w:cs="inter" w:ascii="inter" w:hAnsi="inter"/>
          <w:color w:val="000000"/>
          <w:sz w:val="18"/>
        </w:rPr>
        <w:t xml:space="preserve"> </w:t>
      </w:r>
    </w:p>
    <w:bookmarkStart w:id="227" w:name="fn122"/>
    <w:bookmarkEnd w:id="227"/>
    <w:p>
      <w:pPr>
        <w:numPr>
          <w:ilvl w:val="0"/>
          <w:numId w:val="9"/>
        </w:numPr>
        <w:spacing w:line="360" w:after="210" w:lineRule="auto"/>
      </w:pPr>
      <w:hyperlink r:id="rId127">
        <w:r>
          <w:rPr>
            <w:rFonts w:eastAsia="inter" w:cs="inter" w:ascii="inter" w:hAnsi="inter"/>
            <w:color w:val="#000"/>
            <w:sz w:val="18"/>
            <w:u w:val="single"/>
          </w:rPr>
          <w:t xml:space="preserve">https://uet.edu.al/polis/articles/technology-driven-data-journalism-transparency-and-accuracy-mechanisms-for-innovation-and-regulation-of-the-media-in-albania-aligned-with-eu-standards/</w:t>
        </w:r>
      </w:hyperlink>
      <w:r>
        <w:rPr>
          <w:rFonts w:eastAsia="inter" w:cs="inter" w:ascii="inter" w:hAnsi="inter"/>
          <w:color w:val="000000"/>
          <w:sz w:val="18"/>
        </w:rPr>
        <w:t xml:space="preserve"> </w:t>
      </w:r>
    </w:p>
    <w:bookmarkStart w:id="228" w:name="fn123"/>
    <w:bookmarkEnd w:id="228"/>
    <w:p>
      <w:pPr>
        <w:numPr>
          <w:ilvl w:val="0"/>
          <w:numId w:val="9"/>
        </w:numPr>
        <w:spacing w:line="360" w:after="210" w:lineRule="auto"/>
      </w:pPr>
      <w:hyperlink r:id="rId128">
        <w:r>
          <w:rPr>
            <w:rFonts w:eastAsia="inter" w:cs="inter" w:ascii="inter" w:hAnsi="inter"/>
            <w:color w:val="#000"/>
            <w:sz w:val="18"/>
            <w:u w:val="single"/>
          </w:rPr>
          <w:t xml:space="preserve">http://link.springer.com/10.1007/978-3-030-05606-3_6</w:t>
        </w:r>
      </w:hyperlink>
      <w:r>
        <w:rPr>
          <w:rFonts w:eastAsia="inter" w:cs="inter" w:ascii="inter" w:hAnsi="inter"/>
          <w:color w:val="000000"/>
          <w:sz w:val="18"/>
        </w:rPr>
        <w:t xml:space="preserve"> </w:t>
      </w:r>
    </w:p>
    <w:bookmarkStart w:id="229" w:name="fn124"/>
    <w:bookmarkEnd w:id="229"/>
    <w:p>
      <w:pPr>
        <w:numPr>
          <w:ilvl w:val="0"/>
          <w:numId w:val="9"/>
        </w:numPr>
        <w:spacing w:line="360" w:after="210" w:lineRule="auto"/>
      </w:pPr>
      <w:hyperlink r:id="rId129">
        <w:r>
          <w:rPr>
            <w:rFonts w:eastAsia="inter" w:cs="inter" w:ascii="inter" w:hAnsi="inter"/>
            <w:color w:val="#000"/>
            <w:sz w:val="18"/>
            <w:u w:val="single"/>
          </w:rPr>
          <w:t xml:space="preserve">https://www.business-inform.net/export_pdf/business-inform-2025-9_0-pages-168_176.pdf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abstractNum>
  <w:abstractNum w:abstractNumId="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e8f30af065e4f8c2e4528e57f21938547b4cc9b.png" TargetMode="Internal"/><Relationship Id="rId6" Type="http://schemas.openxmlformats.org/officeDocument/2006/relationships/hyperlink" Target="https://www.calcalistech.com/ctechnews/article/bjoooe8dge" TargetMode="External"/><Relationship Id="rId7" Type="http://schemas.openxmlformats.org/officeDocument/2006/relationships/hyperlink" Target="https://www.semanticscholar.org/paper/d7c89e6f9658bbac2e3a593e65dbcb980767ef43" TargetMode="External"/><Relationship Id="rId8" Type="http://schemas.openxmlformats.org/officeDocument/2006/relationships/hyperlink" Target="https://www.youtube.com/watch?v=-DaiyqBLFy0" TargetMode="External"/><Relationship Id="rId9" Type="http://schemas.openxmlformats.org/officeDocument/2006/relationships/hyperlink" Target="https://kpmg.com/il/en/home/careers/experienced-hires/advisory/our-people--roni-michael.html" TargetMode="External"/><Relationship Id="rId10" Type="http://schemas.openxmlformats.org/officeDocument/2006/relationships/hyperlink" Target="https://www.jpost.com/business-and-innovation/article-864029" TargetMode="External"/><Relationship Id="rId11" Type="http://schemas.openxmlformats.org/officeDocument/2006/relationships/hyperlink" Target="https://www.calcalist.co.il/calcalistech/article/rktl11euuee" TargetMode="External"/><Relationship Id="rId12" Type="http://schemas.openxmlformats.org/officeDocument/2006/relationships/hyperlink" Target="https://kpmg.co.il/technologyconsulting/our-offerings/qv" TargetMode="External"/><Relationship Id="rId13" Type="http://schemas.openxmlformats.org/officeDocument/2006/relationships/hyperlink" Target="https://kpmg.co.il/technologyconsulting/he/our-offerings/qv-technologies" TargetMode="External"/><Relationship Id="rId14" Type="http://schemas.openxmlformats.org/officeDocument/2006/relationships/hyperlink" Target="https://assets.kpmg.com/content/dam/kpmg/be/pdf/Pulse-of-Fintech-H1-2025-Report.pdf" TargetMode="External"/><Relationship Id="rId15" Type="http://schemas.openxmlformats.org/officeDocument/2006/relationships/hyperlink" Target="https://www.linkedin.com/pulse/kpmg-pulse-fintech-h1-2025-global-funding-trends-simone-cirelli-horoe" TargetMode="External"/><Relationship Id="rId16" Type="http://schemas.openxmlformats.org/officeDocument/2006/relationships/hyperlink" Target="https://kpmg.com/xx/en/what-we-do/industries/financial-services/pulse-of-fintech.html" TargetMode="External"/><Relationship Id="rId17" Type="http://schemas.openxmlformats.org/officeDocument/2006/relationships/hyperlink" Target="https://www.linkedin.com/posts/georgesfouadsalem_kpmg-pulse-of-fintech-activity-7364189589957132288-wfFF" TargetMode="External"/><Relationship Id="rId18" Type="http://schemas.openxmlformats.org/officeDocument/2006/relationships/hyperlink" Target="https://www.linkedin.com/posts/tomjmathew_fintechtrends-digitalfinance-payments-activity-7396034370412797952-jwTM" TargetMode="External"/><Relationship Id="rId19" Type="http://schemas.openxmlformats.org/officeDocument/2006/relationships/hyperlink" Target="https://kpmg.com/xx/en/what-we-do/industries/financial-services/pulse-of-fintech/top-fintech-trends.html" TargetMode="External"/><Relationship Id="rId20" Type="http://schemas.openxmlformats.org/officeDocument/2006/relationships/hyperlink" Target="https://startupnationcentral.org/hub/blog/israeli-fintech-in-2025/" TargetMode="External"/><Relationship Id="rId21" Type="http://schemas.openxmlformats.org/officeDocument/2006/relationships/hyperlink" Target="https://www.linkedin.com/posts/gornitzky_the-h12025-ivcgnykpmg-investors-report-activity-7370873541698695168-axER" TargetMode="External"/><Relationship Id="rId22" Type="http://schemas.openxmlformats.org/officeDocument/2006/relationships/hyperlink" Target="https://techtime.news/2025/12/23/kpmg-2/" TargetMode="External"/><Relationship Id="rId23" Type="http://schemas.openxmlformats.org/officeDocument/2006/relationships/hyperlink" Target="https://kpmg.co.il/en" TargetMode="External"/><Relationship Id="rId24" Type="http://schemas.openxmlformats.org/officeDocument/2006/relationships/hyperlink" Target="https://kpmg.com/il/en/home/About%20KPMG%20Israel.html" TargetMode="External"/><Relationship Id="rId25" Type="http://schemas.openxmlformats.org/officeDocument/2006/relationships/hyperlink" Target="https://www.jpost.com/business-and-innovation/article-881246" TargetMode="External"/><Relationship Id="rId26" Type="http://schemas.openxmlformats.org/officeDocument/2006/relationships/hyperlink" Target="https://kpmg.com/il/en/home/contacts/p/Dina%20Pasca%20-%20Raz.html" TargetMode="External"/><Relationship Id="rId27" Type="http://schemas.openxmlformats.org/officeDocument/2006/relationships/hyperlink" Target="https://www.ivc-online.com/Portals/0/RC/Investors%20Report%20(MAF)/IVC_GNY_KPMG_INVESTORS_REPORT_H1_2025_Final.pdf?ver=2025-09-07-100503-070&amp;timestamp=1757319886374" TargetMode="External"/><Relationship Id="rId28" Type="http://schemas.openxmlformats.org/officeDocument/2006/relationships/hyperlink" Target="https://assets.kpmg.com/content/dam/kpmg/be/pdf/ENG-global-tech-report-enrc.pdf.coredownload.inline.pdf" TargetMode="External"/><Relationship Id="rId29" Type="http://schemas.openxmlformats.org/officeDocument/2006/relationships/hyperlink" Target="https://kpmg.com/il/en/home/industries/energy.html" TargetMode="External"/><Relationship Id="rId30" Type="http://schemas.openxmlformats.org/officeDocument/2006/relationships/hyperlink" Target="https://kpmg.co.il/en/teams/communications-and-energy-team" TargetMode="External"/><Relationship Id="rId31" Type="http://schemas.openxmlformats.org/officeDocument/2006/relationships/hyperlink" Target="https://assets.kpmg.com/content/dam/kpmg/nl/pdf/2025/enr-ceo-outlook-2025-report.pdf" TargetMode="External"/><Relationship Id="rId32" Type="http://schemas.openxmlformats.org/officeDocument/2006/relationships/hyperlink" Target="https://assets.kpmg.com/content/dam/kpmgsites/au/pdf/2025/kpmg-global-tech-report-2024-energy-insights.pdf" TargetMode="External"/><Relationship Id="rId33" Type="http://schemas.openxmlformats.org/officeDocument/2006/relationships/hyperlink" Target="https://startupnationcentral.org/hub/blog/energy-tech/" TargetMode="External"/><Relationship Id="rId34" Type="http://schemas.openxmlformats.org/officeDocument/2006/relationships/hyperlink" Target="https://innovationisrael.org.il/wp-content/uploads/2025/05/AI-National-Program-en-14.5.25.pdf" TargetMode="External"/><Relationship Id="rId35" Type="http://schemas.openxmlformats.org/officeDocument/2006/relationships/hyperlink" Target="https://kpmg.com/us/en/media/news/trusted-ai-regulatory-landscape.html" TargetMode="External"/><Relationship Id="rId36" Type="http://schemas.openxmlformats.org/officeDocument/2006/relationships/hyperlink" Target="https://assets.kpmg.com/content/dam/kpmgsites/xx/pdf/2025/05/trust-attitudes-and-use-of-ai-israel-snapshot.pdf.coredownload.inline.pdf" TargetMode="External"/><Relationship Id="rId37" Type="http://schemas.openxmlformats.org/officeDocument/2006/relationships/hyperlink" Target="https://kpmg.com/us/en/articles/2025/ai-security-responsible-ai-adoption.html" TargetMode="External"/><Relationship Id="rId38" Type="http://schemas.openxmlformats.org/officeDocument/2006/relationships/hyperlink" Target="https://kpmg.com/us/en/articles/2025/harnessing-power-ai-responsibly.html" TargetMode="External"/><Relationship Id="rId39" Type="http://schemas.openxmlformats.org/officeDocument/2006/relationships/hyperlink" Target="https://kpmg.com/us/en/events/2025/kpmg-at-responsible-ai-summit-2025.html" TargetMode="External"/><Relationship Id="rId40" Type="http://schemas.openxmlformats.org/officeDocument/2006/relationships/hyperlink" Target="https://ey.co.il/wp-content/uploads/2025/10/Transparency-Report-2025-clean-October-23-2025-Israel-JV.pdf" TargetMode="External"/><Relationship Id="rId41" Type="http://schemas.openxmlformats.org/officeDocument/2006/relationships/hyperlink" Target="https://www.casebasix.com/pages/kpmg-vs-deloitte-consulting-comparison" TargetMode="External"/><Relationship Id="rId42" Type="http://schemas.openxmlformats.org/officeDocument/2006/relationships/hyperlink" Target="https://www.linkedin.com/pulse/comparing-big-4-consulting-firms-deloitte-pwc-ey-kpmg-kevin-pramanik-8qcue" TargetMode="External"/><Relationship Id="rId43" Type="http://schemas.openxmlformats.org/officeDocument/2006/relationships/hyperlink" Target="https://kpmg.com/xx/en/what-we-do/services/advisory/consulting/kpmg-powered-enterprise/kpmg-powered-enterprise-enabled-by-sap.html" TargetMode="External"/><Relationship Id="rId44" Type="http://schemas.openxmlformats.org/officeDocument/2006/relationships/hyperlink" Target="https://kpmg.com/gr/en/home/insights/2024/07/powered-enterprise-sap.html" TargetMode="External"/><Relationship Id="rId45" Type="http://schemas.openxmlformats.org/officeDocument/2006/relationships/hyperlink" Target="https://www.oracle.com/il-en/partner/kpmg/" TargetMode="External"/><Relationship Id="rId46" Type="http://schemas.openxmlformats.org/officeDocument/2006/relationships/hyperlink" Target="https://kpmg.com/xx/en/what-we-do/alliances/salesforce.html" TargetMode="External"/><Relationship Id="rId47" Type="http://schemas.openxmlformats.org/officeDocument/2006/relationships/hyperlink" Target="https://kpmg.co.il/technologyconsulting/our-offerings/digitalai" TargetMode="External"/><Relationship Id="rId48" Type="http://schemas.openxmlformats.org/officeDocument/2006/relationships/hyperlink" Target="https://kpmg.co.il/technologyconsulting/our-offerings/cyber" TargetMode="External"/><Relationship Id="rId49" Type="http://schemas.openxmlformats.org/officeDocument/2006/relationships/hyperlink" Target="https://kpmg.co.il/technologyconsulting" TargetMode="External"/><Relationship Id="rId50" Type="http://schemas.openxmlformats.org/officeDocument/2006/relationships/hyperlink" Target="https://kpmg.co.il/technologyconsulting/our-offerings/products" TargetMode="External"/><Relationship Id="rId51" Type="http://schemas.openxmlformats.org/officeDocument/2006/relationships/hyperlink" Target="https://kpmg.co.il/en/services/consulting-division/it-systems-consulting" TargetMode="External"/><Relationship Id="rId52" Type="http://schemas.openxmlformats.org/officeDocument/2006/relationships/hyperlink" Target="https://kpmg.com/us/en/capabilities-services/kpmg-innovation-services/kpmg-ignition.html" TargetMode="External"/><Relationship Id="rId53" Type="http://schemas.openxmlformats.org/officeDocument/2006/relationships/hyperlink" Target="https://www.unispace.com/projects/kmpg-ignition-center-london" TargetMode="External"/><Relationship Id="rId54" Type="http://schemas.openxmlformats.org/officeDocument/2006/relationships/hyperlink" Target="https://kpmg.com/us/en/capabilities-services/kpmg-innovation-services/kpmg-ignition/exploration.html" TargetMode="External"/><Relationship Id="rId55" Type="http://schemas.openxmlformats.org/officeDocument/2006/relationships/hyperlink" Target="https://www.dunskyarch.com/en/project/kpmg-ignition-center-tel-aviv/" TargetMode="External"/><Relationship Id="rId56" Type="http://schemas.openxmlformats.org/officeDocument/2006/relationships/hyperlink" Target="https://kpmg.com/xx/en/contacts/m/roni-michael.html" TargetMode="External"/><Relationship Id="rId57" Type="http://schemas.openxmlformats.org/officeDocument/2006/relationships/hyperlink" Target="https://il.linkedin.com/in/roni-michael-7ab35a64" TargetMode="External"/><Relationship Id="rId58" Type="http://schemas.openxmlformats.org/officeDocument/2006/relationships/hyperlink" Target="https://www.itonics-innovation.com/podcast/episodes/kpmg-roni-michael" TargetMode="External"/><Relationship Id="rId59" Type="http://schemas.openxmlformats.org/officeDocument/2006/relationships/hyperlink" Target="https://online.fibi.co.il/wps/wcm/connect/online.fibi.co.il9960/4aa1a8eb-32ee-4f77-8367-fdf216f1ab46/Appointment+of+a+Director+-+Roni+Michael.pdf?MOD=AJPERES&amp;CACHEID=ROOTWORKSPACE.Z18_5G3DTJOFITLC70AN3NN69D0003-4aa1a8eb-32ee-4f77-8367-fdf216f1ab46-pcwe02C" TargetMode="External"/><Relationship Id="rId60" Type="http://schemas.openxmlformats.org/officeDocument/2006/relationships/hyperlink" Target="https://innovationisrael.org.il/wp-content/uploads/2024/03/INVESTORS-REPORT-2023.pdf" TargetMode="External"/><Relationship Id="rId61" Type="http://schemas.openxmlformats.org/officeDocument/2006/relationships/hyperlink" Target="https://innovationisrael.org.il/en/wp-content/uploads/sites/3/2024/03/INVESTORS-REPORT-2023_Final.pdf" TargetMode="External"/><Relationship Id="rId62" Type="http://schemas.openxmlformats.org/officeDocument/2006/relationships/hyperlink" Target="https://kpmg.co.il/media/gvbnxjpo/ivc_gny_kpmg_investors-report-h1_2024_final.pdf" TargetMode="External"/><Relationship Id="rId63" Type="http://schemas.openxmlformats.org/officeDocument/2006/relationships/hyperlink" Target="https://en.wikipedia.org/wiki/Economy_of_Israel" TargetMode="External"/><Relationship Id="rId64" Type="http://schemas.openxmlformats.org/officeDocument/2006/relationships/hyperlink" Target="https://www.calcalistech.com/ctechnews/article/hjdkcdbskl" TargetMode="External"/><Relationship Id="rId65" Type="http://schemas.openxmlformats.org/officeDocument/2006/relationships/hyperlink" Target="https://www.mdpi.com/2199-8531/8/3/162/pdf?version=1663030014" TargetMode="External"/><Relationship Id="rId66" Type="http://schemas.openxmlformats.org/officeDocument/2006/relationships/hyperlink" Target="https://link.springer.com/10.1007/s40477-025-01097-6" TargetMode="External"/><Relationship Id="rId67" Type="http://schemas.openxmlformats.org/officeDocument/2006/relationships/hyperlink" Target="https://www.semanticscholar.org/paper/ee05fde9c44485635ca76128f0352d3fc3c89fdd" TargetMode="External"/><Relationship Id="rId68" Type="http://schemas.openxmlformats.org/officeDocument/2006/relationships/hyperlink" Target="https://ijcsrr.org/single-view/?id=17506&amp;pid=17470" TargetMode="External"/><Relationship Id="rId69" Type="http://schemas.openxmlformats.org/officeDocument/2006/relationships/hyperlink" Target="https://linkinghub.elsevier.com/retrieve/pii/S0306261923002076" TargetMode="External"/><Relationship Id="rId70" Type="http://schemas.openxmlformats.org/officeDocument/2006/relationships/hyperlink" Target="https://www.mdpi.com/2227-7099/9/3/121/pdf?version=1630058820" TargetMode="External"/><Relationship Id="rId71" Type="http://schemas.openxmlformats.org/officeDocument/2006/relationships/hyperlink" Target="https://www.mdpi.com/2071-1050/15/16/12419/pdf?version=1692155456" TargetMode="External"/><Relationship Id="rId72" Type="http://schemas.openxmlformats.org/officeDocument/2006/relationships/hyperlink" Target="https://www.mdpi.com/2071-1050/14/20/13501/pdf?version=1666180084" TargetMode="External"/><Relationship Id="rId73" Type="http://schemas.openxmlformats.org/officeDocument/2006/relationships/hyperlink" Target="http://www.scirp.org/journal/PaperDownload.aspx?paperID=88238" TargetMode="External"/><Relationship Id="rId74" Type="http://schemas.openxmlformats.org/officeDocument/2006/relationships/hyperlink" Target="https://downloads.hindawi.com/journals/jeph/2022/1064558.pdf" TargetMode="External"/><Relationship Id="rId75" Type="http://schemas.openxmlformats.org/officeDocument/2006/relationships/hyperlink" Target="https://ourcoders.com/news/show/47348/" TargetMode="External"/><Relationship Id="rId76" Type="http://schemas.openxmlformats.org/officeDocument/2006/relationships/hyperlink" Target="https://www.business-inform.net/export_pdf/business-inform-2025-7_0-pages-377_386.pdf" TargetMode="External"/><Relationship Id="rId77" Type="http://schemas.openxmlformats.org/officeDocument/2006/relationships/hyperlink" Target="https://www.semanticscholar.org/paper/cf390ce1ca032ae91b2f29a341de47f07932f2e6" TargetMode="External"/><Relationship Id="rId78" Type="http://schemas.openxmlformats.org/officeDocument/2006/relationships/hyperlink" Target="https://fkd.net.ua/index.php/fkd/article/view/3577" TargetMode="External"/><Relationship Id="rId79" Type="http://schemas.openxmlformats.org/officeDocument/2006/relationships/hyperlink" Target="https://www.frontiersin.org/articles/10.3389/frai.2024.1326358/pdf?isPublishedV2=False" TargetMode="External"/><Relationship Id="rId80" Type="http://schemas.openxmlformats.org/officeDocument/2006/relationships/hyperlink" Target="https://www.mdpi.com/2571-5577/4/3/69/pdf?version=1632308073" TargetMode="External"/><Relationship Id="rId81" Type="http://schemas.openxmlformats.org/officeDocument/2006/relationships/hyperlink" Target="https://www.mdpi.com/2227-7072/12/1/3/pdf?version=1704963021" TargetMode="External"/><Relationship Id="rId82" Type="http://schemas.openxmlformats.org/officeDocument/2006/relationships/hyperlink" Target="https://kpmg.com/xx/en/what-we-do/industries/financial-services/pulse-of-fintech/emea.html" TargetMode="External"/><Relationship Id="rId83" Type="http://schemas.openxmlformats.org/officeDocument/2006/relationships/hyperlink" Target="https://kpmg.co.il/technologyconsulting/blog/digital-transformation-in-the-infrastructure-sector-a-brave-new-world" TargetMode="External"/><Relationship Id="rId84" Type="http://schemas.openxmlformats.org/officeDocument/2006/relationships/hyperlink" Target="https://www.business-inform.net/export_pdf/business-inform-2025-3_0-pages-23_32.pdf" TargetMode="External"/><Relationship Id="rId85" Type="http://schemas.openxmlformats.org/officeDocument/2006/relationships/hyperlink" Target="https://vz.kneu.ua/archive/2024/35(2).18" TargetMode="External"/><Relationship Id="rId86" Type="http://schemas.openxmlformats.org/officeDocument/2006/relationships/hyperlink" Target="https://www.semanticscholar.org/paper/e63eaae7688ed429650571db738d6e34715fbed8" TargetMode="External"/><Relationship Id="rId87" Type="http://schemas.openxmlformats.org/officeDocument/2006/relationships/hyperlink" Target="https://linkinghub.elsevier.com/retrieve/pii/S2452414X23000936" TargetMode="External"/><Relationship Id="rId88" Type="http://schemas.openxmlformats.org/officeDocument/2006/relationships/hyperlink" Target="https://arxiv.org/html/2504.07457v1" TargetMode="External"/><Relationship Id="rId89" Type="http://schemas.openxmlformats.org/officeDocument/2006/relationships/hyperlink" Target="https://www.mdpi.com/2673-7116/4/2/15/pdf?version=1718634314" TargetMode="External"/><Relationship Id="rId90" Type="http://schemas.openxmlformats.org/officeDocument/2006/relationships/hyperlink" Target="https://arxiv.org/pdf/2501.09025.pdf" TargetMode="External"/><Relationship Id="rId91" Type="http://schemas.openxmlformats.org/officeDocument/2006/relationships/hyperlink" Target="https://www.mdpi.com/1911-8074/15/7/287/pdf?version=1656493116" TargetMode="External"/><Relationship Id="rId92" Type="http://schemas.openxmlformats.org/officeDocument/2006/relationships/hyperlink" Target="https://www.mdpi.com/2071-1050/12/18/7669/pdf" TargetMode="External"/><Relationship Id="rId93" Type="http://schemas.openxmlformats.org/officeDocument/2006/relationships/hyperlink" Target="https://www.mdpi.com/2674-1032/1/4/31/pdf?version=1670501540" TargetMode="External"/><Relationship Id="rId94" Type="http://schemas.openxmlformats.org/officeDocument/2006/relationships/hyperlink" Target="https://www.tandfonline.com/doi/pdf/10.1080/17521440.2023.2215481?needAccess=true&amp;role=button" TargetMode="External"/><Relationship Id="rId95" Type="http://schemas.openxmlformats.org/officeDocument/2006/relationships/hyperlink" Target="https://www.mdpi.com/2071-1050/12/24/10316/pdf?version=1607738742" TargetMode="External"/><Relationship Id="rId96" Type="http://schemas.openxmlformats.org/officeDocument/2006/relationships/hyperlink" Target="http://arxiv.org/pdf/2503.18675.pdf" TargetMode="External"/><Relationship Id="rId97" Type="http://schemas.openxmlformats.org/officeDocument/2006/relationships/hyperlink" Target="https://www.mdpi.com/2227-7072/11/1/9/pdf?version=1674035846" TargetMode="External"/><Relationship Id="rId98" Type="http://schemas.openxmlformats.org/officeDocument/2006/relationships/hyperlink" Target="https://bcpublication.org/index.php/BM/article/download/5110/4971" TargetMode="External"/><Relationship Id="rId99" Type="http://schemas.openxmlformats.org/officeDocument/2006/relationships/hyperlink" Target="https://assets.kpmg.com/content/dam/kpmgsites/xx/pdf/2025/12/ceo-outlook-2025-tmt.pdf" TargetMode="External"/><Relationship Id="rId100" Type="http://schemas.openxmlformats.org/officeDocument/2006/relationships/hyperlink" Target="https://kpmg.com/in/en/insights/2025/12/kpmg-2025-global-technology-telecommunications-ceo-outlook.html" TargetMode="External"/><Relationship Id="rId101" Type="http://schemas.openxmlformats.org/officeDocument/2006/relationships/hyperlink" Target="https://kpmg.co.il" TargetMode="External"/><Relationship Id="rId102" Type="http://schemas.openxmlformats.org/officeDocument/2006/relationships/hyperlink" Target="https://assets.kpmg.com/content/dam/kpmg/ng/pdf/2025/09/AI%20Governance%20and%20Control.pdf" TargetMode="External"/><Relationship Id="rId103" Type="http://schemas.openxmlformats.org/officeDocument/2006/relationships/hyperlink" Target="https://www.calcalist.co.il/tags/KPMG_%D7%A1%D7%95%D7%9E%D7%9A_%D7%97%D7%99%D7%99%D7%A7%D7%99%D7%9F" TargetMode="External"/><Relationship Id="rId104" Type="http://schemas.openxmlformats.org/officeDocument/2006/relationships/hyperlink" Target="https://assets.kpmg.com/content/dam/kpmg/ie/pdf/2017/03/ie-disruptive-tech-2017-part-1.pdf" TargetMode="External"/><Relationship Id="rId105" Type="http://schemas.openxmlformats.org/officeDocument/2006/relationships/hyperlink" Target="https://www.calcalist.co.il/calcalistech/article/byhxxa87bg" TargetMode="External"/><Relationship Id="rId106" Type="http://schemas.openxmlformats.org/officeDocument/2006/relationships/hyperlink" Target="https://southup.org/innovation-center/" TargetMode="External"/><Relationship Id="rId107" Type="http://schemas.openxmlformats.org/officeDocument/2006/relationships/hyperlink" Target="https://www.calcalist.co.il/tags/%D7%A1%D7%95%D7%9E%D7%9A_%D7%97%D7%99%D7%99%D7%A7%D7%99%D7%9F_KPMG" TargetMode="External"/><Relationship Id="rId108" Type="http://schemas.openxmlformats.org/officeDocument/2006/relationships/hyperlink" Target="https://www.facebook.com/calcalistonline/posts/%D7%91%D7%91%D7%A0%D7%A7-%D7%94%D7%92%D7%93%D7%95%D7%9C-%D7%91%D7%99%D7%95%D7%AA%D7%A8-%D7%91%D7%90%D7%9E%D7%A8%D7%99%D7%A7%D7%94-%D7%9E%D7%A2%D7%A8%D7%99%D7%9B%D7%99%D7%9D-%D7%A9%D7%94%D7%A8%D7%90%D7%9C%D7%99-%D7%A1%D7%91%D7%99%D7%91-%D7%94-ai-%D7%99%D7%99%D7%9E%D7%A9%D7%9A-%D7%92%D7%9D-%D7%91%D7%A9%D7%A0%D7%94-%D7%94%D7%91%D7%90%D7%94-%D7%90%D7%9C%D7%94-%D7%94%D7%9E%D7%A0%D7%99%D7%95%D7%AA-/1271445968349467/" TargetMode="External"/><Relationship Id="rId109" Type="http://schemas.openxmlformats.org/officeDocument/2006/relationships/hyperlink" Target="https://kpmg.com/il/en/home/industries/technology.html" TargetMode="External"/><Relationship Id="rId110" Type="http://schemas.openxmlformats.org/officeDocument/2006/relationships/hyperlink" Target="https://www.facebook.com/calcalistonline/videos/%D7%A2%D7%9D-%D7%90%D7%97%D7%93%D7%95%D7%AA-%D7%91%D7%A2%D7%9D-%D7%95%D7%A0%D7%95%D7%A8%D7%9E%D7%9C%D7%99%D7%96%D7%A6%D7%99%D7%94-%D7%90%D7%96%D7%95%D7%A8%D7%99%D7%AA-%D7%A7%D7%99%D7%99%D7%9D-%D7%AA%D7%A8%D7%97%D7%99%D7%A9-%D7%95%D7%A8%D7%95%D7%93-%D7%A9%D7%9C%D7%90-%D7%97%D7%9C%D7%9E%D7%A0%D7%95-%D7%A2%D7%9C%D7%99%D7%95/857155677245586/" TargetMode="External"/><Relationship Id="rId111" Type="http://schemas.openxmlformats.org/officeDocument/2006/relationships/hyperlink" Target="https://kpmg.co.il/technologyconsulting/contact" TargetMode="External"/><Relationship Id="rId112" Type="http://schemas.openxmlformats.org/officeDocument/2006/relationships/hyperlink" Target="https://www.jisem-journal.com/index.php/journal/article/view/13160" TargetMode="External"/><Relationship Id="rId113" Type="http://schemas.openxmlformats.org/officeDocument/2006/relationships/hyperlink" Target="http://baltijapublishing.lv/index.php/issue/article/view/945" TargetMode="External"/><Relationship Id="rId114" Type="http://schemas.openxmlformats.org/officeDocument/2006/relationships/hyperlink" Target="https://www.semanticscholar.org/paper/066fa22e45c6b619aa7e9e293c7f55210a406ee8" TargetMode="External"/><Relationship Id="rId115" Type="http://schemas.openxmlformats.org/officeDocument/2006/relationships/hyperlink" Target="https://www.mdpi.com/2076-3417/11/11/4937/pdf" TargetMode="External"/><Relationship Id="rId116" Type="http://schemas.openxmlformats.org/officeDocument/2006/relationships/hyperlink" Target="https://arxiv.org/pdf/2306.02995.pdf" TargetMode="External"/><Relationship Id="rId117" Type="http://schemas.openxmlformats.org/officeDocument/2006/relationships/hyperlink" Target="https://arxiv.org/abs/2205.02584" TargetMode="External"/><Relationship Id="rId118" Type="http://schemas.openxmlformats.org/officeDocument/2006/relationships/hyperlink" Target="https://www.mdpi.com/2071-1050/10/8/2916/pdf?version=1534564502" TargetMode="External"/><Relationship Id="rId119" Type="http://schemas.openxmlformats.org/officeDocument/2006/relationships/hyperlink" Target="https://www.mdpi.com/2076-3387/14/7/138/pdf?version=1719732717" TargetMode="External"/><Relationship Id="rId120" Type="http://schemas.openxmlformats.org/officeDocument/2006/relationships/hyperlink" Target="https://www.mdpi.com/2079-8954/4/1/11/pdf?version=1454064122" TargetMode="External"/><Relationship Id="rId121" Type="http://schemas.openxmlformats.org/officeDocument/2006/relationships/hyperlink" Target="https://ojs.amhinternational.com/index.php/imbr/article/download/943/943" TargetMode="External"/><Relationship Id="rId122" Type="http://schemas.openxmlformats.org/officeDocument/2006/relationships/hyperlink" Target="http://downloads.hindawi.com/journals/tswj/2015/983832.pdf" TargetMode="External"/><Relationship Id="rId123" Type="http://schemas.openxmlformats.org/officeDocument/2006/relationships/hyperlink" Target="https://emerj.com/ai-in-the-accounting-big-four-comparing-deloitte-pwc-kpmg-and-ey/" TargetMode="External"/><Relationship Id="rId124" Type="http://schemas.openxmlformats.org/officeDocument/2006/relationships/hyperlink" Target="https://www.brightnetwork.co.uk/career-path-guides/accounting-audit-tax/differences-big-four-firms/" TargetMode="External"/><Relationship Id="rId125" Type="http://schemas.openxmlformats.org/officeDocument/2006/relationships/hyperlink" Target="https://www.reddit.com/r/Big4/comments/1p5zfzv/deloitte_vs_ey_vs_kpmg_offers/" TargetMode="External"/><Relationship Id="rId126" Type="http://schemas.openxmlformats.org/officeDocument/2006/relationships/hyperlink" Target="https://publications.iadb.org/en/smart-city-technologies-israel-review-cutting-edge-technologies-and-innovation-hubs" TargetMode="External"/><Relationship Id="rId127" Type="http://schemas.openxmlformats.org/officeDocument/2006/relationships/hyperlink" Target="https://uet.edu.al/polis/articles/technology-driven-data-journalism-transparency-and-accuracy-mechanisms-for-innovation-and-regulation-of-the-media-in-albania-aligned-with-eu-standards/" TargetMode="External"/><Relationship Id="rId128" Type="http://schemas.openxmlformats.org/officeDocument/2006/relationships/hyperlink" Target="http://link.springer.com/10.1007/978-3-030-05606-3_6" TargetMode="External"/><Relationship Id="rId129" Type="http://schemas.openxmlformats.org/officeDocument/2006/relationships/hyperlink" Target="https://www.business-inform.net/export_pdf/business-inform-2025-9_0-pages-168_176.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2026-01-09T16:59:01.255Z</dcterms:created>
  <dcterms:modified xsi:type="dcterms:W3CDTF">2026-01-09T16:59:01.255Z</dcterms:modified>
</cp:coreProperties>
</file>