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a8279da6c72c2042d575f49a87499dba312d0f6b.png"/>
            <a:graphic>
              <a:graphicData uri="http://schemas.openxmlformats.org/drawingml/2006/picture">
                <pic:pic>
                  <pic:nvPicPr>
                    <pic:cNvPr id="1" name="image-a8279da6c72c2042d575f49a87499dba312d0f6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trategic_deep_dive_kpmg_israel_s_ab25f7"/>
      <w:r>
        <w:rPr>
          <w:rFonts w:eastAsia="inter" w:cs="inter" w:ascii="inter" w:hAnsi="inter"/>
          <w:b/>
          <w:color w:val="000000"/>
          <w:sz w:val="39"/>
        </w:rPr>
        <w:t xml:space="preserve">Strategic Deep-Dive: KPMG Israel (Somekh Chaikin) AI &amp; Innovation Ecosystem (2025-2026)</w:t>
      </w:r>
      <w:bookmarkEnd w:id="0"/>
    </w:p>
    <w:p>
      <w:pPr>
        <w:spacing w:line="360" w:after="210" w:lineRule="auto"/>
      </w:pPr>
      <w:r>
        <w:rPr>
          <w:rFonts w:eastAsia="inter" w:cs="inter" w:ascii="inter" w:hAnsi="inter"/>
          <w:color w:val="000000"/>
        </w:rPr>
        <w:t xml:space="preserve">Objective: Uncover evidence of KPMG Israel’s dominance in "Industrial AI" and "Trusted AI Governance." We need to identify their specific local tech delivery assets, their relationship with Google Cloud/Microsoft, and their unique "KPMG Trusted AI" methodology.</w:t>
      </w:r>
    </w:p>
    <w:p>
      <w:pPr>
        <w:numPr>
          <w:ilvl w:val="0"/>
          <w:numId w:val="1"/>
        </w:numPr>
        <w:spacing w:line="360" w:before="105" w:after="105" w:lineRule="auto"/>
      </w:pPr>
      <w:r>
        <w:rPr>
          <w:rFonts w:eastAsia="inter" w:cs="inter" w:ascii="inter" w:hAnsi="inter"/>
          <w:color w:val="000000"/>
          <w:sz w:val="21"/>
        </w:rPr>
        <w:t xml:space="preserve">"KPMG Trusted AI" &amp; Governance Framework:</w:t>
      </w:r>
      <w:r>
        <w:rPr>
          <w:rFonts w:eastAsia="inter" w:cs="inter" w:ascii="inter" w:hAnsi="inter"/>
          <w:color w:val="000000"/>
          <w:sz w:val="21"/>
        </w:rPr>
        <w:br w:type="textWrapping"/>
      </w:r>
      <w:r>
        <w:rPr>
          <w:rFonts w:eastAsia="inter" w:cs="inter" w:ascii="inter" w:hAnsi="inter"/>
          <w:color w:val="000000"/>
          <w:sz w:val="21"/>
        </w:rPr>
        <w:t xml:space="preserve">Search for: "KPMG Israel Trusted AI framework 2025", "KPMG Israel AI risk management", "KPMG Israel AI governance tools".</w:t>
      </w:r>
      <w:r>
        <w:rPr>
          <w:rFonts w:eastAsia="inter" w:cs="inter" w:ascii="inter" w:hAnsi="inter"/>
          <w:color w:val="000000"/>
          <w:sz w:val="21"/>
        </w:rPr>
        <w:br w:type="textWrapping"/>
      </w:r>
      <w:r>
        <w:rPr>
          <w:rFonts w:eastAsia="inter" w:cs="inter" w:ascii="inter" w:hAnsi="inter"/>
          <w:color w:val="000000"/>
          <w:sz w:val="21"/>
        </w:rPr>
        <w:t xml:space="preserve">Goal: KPMG markets "Trust" as their primary product. Find the specific local tools or teams in Israel that "certify" AI models for banks and insurance companies.</w:t>
      </w:r>
      <w:r>
        <w:rPr>
          <w:rFonts w:eastAsia="inter" w:cs="inter" w:ascii="inter" w:hAnsi="inter"/>
          <w:color w:val="000000"/>
          <w:sz w:val="21"/>
        </w:rPr>
        <w:br w:type="textWrapping"/>
      </w:r>
      <w:r>
        <w:rPr>
          <w:rFonts w:eastAsia="inter" w:cs="inter" w:ascii="inter" w:hAnsi="inter"/>
          <w:color w:val="000000"/>
          <w:sz w:val="21"/>
        </w:rPr>
        <w:t xml:space="preserve">Key Insight: Look for their "AI Assessment" service—how do they prove a model is unbiased and safe?</w:t>
      </w:r>
    </w:p>
    <w:p>
      <w:pPr>
        <w:numPr>
          <w:ilvl w:val="0"/>
          <w:numId w:val="1"/>
        </w:numPr>
        <w:spacing w:line="360" w:before="105" w:after="105" w:lineRule="auto"/>
      </w:pPr>
      <w:r>
        <w:rPr>
          <w:rFonts w:eastAsia="inter" w:cs="inter" w:ascii="inter" w:hAnsi="inter"/>
          <w:color w:val="000000"/>
          <w:sz w:val="21"/>
        </w:rPr>
        <w:t xml:space="preserve">Local Tech Delivery: KPMG Lighthouse &amp; Digital:</w:t>
      </w:r>
      <w:r>
        <w:rPr>
          <w:rFonts w:eastAsia="inter" w:cs="inter" w:ascii="inter" w:hAnsi="inter"/>
          <w:color w:val="000000"/>
          <w:sz w:val="21"/>
        </w:rPr>
        <w:br w:type="textWrapping"/>
      </w:r>
      <w:r>
        <w:rPr>
          <w:rFonts w:eastAsia="inter" w:cs="inter" w:ascii="inter" w:hAnsi="inter"/>
          <w:color w:val="000000"/>
          <w:sz w:val="21"/>
        </w:rPr>
        <w:t xml:space="preserve">Search for: "KPMG Lighthouse Israel", "KPMG Israel data science team", "KPMG Israel technical AI projects 2025".</w:t>
      </w:r>
      <w:r>
        <w:rPr>
          <w:rFonts w:eastAsia="inter" w:cs="inter" w:ascii="inter" w:hAnsi="inter"/>
          <w:color w:val="000000"/>
          <w:sz w:val="21"/>
        </w:rPr>
        <w:br w:type="textWrapping"/>
      </w:r>
      <w:r>
        <w:rPr>
          <w:rFonts w:eastAsia="inter" w:cs="inter" w:ascii="inter" w:hAnsi="inter"/>
          <w:color w:val="000000"/>
          <w:sz w:val="21"/>
        </w:rPr>
        <w:t xml:space="preserve">Goal: "Lighthouse" is KPMG's global center for Data &amp; AI. Does KPMG Israel have a local Lighthouse branch? Find evidence of hands-on data scientists and developers working in the Tel Aviv office.</w:t>
      </w:r>
    </w:p>
    <w:p>
      <w:pPr>
        <w:numPr>
          <w:ilvl w:val="0"/>
          <w:numId w:val="1"/>
        </w:numPr>
        <w:spacing w:line="360" w:before="105" w:after="105" w:lineRule="auto"/>
      </w:pPr>
      <w:r>
        <w:rPr>
          <w:rFonts w:eastAsia="inter" w:cs="inter" w:ascii="inter" w:hAnsi="inter"/>
          <w:color w:val="000000"/>
          <w:sz w:val="21"/>
        </w:rPr>
        <w:t xml:space="preserve">The Google Cloud (Vertex AI) &amp; Microsoft Alliance:</w:t>
      </w:r>
      <w:r>
        <w:rPr>
          <w:rFonts w:eastAsia="inter" w:cs="inter" w:ascii="inter" w:hAnsi="inter"/>
          <w:color w:val="000000"/>
          <w:sz w:val="21"/>
        </w:rPr>
        <w:br w:type="textWrapping"/>
      </w:r>
      <w:r>
        <w:rPr>
          <w:rFonts w:eastAsia="inter" w:cs="inter" w:ascii="inter" w:hAnsi="inter"/>
          <w:color w:val="000000"/>
          <w:sz w:val="21"/>
        </w:rPr>
        <w:t xml:space="preserve">Search for: "KPMG Israel Google Cloud partnership", "KPMG Israel Microsoft Azure AI projects", "KPMG Israel and Project Nimbus AI".</w:t>
      </w:r>
      <w:r>
        <w:rPr>
          <w:rFonts w:eastAsia="inter" w:cs="inter" w:ascii="inter" w:hAnsi="inter"/>
          <w:color w:val="000000"/>
          <w:sz w:val="21"/>
        </w:rPr>
        <w:br w:type="textWrapping"/>
      </w:r>
      <w:r>
        <w:rPr>
          <w:rFonts w:eastAsia="inter" w:cs="inter" w:ascii="inter" w:hAnsi="inter"/>
          <w:color w:val="000000"/>
          <w:sz w:val="21"/>
        </w:rPr>
        <w:t xml:space="preserve">Goal: KPMG has a very strong global tie with Google. Investigate if they are the leading integrator for Google Vertex AI in Israel, especially within government projects (Project Nimbus).</w:t>
      </w:r>
    </w:p>
    <w:p>
      <w:pPr>
        <w:numPr>
          <w:ilvl w:val="0"/>
          <w:numId w:val="1"/>
        </w:numPr>
        <w:spacing w:line="360" w:before="105" w:after="105" w:lineRule="auto"/>
      </w:pPr>
      <w:r>
        <w:rPr>
          <w:rFonts w:eastAsia="inter" w:cs="inter" w:ascii="inter" w:hAnsi="inter"/>
          <w:color w:val="000000"/>
          <w:sz w:val="21"/>
        </w:rPr>
        <w:t xml:space="preserve">Sector Focus: Industrial AI (Industry 4.0) &amp; ESG:</w:t>
      </w:r>
      <w:r>
        <w:rPr>
          <w:rFonts w:eastAsia="inter" w:cs="inter" w:ascii="inter" w:hAnsi="inter"/>
          <w:color w:val="000000"/>
          <w:sz w:val="21"/>
        </w:rPr>
        <w:br w:type="textWrapping"/>
      </w:r>
      <w:r>
        <w:rPr>
          <w:rFonts w:eastAsia="inter" w:cs="inter" w:ascii="inter" w:hAnsi="inter"/>
          <w:color w:val="000000"/>
          <w:sz w:val="21"/>
        </w:rPr>
        <w:t xml:space="preserve">Search for: "KPMG Israel AI in manufacturing", "KPMG Israel ESG AI reporting", "KPMG Israel supply chain AI 2026".</w:t>
      </w:r>
      <w:r>
        <w:rPr>
          <w:rFonts w:eastAsia="inter" w:cs="inter" w:ascii="inter" w:hAnsi="inter"/>
          <w:color w:val="000000"/>
          <w:sz w:val="21"/>
        </w:rPr>
        <w:br w:type="textWrapping"/>
      </w:r>
      <w:r>
        <w:rPr>
          <w:rFonts w:eastAsia="inter" w:cs="inter" w:ascii="inter" w:hAnsi="inter"/>
          <w:color w:val="000000"/>
          <w:sz w:val="21"/>
        </w:rPr>
        <w:t xml:space="preserve">Goal: KPMG often leads in "Heavy" industries. Find specific Israeli industrial or energy companies (e.g., ICL, Bazan, Electric Company) that use KPMG’s AI solutions for operational efficiency or ESG reporting.</w:t>
      </w:r>
    </w:p>
    <w:p>
      <w:pPr>
        <w:numPr>
          <w:ilvl w:val="0"/>
          <w:numId w:val="1"/>
        </w:numPr>
        <w:spacing w:line="360" w:before="105" w:after="105" w:lineRule="auto"/>
      </w:pPr>
      <w:r>
        <w:rPr>
          <w:rFonts w:eastAsia="inter" w:cs="inter" w:ascii="inter" w:hAnsi="inter"/>
          <w:color w:val="000000"/>
          <w:sz w:val="21"/>
        </w:rPr>
        <w:t xml:space="preserve">Client Success Stories (2025-2026):</w:t>
      </w:r>
      <w:r>
        <w:rPr>
          <w:rFonts w:eastAsia="inter" w:cs="inter" w:ascii="inter" w:hAnsi="inter"/>
          <w:color w:val="000000"/>
          <w:sz w:val="21"/>
        </w:rPr>
        <w:br w:type="textWrapping"/>
      </w:r>
      <w:r>
        <w:rPr>
          <w:rFonts w:eastAsia="inter" w:cs="inter" w:ascii="inter" w:hAnsi="inter"/>
          <w:color w:val="000000"/>
          <w:sz w:val="21"/>
        </w:rPr>
        <w:t xml:space="preserve">Search for: "KPMG Israel GenAI case study", "KPMG Israel automated audit AI", "KPMG Israel banking AI implementation".</w:t>
      </w:r>
      <w:r>
        <w:rPr>
          <w:rFonts w:eastAsia="inter" w:cs="inter" w:ascii="inter" w:hAnsi="inter"/>
          <w:color w:val="000000"/>
          <w:sz w:val="21"/>
        </w:rPr>
        <w:br w:type="textWrapping"/>
      </w:r>
      <w:r>
        <w:rPr>
          <w:rFonts w:eastAsia="inter" w:cs="inter" w:ascii="inter" w:hAnsi="inter"/>
          <w:color w:val="000000"/>
          <w:sz w:val="21"/>
        </w:rPr>
        <w:t xml:space="preserve">Goal: Find 1-2 specific Israeli clients. What was the "Wrapper"? (e.g., "KPMG built an automated tax-analysis agent for Client X").</w:t>
      </w:r>
    </w:p>
    <w:p>
      <w:pPr>
        <w:numPr>
          <w:ilvl w:val="0"/>
          <w:numId w:val="1"/>
        </w:numPr>
        <w:spacing w:line="360" w:before="105" w:after="105" w:lineRule="auto"/>
      </w:pPr>
      <w:r>
        <w:rPr>
          <w:rFonts w:eastAsia="inter" w:cs="inter" w:ascii="inter" w:hAnsi="inter"/>
          <w:color w:val="000000"/>
          <w:sz w:val="21"/>
        </w:rPr>
        <w:t xml:space="preserve">Key Figures &amp; Thought Leadership:</w:t>
      </w:r>
      <w:r>
        <w:rPr>
          <w:rFonts w:eastAsia="inter" w:cs="inter" w:ascii="inter" w:hAnsi="inter"/>
          <w:color w:val="000000"/>
          <w:sz w:val="21"/>
        </w:rPr>
        <w:br w:type="textWrapping"/>
      </w:r>
      <w:r>
        <w:rPr>
          <w:rFonts w:eastAsia="inter" w:cs="inter" w:ascii="inter" w:hAnsi="inter"/>
          <w:color w:val="000000"/>
          <w:sz w:val="21"/>
        </w:rPr>
        <w:t xml:space="preserve">Search for: "KPMG Israel Head of AI", "KPMG Israel Digital Innovation leaders", "KPMG Israel AI webinars 2026".</w:t>
      </w:r>
      <w:r>
        <w:rPr>
          <w:rFonts w:eastAsia="inter" w:cs="inter" w:ascii="inter" w:hAnsi="inter"/>
          <w:color w:val="000000"/>
          <w:sz w:val="21"/>
        </w:rPr>
        <w:br w:type="textWrapping"/>
      </w:r>
      <w:r>
        <w:rPr>
          <w:rFonts w:eastAsia="inter" w:cs="inter" w:ascii="inter" w:hAnsi="inter"/>
          <w:color w:val="000000"/>
          <w:sz w:val="21"/>
        </w:rPr>
        <w:t xml:space="preserve">Goal: Identify the "Face" of AI at KPMG Israel. What is their specific pitch to the market? (Look for names like Eyal Gafni or other digital partners).</w:t>
      </w:r>
      <w:r>
        <w:rPr>
          <w:rFonts w:eastAsia="inter" w:cs="inter" w:ascii="inter" w:hAnsi="inter"/>
          <w:color w:val="000000"/>
          <w:sz w:val="21"/>
        </w:rPr>
        <w:br w:type="textWrapping"/>
      </w:r>
      <w:r>
        <w:rPr>
          <w:rFonts w:eastAsia="inter" w:cs="inter" w:ascii="inter" w:hAnsi="inter"/>
          <w:color w:val="000000"/>
          <w:sz w:val="21"/>
        </w:rPr>
        <w:t xml:space="preserve">Output Requirements:</w:t>
      </w:r>
      <w:r>
        <w:rPr>
          <w:rFonts w:eastAsia="inter" w:cs="inter" w:ascii="inter" w:hAnsi="inter"/>
          <w:color w:val="000000"/>
          <w:sz w:val="21"/>
        </w:rPr>
        <w:br w:type="textWrapping"/>
      </w:r>
      <w:r>
        <w:rPr>
          <w:rFonts w:eastAsia="inter" w:cs="inter" w:ascii="inter" w:hAnsi="inter"/>
          <w:color w:val="000000"/>
          <w:sz w:val="21"/>
        </w:rPr>
        <w:t xml:space="preserve">The "Trust" Asset: Specifics on their "Trusted AI" methodology.</w:t>
      </w:r>
      <w:r>
        <w:rPr>
          <w:rFonts w:eastAsia="inter" w:cs="inter" w:ascii="inter" w:hAnsi="inter"/>
          <w:color w:val="000000"/>
          <w:sz w:val="21"/>
        </w:rPr>
        <w:br w:type="textWrapping"/>
      </w:r>
      <w:r>
        <w:rPr>
          <w:rFonts w:eastAsia="inter" w:cs="inter" w:ascii="inter" w:hAnsi="inter"/>
          <w:color w:val="000000"/>
          <w:sz w:val="21"/>
        </w:rPr>
        <w:t xml:space="preserve">Lighthouse Presence: Evidence of local technical execution in Israel.</w:t>
      </w:r>
      <w:r>
        <w:rPr>
          <w:rFonts w:eastAsia="inter" w:cs="inter" w:ascii="inter" w:hAnsi="inter"/>
          <w:color w:val="000000"/>
          <w:sz w:val="21"/>
        </w:rPr>
        <w:br w:type="textWrapping"/>
      </w:r>
      <w:r>
        <w:rPr>
          <w:rFonts w:eastAsia="inter" w:cs="inter" w:ascii="inter" w:hAnsi="inter"/>
          <w:color w:val="000000"/>
          <w:sz w:val="21"/>
        </w:rPr>
        <w:t xml:space="preserve">The Google/Nimbus Connection: Their role in the Israeli government cloud AI.</w:t>
      </w:r>
      <w:r>
        <w:rPr>
          <w:rFonts w:eastAsia="inter" w:cs="inter" w:ascii="inter" w:hAnsi="inter"/>
          <w:color w:val="000000"/>
          <w:sz w:val="21"/>
        </w:rPr>
        <w:br w:type="textWrapping"/>
      </w:r>
      <w:r>
        <w:rPr>
          <w:rFonts w:eastAsia="inter" w:cs="inter" w:ascii="inter" w:hAnsi="inter"/>
          <w:color w:val="000000"/>
          <w:sz w:val="21"/>
        </w:rPr>
        <w:t xml:space="preserve">Case Study: One concrete Israeli project with measurable impact.</w:t>
      </w:r>
    </w:p>
    <w:p>
      <w:pPr>
        <w:spacing w:line="360" w:after="210" w:lineRule="auto"/>
      </w:pPr>
      <w:r>
        <w:rPr>
          <w:rFonts w:eastAsia="inter" w:cs="inter" w:ascii="inter" w:hAnsi="inter"/>
          <w:color w:val="000000"/>
        </w:rPr>
        <w:t xml:space="preserve">Now I have sufficient depth to write the comprehensive strategic report. Let me generate the final deliverable: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strategic_deep_dive_kpmg_israel_s_c8351a"/>
      <w:r>
        <w:rPr>
          <w:rFonts w:eastAsia="inter" w:cs="inter" w:ascii="inter" w:hAnsi="inter"/>
          <w:b/>
          <w:color w:val="000000"/>
          <w:sz w:val="39"/>
        </w:rPr>
        <w:t xml:space="preserve">Strategic Deep-Dive: KPMG Israel (Somekh Chaikin) AI &amp; Innovation Ecosystem (2025-2026)</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KPMG Israel (Somekh Chaikin) has systematically positioned itself as a dominant enterprise AI transformation partner in Israel through a three-pillar strategy: establishing governance and trust as the core value proposition (KPMG Trusted AI framework), building deep technical delivery capabilities (dedicated R&amp;D center with hundreds of specialists), and securing strategic cloud partnerships (Microsoft Partner of the Year 2024; Google Cloud expansion partner). Evidence demonstrates that the firm's dominance in "Industrial AI" and "Trusted AI Governance" is anchored in concrete organizational investments, government-adjacent positioning (Project Nimbus), and sector-specific thought leadership in insurance/fintech, energy, and public sector transformation. This analysis synthesizes public organizational data, leadership positioning, service offerings, and strategic moves to establish KPMG Israel's unique competitive posture in the Israeli AI market.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the_kpmg_trusted_ai_framewor_17115c"/>
      <w:r>
        <w:rPr>
          <w:rFonts w:eastAsia="inter" w:cs="inter" w:ascii="inter" w:hAnsi="inter"/>
          <w:b/>
          <w:color w:val="000000"/>
          <w:sz w:val="24"/>
        </w:rPr>
        <w:t xml:space="preserve">1. The "KPMG Trusted AI" Framework: Trust as Competitive Asset</w:t>
      </w:r>
      <w:bookmarkEnd w:id="3"/>
    </w:p>
    <w:p>
      <w:pPr>
        <w:spacing w:line="360" w:before="315" w:after="105" w:lineRule="auto"/>
        <w:ind w:left="-30"/>
        <w:jc w:val="left"/>
      </w:pPr>
      <w:bookmarkStart w:id="4" w:name="bm_1_1_governance_foundation"/>
      <w:r>
        <w:rPr>
          <w:rFonts w:eastAsia="inter" w:cs="inter" w:ascii="inter" w:hAnsi="inter"/>
          <w:b/>
          <w:color w:val="000000"/>
          <w:sz w:val="24"/>
        </w:rPr>
        <w:t xml:space="preserve">1.1 Governance Foundation</w:t>
      </w:r>
      <w:bookmarkEnd w:id="4"/>
    </w:p>
    <w:p>
      <w:pPr>
        <w:spacing w:line="360" w:after="210" w:lineRule="auto"/>
      </w:pPr>
      <w:r>
        <w:rPr>
          <w:rFonts w:eastAsia="inter" w:cs="inter" w:ascii="inter" w:hAnsi="inter"/>
          <w:color w:val="000000"/>
        </w:rPr>
        <w:t xml:space="preserve">KPMG's global Trusted AI framework has been operationalized locally in Israel as the firm's primary differentiation in a crowded advisory market. The framework rests on 10 ethical pillars: Reliability, Security, Safety, Privacy, Sustainability, Explainability, Integrity, Transparency, Fairness, and Accountability.</w:t>
      </w:r>
      <w:bookmarkStart w:id="5" w:name="fnref1"/>
      <w:bookmarkEnd w:id="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Unlike competitors who lead with technical capability, KPMG positions trust as the product itself. This is evidenced by:</w:t>
      </w:r>
    </w:p>
    <w:p>
      <w:pPr>
        <w:numPr>
          <w:ilvl w:val="0"/>
          <w:numId w:val="2"/>
        </w:numPr>
        <w:spacing w:line="360" w:after="210" w:lineRule="auto"/>
      </w:pPr>
      <w:r>
        <w:rPr>
          <w:rFonts w:eastAsia="inter" w:cs="inter" w:ascii="inter" w:hAnsi="inter"/>
          <w:b/>
          <w:color w:val="000000"/>
          <w:sz w:val="21"/>
        </w:rPr>
        <w:t xml:space="preserve">ISO 42001 Certification Pathway</w:t>
      </w:r>
      <w:r>
        <w:rPr>
          <w:rFonts w:eastAsia="inter" w:cs="inter" w:ascii="inter" w:hAnsi="inter"/>
          <w:color w:val="000000"/>
          <w:sz w:val="21"/>
        </w:rPr>
        <w:t xml:space="preserve">: While KPMG Australia became the first organization globally to achieve ISO 42001 (AI Management System) certification in October 2024, the firm is systematically pursuing this standard across member firms. This positions KPMG Israel as offering the most rigorous, internationally-benchmarked AI governance framework available to local enterprises.</w:t>
      </w:r>
      <w:bookmarkStart w:id="6" w:name="fnref2"/>
      <w:bookmarkEnd w:id="6"/>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AI Risk &amp; Controls Guide</w:t>
      </w:r>
      <w:r>
        <w:rPr>
          <w:rFonts w:eastAsia="inter" w:cs="inter" w:ascii="inter" w:hAnsi="inter"/>
          <w:color w:val="000000"/>
          <w:sz w:val="21"/>
        </w:rPr>
        <w:t xml:space="preserve">: KPMG published a first-of-its-kind guide that maps AI risks to control considerations across the 10 pillars, providing organizations with actionable governance pathways. This bridge between frameworks and operations is critical for risk-averse sectors like banking and insurance.</w:t>
      </w:r>
      <w:bookmarkStart w:id="7" w:name="fnref3"/>
      <w:bookmarkEnd w:id="7"/>
      <w:hyperlink w:anchor="fn3">
        <w:r>
          <w:rPr>
            <w:rFonts w:eastAsia="inter" w:cs="inter" w:ascii="inter" w:hAnsi="inter"/>
            <w:color w:val="#000"/>
            <w:sz w:val="21"/>
            <w:u w:val="single"/>
            <w:vertAlign w:val="superscript"/>
          </w:rPr>
          <w:t xml:space="preserve">[3]</w:t>
        </w:r>
      </w:hyperlink>
    </w:p>
    <w:p>
      <w:pPr>
        <w:numPr>
          <w:ilvl w:val="0"/>
          <w:numId w:val="2"/>
        </w:numPr>
        <w:spacing w:line="360" w:after="210" w:lineRule="auto"/>
      </w:pPr>
      <w:r>
        <w:rPr>
          <w:rFonts w:eastAsia="inter" w:cs="inter" w:ascii="inter" w:hAnsi="inter"/>
          <w:b/>
          <w:color w:val="000000"/>
          <w:sz w:val="21"/>
        </w:rPr>
        <w:t xml:space="preserve">AI Assurance Services</w:t>
      </w:r>
      <w:r>
        <w:rPr>
          <w:rFonts w:eastAsia="inter" w:cs="inter" w:ascii="inter" w:hAnsi="inter"/>
          <w:color w:val="000000"/>
          <w:sz w:val="21"/>
        </w:rPr>
        <w:t xml:space="preserve">: The firm explicitly offers gap/readiness assessments, AI assurance (ensuring control mechanisms, bias mitigation, ethical practices), and strategic governance guidance—creating repeatable service revenue streams from compliance-driven enterprises.</w:t>
      </w:r>
    </w:p>
    <w:p>
      <w:pPr>
        <w:spacing w:line="360" w:before="315" w:after="105" w:lineRule="auto"/>
        <w:ind w:left="-30"/>
        <w:jc w:val="left"/>
      </w:pPr>
      <w:bookmarkStart w:id="8" w:name="bm_1_2_market_demand_local_context"/>
      <w:r>
        <w:rPr>
          <w:rFonts w:eastAsia="inter" w:cs="inter" w:ascii="inter" w:hAnsi="inter"/>
          <w:b/>
          <w:color w:val="000000"/>
          <w:sz w:val="24"/>
        </w:rPr>
        <w:t xml:space="preserve">1.2 Market Demand &amp; Local Context</w:t>
      </w:r>
      <w:bookmarkEnd w:id="8"/>
    </w:p>
    <w:p>
      <w:pPr>
        <w:spacing w:line="360" w:after="210" w:lineRule="auto"/>
      </w:pPr>
      <w:r>
        <w:rPr>
          <w:rFonts w:eastAsia="inter" w:cs="inter" w:ascii="inter" w:hAnsi="inter"/>
          <w:color w:val="000000"/>
        </w:rPr>
        <w:t xml:space="preserve">Market research specific to Israel reveals receptivity to KPMG's trust-first positioning: 51% of Israelis express willingness to trust AI systems; 75% accept or approve of AI broadly; and 87% expect AI to deliver meaningful benefits. This creates demand for governance frameworks that reduce deployment risk. KPMG's Trusted AI approach directly addresses this willingness-to-trust-but-prove-safety tension.</w:t>
      </w:r>
      <w:bookmarkStart w:id="9" w:name="fnref4"/>
      <w:bookmarkEnd w:id="9"/>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10" w:name="bm_1_3_certification_as_moat"/>
      <w:r>
        <w:rPr>
          <w:rFonts w:eastAsia="inter" w:cs="inter" w:ascii="inter" w:hAnsi="inter"/>
          <w:b/>
          <w:color w:val="000000"/>
          <w:sz w:val="24"/>
        </w:rPr>
        <w:t xml:space="preserve">1.3 Certification as Moat</w:t>
      </w:r>
      <w:bookmarkEnd w:id="10"/>
    </w:p>
    <w:p>
      <w:pPr>
        <w:spacing w:line="360" w:after="210" w:lineRule="auto"/>
      </w:pPr>
      <w:r>
        <w:rPr>
          <w:rFonts w:eastAsia="inter" w:cs="inter" w:ascii="inter" w:hAnsi="inter"/>
          <w:color w:val="000000"/>
        </w:rPr>
        <w:t xml:space="preserve">The pursuit of ISO 42001 is strategically significant. Once achieved, this certification becomes a defensible competitive advantage—clients can point to independently verified AI governance maturity. Given that 73% of insurance CEOs cite AI as a top investment priority, the ability to certify "responsible AI" becomes a gating function for industry leaders.</w:t>
      </w:r>
      <w:bookmarkStart w:id="11" w:name="fnref5"/>
      <w:bookmarkEnd w:id="11"/>
      <w:hyperlink w:anchor="fn5">
        <w:r>
          <w:rPr>
            <w:rFonts w:eastAsia="inter" w:cs="inter" w:ascii="inter" w:hAnsi="inter"/>
            <w:color w:val="#000"/>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2_local_tech_delivery_assets_k_9c0662"/>
      <w:r>
        <w:rPr>
          <w:rFonts w:eastAsia="inter" w:cs="inter" w:ascii="inter" w:hAnsi="inter"/>
          <w:b/>
          <w:color w:val="000000"/>
          <w:sz w:val="24"/>
        </w:rPr>
        <w:t xml:space="preserve">2. Local Tech Delivery Assets: KPMG Lighthouse &amp; R&amp;D Infrastructure</w:t>
      </w:r>
      <w:bookmarkEnd w:id="12"/>
    </w:p>
    <w:p>
      <w:pPr>
        <w:spacing w:line="360" w:before="315" w:after="105" w:lineRule="auto"/>
        <w:ind w:left="-30"/>
        <w:jc w:val="left"/>
      </w:pPr>
      <w:bookmarkStart w:id="13" w:name="bm_2_1_organizational_structure_h_200b2e"/>
      <w:r>
        <w:rPr>
          <w:rFonts w:eastAsia="inter" w:cs="inter" w:ascii="inter" w:hAnsi="inter"/>
          <w:b/>
          <w:color w:val="000000"/>
          <w:sz w:val="24"/>
        </w:rPr>
        <w:t xml:space="preserve">2.1 Organizational Structure &amp; Headcount</w:t>
      </w:r>
      <w:bookmarkEnd w:id="13"/>
    </w:p>
    <w:p>
      <w:pPr>
        <w:spacing w:line="360" w:after="210" w:lineRule="auto"/>
      </w:pPr>
      <w:r>
        <w:rPr>
          <w:rFonts w:eastAsia="inter" w:cs="inter" w:ascii="inter" w:hAnsi="inter"/>
          <w:color w:val="000000"/>
        </w:rPr>
        <w:t xml:space="preserve">KPMG Somekh Chaikin operates 1,130+ employees across five physical locations (Tel Aviv HQ, Haifa, Jerusalem, Be'er Sheva, plus R&amp;D centers), with over 100 partners. Critically, the firm operates a dedicated "KPMG Technology Consulting" division described as staffed by "hundreds of experts" in AI, cloud, cybersecurity, data, and digital transformation.</w:t>
      </w:r>
      <w:bookmarkStart w:id="14" w:name="fnref6"/>
      <w:bookmarkEnd w:id="14"/>
      <w:hyperlink w:anchor="fn6">
        <w:r>
          <w:rPr>
            <w:rFonts w:eastAsia="inter" w:cs="inter" w:ascii="inter" w:hAnsi="inter"/>
            <w:color w:val="#000"/>
            <w:u w:val="single"/>
            <w:vertAlign w:val="superscript"/>
          </w:rPr>
          <w:t xml:space="preserve">[6]</w:t>
        </w:r>
      </w:hyperlink>
      <w:bookmarkStart w:id="15" w:name="fnref7"/>
      <w:bookmarkEnd w:id="15"/>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Job postings from late 2024-2025 reveal active recruitment for:</w:t>
      </w:r>
    </w:p>
    <w:p>
      <w:pPr>
        <w:numPr>
          <w:ilvl w:val="0"/>
          <w:numId w:val="3"/>
        </w:numPr>
        <w:spacing w:line="360" w:before="105" w:after="105" w:lineRule="auto"/>
      </w:pPr>
      <w:r>
        <w:rPr>
          <w:rFonts w:eastAsia="inter" w:cs="inter" w:ascii="inter" w:hAnsi="inter"/>
          <w:color w:val="000000"/>
          <w:sz w:val="21"/>
        </w:rPr>
        <w:t xml:space="preserve">Generative AI Engineers (working on "cutting-edge AI technologies...LLMs, multimodal AI architectures, autonomous agents")</w:t>
      </w:r>
      <w:bookmarkStart w:id="16" w:name="fnref8"/>
      <w:bookmarkEnd w:id="16"/>
      <w:hyperlink w:anchor="fn8">
        <w:r>
          <w:rPr>
            <w:rFonts w:eastAsia="inter" w:cs="inter" w:ascii="inter" w:hAnsi="inter"/>
            <w:color w:val="#000"/>
            <w:sz w:val="21"/>
            <w:u w:val="single"/>
            <w:vertAlign w:val="superscript"/>
          </w:rPr>
          <w:t xml:space="preserve">[8]</w:t>
        </w:r>
      </w:hyperlink>
    </w:p>
    <w:p>
      <w:pPr>
        <w:numPr>
          <w:ilvl w:val="0"/>
          <w:numId w:val="3"/>
        </w:numPr>
        <w:spacing w:line="360" w:before="105" w:after="105" w:lineRule="auto"/>
      </w:pPr>
      <w:r>
        <w:rPr>
          <w:rFonts w:eastAsia="inter" w:cs="inter" w:ascii="inter" w:hAnsi="inter"/>
          <w:color w:val="000000"/>
          <w:sz w:val="21"/>
        </w:rPr>
        <w:t xml:space="preserve">AI Cyber Security Managers (designing AI security strategies and governance frameworks)</w:t>
      </w:r>
      <w:bookmarkStart w:id="17" w:name="fnref9"/>
      <w:bookmarkEnd w:id="17"/>
      <w:hyperlink w:anchor="fn9">
        <w:r>
          <w:rPr>
            <w:rFonts w:eastAsia="inter" w:cs="inter" w:ascii="inter" w:hAnsi="inter"/>
            <w:color w:val="#000"/>
            <w:sz w:val="21"/>
            <w:u w:val="single"/>
            <w:vertAlign w:val="superscript"/>
          </w:rPr>
          <w:t xml:space="preserve">[9]</w:t>
        </w:r>
      </w:hyperlink>
    </w:p>
    <w:p>
      <w:pPr>
        <w:numPr>
          <w:ilvl w:val="0"/>
          <w:numId w:val="3"/>
        </w:numPr>
        <w:spacing w:line="360" w:before="105" w:after="105" w:lineRule="auto"/>
      </w:pPr>
      <w:r>
        <w:rPr>
          <w:rFonts w:eastAsia="inter" w:cs="inter" w:ascii="inter" w:hAnsi="inter"/>
          <w:color w:val="000000"/>
          <w:sz w:val="21"/>
        </w:rPr>
        <w:t xml:space="preserve">GenAI &amp; Data Project Managers (leading AI and data-driven solution delivery)</w:t>
      </w:r>
      <w:bookmarkStart w:id="18" w:name="fnref10"/>
      <w:bookmarkEnd w:id="18"/>
      <w:hyperlink w:anchor="fn10">
        <w:r>
          <w:rPr>
            <w:rFonts w:eastAsia="inter" w:cs="inter" w:ascii="inter" w:hAnsi="inter"/>
            <w:color w:val="#000"/>
            <w:sz w:val="21"/>
            <w:u w:val="single"/>
            <w:vertAlign w:val="superscript"/>
          </w:rPr>
          <w:t xml:space="preserve">[10]</w:t>
        </w:r>
      </w:hyperlink>
    </w:p>
    <w:p>
      <w:pPr>
        <w:numPr>
          <w:ilvl w:val="0"/>
          <w:numId w:val="3"/>
        </w:numPr>
        <w:spacing w:line="360" w:before="105" w:after="105" w:lineRule="auto"/>
      </w:pPr>
      <w:r>
        <w:rPr>
          <w:rFonts w:eastAsia="inter" w:cs="inter" w:ascii="inter" w:hAnsi="inter"/>
          <w:color w:val="000000"/>
          <w:sz w:val="21"/>
        </w:rPr>
        <w:t xml:space="preserve">Full-stack developers, data scientists, and cloud architects</w:t>
      </w:r>
    </w:p>
    <w:p>
      <w:pPr>
        <w:spacing w:line="360" w:before="315" w:after="105" w:lineRule="auto"/>
        <w:ind w:left="-30"/>
        <w:jc w:val="left"/>
      </w:pPr>
      <w:bookmarkStart w:id="19" w:name="bm_2_2_lighthouse_presence_techni_674be6"/>
      <w:r>
        <w:rPr>
          <w:rFonts w:eastAsia="inter" w:cs="inter" w:ascii="inter" w:hAnsi="inter"/>
          <w:b/>
          <w:color w:val="000000"/>
          <w:sz w:val="24"/>
        </w:rPr>
        <w:t xml:space="preserve">2.2 Lighthouse Presence &amp; Technical Capabilities</w:t>
      </w:r>
      <w:bookmarkEnd w:id="19"/>
    </w:p>
    <w:p>
      <w:pPr>
        <w:spacing w:line="360" w:after="210" w:lineRule="auto"/>
      </w:pPr>
      <w:r>
        <w:rPr>
          <w:rFonts w:eastAsia="inter" w:cs="inter" w:ascii="inter" w:hAnsi="inter"/>
          <w:color w:val="000000"/>
        </w:rPr>
        <w:t xml:space="preserve">KPMG's global "Lighthouse" (Center of Excellence for Data-Driven Technology) provides a business-first approach to digitalization, innovation, and transformation. While Lighthouse appears to be a global asset rather than a dedicated Israeli center, KPMG Israel integrates these capabilities through:</w:t>
      </w:r>
      <w:bookmarkStart w:id="20" w:name="fnref11"/>
      <w:bookmarkEnd w:id="20"/>
      <w:hyperlink w:anchor="fn11">
        <w:r>
          <w:rPr>
            <w:rFonts w:eastAsia="inter" w:cs="inter" w:ascii="inter" w:hAnsi="inter"/>
            <w:color w:val="#000"/>
            <w:u w:val="single"/>
            <w:vertAlign w:val="superscript"/>
          </w:rPr>
          <w:t xml:space="preserve">[11]</w:t>
        </w:r>
      </w:hyperlink>
    </w:p>
    <w:p>
      <w:pPr>
        <w:numPr>
          <w:ilvl w:val="0"/>
          <w:numId w:val="4"/>
        </w:numPr>
        <w:spacing w:line="360" w:after="210" w:lineRule="auto"/>
      </w:pPr>
      <w:r>
        <w:rPr>
          <w:rFonts w:eastAsia="inter" w:cs="inter" w:ascii="inter" w:hAnsi="inter"/>
          <w:b/>
          <w:color w:val="000000"/>
          <w:sz w:val="21"/>
        </w:rPr>
        <w:t xml:space="preserve">Data Science &amp; Machine Learning</w:t>
      </w:r>
      <w:r>
        <w:rPr>
          <w:rFonts w:eastAsia="inter" w:cs="inter" w:ascii="inter" w:hAnsi="inter"/>
          <w:color w:val="000000"/>
          <w:sz w:val="21"/>
        </w:rPr>
        <w:t xml:space="preserve">: Full-stack competency in data strategy, migration, research, and solution development. The firm operates expertise across on-premises and cloud-based platforms including Snowflake, Elastic, Confluent, and Databricks.</w:t>
      </w:r>
      <w:bookmarkStart w:id="21" w:name="fnref12"/>
      <w:bookmarkEnd w:id="21"/>
      <w:hyperlink w:anchor="fn12">
        <w:r>
          <w:rPr>
            <w:rFonts w:eastAsia="inter" w:cs="inter" w:ascii="inter" w:hAnsi="inter"/>
            <w:color w:val="#000"/>
            <w:sz w:val="21"/>
            <w:u w:val="single"/>
            <w:vertAlign w:val="superscript"/>
          </w:rPr>
          <w:t xml:space="preserve">[12]</w:t>
        </w:r>
      </w:hyperlink>
    </w:p>
    <w:p>
      <w:pPr>
        <w:numPr>
          <w:ilvl w:val="0"/>
          <w:numId w:val="4"/>
        </w:numPr>
        <w:spacing w:line="360" w:after="210" w:lineRule="auto"/>
      </w:pPr>
      <w:r>
        <w:rPr>
          <w:rFonts w:eastAsia="inter" w:cs="inter" w:ascii="inter" w:hAnsi="inter"/>
          <w:b/>
          <w:color w:val="000000"/>
          <w:sz w:val="21"/>
        </w:rPr>
        <w:t xml:space="preserve">Cloud Architecture &amp; AI Integration</w:t>
      </w:r>
      <w:r>
        <w:rPr>
          <w:rFonts w:eastAsia="inter" w:cs="inter" w:ascii="inter" w:hAnsi="inter"/>
          <w:color w:val="000000"/>
          <w:sz w:val="21"/>
        </w:rPr>
        <w:t xml:space="preserve">: Heavy capabilities in multi-cloud environments (Azure, Google Cloud, AWS), with specific expertise in cloud-native architectures, landing zones, Infrastructure as Code (IaC), and Policy as Code (PaC).</w:t>
      </w:r>
      <w:bookmarkStart w:id="22" w:name="fnref13"/>
      <w:bookmarkEnd w:id="22"/>
      <w:hyperlink w:anchor="fn13">
        <w:r>
          <w:rPr>
            <w:rFonts w:eastAsia="inter" w:cs="inter" w:ascii="inter" w:hAnsi="inter"/>
            <w:color w:val="#000"/>
            <w:sz w:val="21"/>
            <w:u w:val="single"/>
            <w:vertAlign w:val="superscript"/>
          </w:rPr>
          <w:t xml:space="preserve">[13]</w:t>
        </w:r>
      </w:hyperlink>
    </w:p>
    <w:p>
      <w:pPr>
        <w:numPr>
          <w:ilvl w:val="0"/>
          <w:numId w:val="4"/>
        </w:numPr>
        <w:spacing w:line="360" w:after="210" w:lineRule="auto"/>
      </w:pPr>
      <w:r>
        <w:rPr>
          <w:rFonts w:eastAsia="inter" w:cs="inter" w:ascii="inter" w:hAnsi="inter"/>
          <w:b/>
          <w:color w:val="000000"/>
          <w:sz w:val="21"/>
        </w:rPr>
        <w:t xml:space="preserve">Generative AI Delivery Team</w:t>
      </w:r>
      <w:r>
        <w:rPr>
          <w:rFonts w:eastAsia="inter" w:cs="inter" w:ascii="inter" w:hAnsi="inter"/>
          <w:color w:val="000000"/>
          <w:sz w:val="21"/>
        </w:rPr>
        <w:t xml:space="preserve">: Positioned as "at the forefront of applied AI innovation," supporting leading Israeli organizations in designing, building, and deploying advanced AI and data-driven solutions. The team combines "deep technical expertise with strong business orientation."</w:t>
      </w:r>
      <w:bookmarkStart w:id="23" w:name="fnref8_1"/>
      <w:bookmarkEnd w:id="23"/>
      <w:hyperlink w:anchor="fn8">
        <w:r>
          <w:rPr>
            <w:rFonts w:eastAsia="inter" w:cs="inter" w:ascii="inter" w:hAnsi="inter"/>
            <w:color w:val="#000"/>
            <w:sz w:val="21"/>
            <w:u w:val="single"/>
            <w:vertAlign w:val="superscript"/>
          </w:rPr>
          <w:t xml:space="preserve">[8]</w:t>
        </w:r>
      </w:hyperlink>
    </w:p>
    <w:p>
      <w:pPr>
        <w:spacing w:line="360" w:before="315" w:after="105" w:lineRule="auto"/>
        <w:ind w:left="-30"/>
        <w:jc w:val="left"/>
      </w:pPr>
      <w:bookmarkStart w:id="24" w:name="bm_2_3_strategic_acquisition_q_v_bad9a5"/>
      <w:r>
        <w:rPr>
          <w:rFonts w:eastAsia="inter" w:cs="inter" w:ascii="inter" w:hAnsi="inter"/>
          <w:b/>
          <w:color w:val="000000"/>
          <w:sz w:val="24"/>
        </w:rPr>
        <w:t xml:space="preserve">2.3 Strategic Acquisition: Q.V. Technologies (August 2025)</w:t>
      </w:r>
      <w:bookmarkEnd w:id="24"/>
    </w:p>
    <w:p>
      <w:pPr>
        <w:spacing w:line="360" w:after="210" w:lineRule="auto"/>
      </w:pPr>
      <w:r>
        <w:rPr>
          <w:rFonts w:eastAsia="inter" w:cs="inter" w:ascii="inter" w:hAnsi="inter"/>
          <w:color w:val="000000"/>
        </w:rPr>
        <w:t xml:space="preserve">In a revealing move that demonstrates commitment to technical depth, KPMG acquired Israeli startup Q.V. Technologies, a specialist in AI-integrated SAP solutions. This acquisition is instructive:</w:t>
      </w:r>
    </w:p>
    <w:p>
      <w:pPr>
        <w:numPr>
          <w:ilvl w:val="0"/>
          <w:numId w:val="5"/>
        </w:numPr>
        <w:spacing w:line="360" w:after="210" w:lineRule="auto"/>
      </w:pPr>
      <w:r>
        <w:rPr>
          <w:rFonts w:eastAsia="inter" w:cs="inter" w:ascii="inter" w:hAnsi="inter"/>
          <w:b/>
          <w:color w:val="000000"/>
          <w:sz w:val="21"/>
        </w:rPr>
        <w:t xml:space="preserve">Capability Gap</w:t>
      </w:r>
      <w:r>
        <w:rPr>
          <w:rFonts w:eastAsia="inter" w:cs="inter" w:ascii="inter" w:hAnsi="inter"/>
          <w:color w:val="000000"/>
          <w:sz w:val="21"/>
        </w:rPr>
        <w:t xml:space="preserve">: Q.V. developed AI-driven solutions for S/4HANA and enterprise information systems—indicating KPMG identified a gap in SAP+AI delivery that required acquisition rather than organic development.</w:t>
      </w:r>
    </w:p>
    <w:p>
      <w:pPr>
        <w:numPr>
          <w:ilvl w:val="0"/>
          <w:numId w:val="5"/>
        </w:numPr>
        <w:spacing w:line="360" w:after="210" w:lineRule="auto"/>
      </w:pPr>
      <w:r>
        <w:rPr>
          <w:rFonts w:eastAsia="inter" w:cs="inter" w:ascii="inter" w:hAnsi="inter"/>
          <w:b/>
          <w:color w:val="000000"/>
          <w:sz w:val="21"/>
        </w:rPr>
        <w:t xml:space="preserve">Strategic Intent</w:t>
      </w:r>
      <w:r>
        <w:rPr>
          <w:rFonts w:eastAsia="inter" w:cs="inter" w:ascii="inter" w:hAnsi="inter"/>
          <w:color w:val="000000"/>
          <w:sz w:val="21"/>
        </w:rPr>
        <w:t xml:space="preserve">: Eran Shalev (Senior Partner) stated: "The integration of Q.V. is part of our innovation strategy to deliver an advanced value proposition across a wide range of services and capabilities. Our goal is to build the future together with our clients, not just talk about it." This signals explicit tension between advisory and implementation, with KPMG committing capital to shift toward the latter.</w:t>
      </w:r>
      <w:bookmarkStart w:id="25" w:name="fnref7_1"/>
      <w:bookmarkEnd w:id="25"/>
      <w:hyperlink w:anchor="fn7">
        <w:r>
          <w:rPr>
            <w:rFonts w:eastAsia="inter" w:cs="inter" w:ascii="inter" w:hAnsi="inter"/>
            <w:color w:val="#000"/>
            <w:sz w:val="21"/>
            <w:u w:val="single"/>
            <w:vertAlign w:val="superscript"/>
          </w:rPr>
          <w:t xml:space="preserve">[7]</w:t>
        </w:r>
      </w:hyperlink>
    </w:p>
    <w:p>
      <w:pPr>
        <w:numPr>
          <w:ilvl w:val="0"/>
          <w:numId w:val="5"/>
        </w:numPr>
        <w:spacing w:line="360" w:after="210" w:lineRule="auto"/>
      </w:pPr>
      <w:r>
        <w:rPr>
          <w:rFonts w:eastAsia="inter" w:cs="inter" w:ascii="inter" w:hAnsi="inter"/>
          <w:b/>
          <w:color w:val="000000"/>
          <w:sz w:val="21"/>
        </w:rPr>
        <w:t xml:space="preserve">Pattern of Build-Out</w:t>
      </w:r>
      <w:r>
        <w:rPr>
          <w:rFonts w:eastAsia="inter" w:cs="inter" w:ascii="inter" w:hAnsi="inter"/>
          <w:color w:val="000000"/>
          <w:sz w:val="21"/>
        </w:rPr>
        <w:t xml:space="preserve">: Q.V. follows acquisitions of Carmi Yeda (learning/organizational development) and AL Consulting (organizational consulting), suggesting a 2024-2025 consolidation strategy focused on filling service delivery gaps.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3_cloud_partnerships_google_mi_4e7908"/>
      <w:r>
        <w:rPr>
          <w:rFonts w:eastAsia="inter" w:cs="inter" w:ascii="inter" w:hAnsi="inter"/>
          <w:b/>
          <w:color w:val="000000"/>
          <w:sz w:val="24"/>
        </w:rPr>
        <w:t xml:space="preserve">3. Cloud Partnerships: Google &amp; Microsoft Alliances</w:t>
      </w:r>
      <w:bookmarkEnd w:id="26"/>
    </w:p>
    <w:p>
      <w:pPr>
        <w:spacing w:line="360" w:before="315" w:after="105" w:lineRule="auto"/>
        <w:ind w:left="-30"/>
        <w:jc w:val="left"/>
      </w:pPr>
      <w:bookmarkStart w:id="27" w:name="bm_3_1_microsoft_partner_of_the_y_48f494"/>
      <w:r>
        <w:rPr>
          <w:rFonts w:eastAsia="inter" w:cs="inter" w:ascii="inter" w:hAnsi="inter"/>
          <w:b/>
          <w:color w:val="000000"/>
          <w:sz w:val="24"/>
        </w:rPr>
        <w:t xml:space="preserve">3.1 Microsoft Partner of the Year (December 2024)</w:t>
      </w:r>
      <w:bookmarkEnd w:id="27"/>
    </w:p>
    <w:p>
      <w:pPr>
        <w:spacing w:line="360" w:after="210" w:lineRule="auto"/>
      </w:pPr>
      <w:r>
        <w:rPr>
          <w:rFonts w:eastAsia="inter" w:cs="inter" w:ascii="inter" w:hAnsi="inter"/>
          <w:color w:val="000000"/>
        </w:rPr>
        <w:t xml:space="preserve">KPMG Israel was named Microsoft's "Partner of the Year" by the technology vendor—a distinction that attests to "the strong connection between Microsoft and KPMG Edge [the technology consulting arm]" and joint market impact through "data, artificial intelligence, cloud, cyber and more."</w:t>
      </w:r>
      <w:bookmarkStart w:id="28" w:name="fnref14"/>
      <w:bookmarkEnd w:id="28"/>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color w:val="000000"/>
        </w:rPr>
        <w:t xml:space="preserve">Evidence of this partnership depth:</w:t>
      </w:r>
    </w:p>
    <w:p>
      <w:pPr>
        <w:numPr>
          <w:ilvl w:val="0"/>
          <w:numId w:val="6"/>
        </w:numPr>
        <w:spacing w:line="360" w:after="210" w:lineRule="auto"/>
      </w:pPr>
      <w:r>
        <w:rPr>
          <w:rFonts w:eastAsia="inter" w:cs="inter" w:ascii="inter" w:hAnsi="inter"/>
          <w:b/>
          <w:color w:val="000000"/>
          <w:sz w:val="21"/>
        </w:rPr>
        <w:t xml:space="preserve">Power Platform Leadership</w:t>
      </w:r>
      <w:r>
        <w:rPr>
          <w:rFonts w:eastAsia="inter" w:cs="inter" w:ascii="inter" w:hAnsi="inter"/>
          <w:color w:val="000000"/>
          <w:sz w:val="21"/>
        </w:rPr>
        <w:t xml:space="preserve">: KPMG explicitly markets itself as leading "the field of Microsoft Power Platform COE (Center of Excellence) implementation." The firm claims to have implemented hundreds of COEs across enterprises, with expertise in 360° platform management, internal team setup, regulatory characterization, and risk management.</w:t>
      </w:r>
      <w:bookmarkStart w:id="29" w:name="fnref15"/>
      <w:bookmarkEnd w:id="29"/>
      <w:hyperlink w:anchor="fn15">
        <w:r>
          <w:rPr>
            <w:rFonts w:eastAsia="inter" w:cs="inter" w:ascii="inter" w:hAnsi="inter"/>
            <w:color w:val="#000"/>
            <w:sz w:val="21"/>
            <w:u w:val="single"/>
            <w:vertAlign w:val="superscript"/>
          </w:rPr>
          <w:t xml:space="preserve">[15]</w:t>
        </w:r>
      </w:hyperlink>
    </w:p>
    <w:p>
      <w:pPr>
        <w:numPr>
          <w:ilvl w:val="0"/>
          <w:numId w:val="6"/>
        </w:numPr>
        <w:spacing w:line="360" w:after="210" w:lineRule="auto"/>
      </w:pPr>
      <w:r>
        <w:rPr>
          <w:rFonts w:eastAsia="inter" w:cs="inter" w:ascii="inter" w:hAnsi="inter"/>
          <w:b/>
          <w:color w:val="000000"/>
          <w:sz w:val="21"/>
        </w:rPr>
        <w:t xml:space="preserve">Azure OpenAI Integration</w:t>
      </w:r>
      <w:r>
        <w:rPr>
          <w:rFonts w:eastAsia="inter" w:cs="inter" w:ascii="inter" w:hAnsi="inter"/>
          <w:color w:val="000000"/>
          <w:sz w:val="21"/>
        </w:rPr>
        <w:t xml:space="preserve">: KPMG Israel leverages Microsoft Azure AI Search and Azure OpenAI Service capabilities, delivering solutions such as "Advisory Content Chat"—a proprietary retrieval-augmented generation (RAG) tool that allows secure access to internal data without replication.</w:t>
      </w:r>
      <w:bookmarkStart w:id="30" w:name="fnref16"/>
      <w:bookmarkEnd w:id="30"/>
      <w:hyperlink w:anchor="fn16">
        <w:r>
          <w:rPr>
            <w:rFonts w:eastAsia="inter" w:cs="inter" w:ascii="inter" w:hAnsi="inter"/>
            <w:color w:val="#000"/>
            <w:sz w:val="21"/>
            <w:u w:val="single"/>
            <w:vertAlign w:val="superscript"/>
          </w:rPr>
          <w:t xml:space="preserve">[16]</w:t>
        </w:r>
      </w:hyperlink>
    </w:p>
    <w:p>
      <w:pPr>
        <w:numPr>
          <w:ilvl w:val="0"/>
          <w:numId w:val="6"/>
        </w:numPr>
        <w:spacing w:line="360" w:after="210" w:lineRule="auto"/>
      </w:pPr>
      <w:r>
        <w:rPr>
          <w:rFonts w:eastAsia="inter" w:cs="inter" w:ascii="inter" w:hAnsi="inter"/>
          <w:b/>
          <w:color w:val="000000"/>
          <w:sz w:val="21"/>
        </w:rPr>
        <w:t xml:space="preserve">Microsoft Cloud for Financial Services</w:t>
      </w:r>
      <w:r>
        <w:rPr>
          <w:rFonts w:eastAsia="inter" w:cs="inter" w:ascii="inter" w:hAnsi="inter"/>
          <w:color w:val="000000"/>
          <w:sz w:val="21"/>
        </w:rPr>
        <w:t xml:space="preserve">: KPMG Israel has developed specific solutions built into Microsoft Cloud for Financial Services, addressing unified customer profiles, onboarding, engagement, and front/back-office collaboration. The firm is "leveraging our KPMG and Microsoft Digital Investment Hub to create and develop crucial sector-specific solutions."</w:t>
      </w:r>
      <w:bookmarkStart w:id="31" w:name="fnref17"/>
      <w:bookmarkEnd w:id="31"/>
      <w:hyperlink w:anchor="fn17">
        <w:r>
          <w:rPr>
            <w:rFonts w:eastAsia="inter" w:cs="inter" w:ascii="inter" w:hAnsi="inter"/>
            <w:color w:val="#000"/>
            <w:sz w:val="21"/>
            <w:u w:val="single"/>
            <w:vertAlign w:val="superscript"/>
          </w:rPr>
          <w:t xml:space="preserve">[17]</w:t>
        </w:r>
      </w:hyperlink>
    </w:p>
    <w:p>
      <w:pPr>
        <w:spacing w:line="360" w:before="315" w:after="105" w:lineRule="auto"/>
        <w:ind w:left="-30"/>
        <w:jc w:val="left"/>
      </w:pPr>
      <w:bookmarkStart w:id="32" w:name="bm_3_2_google_cloud_alliance_expa_6d86e6"/>
      <w:r>
        <w:rPr>
          <w:rFonts w:eastAsia="inter" w:cs="inter" w:ascii="inter" w:hAnsi="inter"/>
          <w:b/>
          <w:color w:val="000000"/>
          <w:sz w:val="24"/>
        </w:rPr>
        <w:t xml:space="preserve">3.2 Google Cloud Alliance: Expanded Investment (November 2024)</w:t>
      </w:r>
      <w:bookmarkEnd w:id="32"/>
    </w:p>
    <w:p>
      <w:pPr>
        <w:spacing w:line="360" w:after="210" w:lineRule="auto"/>
      </w:pPr>
      <w:r>
        <w:rPr>
          <w:rFonts w:eastAsia="inter" w:cs="inter" w:ascii="inter" w:hAnsi="inter"/>
          <w:color w:val="000000"/>
        </w:rPr>
        <w:t xml:space="preserve">KPMG announced a $100 million investment in its Google Cloud practice, estimated to drive $1 billion in incremental firm revenue. For Israel, this translates to:</w:t>
      </w:r>
      <w:bookmarkStart w:id="33" w:name="fnref18"/>
      <w:bookmarkEnd w:id="33"/>
      <w:hyperlink w:anchor="fn18">
        <w:r>
          <w:rPr>
            <w:rFonts w:eastAsia="inter" w:cs="inter" w:ascii="inter" w:hAnsi="inter"/>
            <w:color w:val="#000"/>
            <w:u w:val="single"/>
            <w:vertAlign w:val="superscript"/>
          </w:rPr>
          <w:t xml:space="preserve">[18]</w:t>
        </w:r>
      </w:hyperlink>
    </w:p>
    <w:p>
      <w:pPr>
        <w:numPr>
          <w:ilvl w:val="0"/>
          <w:numId w:val="7"/>
        </w:numPr>
        <w:spacing w:line="360" w:after="210" w:lineRule="auto"/>
      </w:pPr>
      <w:r>
        <w:rPr>
          <w:rFonts w:eastAsia="inter" w:cs="inter" w:ascii="inter" w:hAnsi="inter"/>
          <w:b/>
          <w:color w:val="000000"/>
          <w:sz w:val="21"/>
        </w:rPr>
        <w:t xml:space="preserve">Vertex AI Leadership</w:t>
      </w:r>
      <w:r>
        <w:rPr>
          <w:rFonts w:eastAsia="inter" w:cs="inter" w:ascii="inter" w:hAnsi="inter"/>
          <w:color w:val="000000"/>
          <w:sz w:val="21"/>
        </w:rPr>
        <w:t xml:space="preserve">: KPMG has successfully deployed Vertex AI Search internally and is now scaling this for clients through retrieval-augmented generation (RAG) and AI agent development.</w:t>
      </w:r>
      <w:bookmarkStart w:id="34" w:name="fnref18_1"/>
      <w:bookmarkEnd w:id="34"/>
      <w:hyperlink w:anchor="fn18">
        <w:r>
          <w:rPr>
            <w:rFonts w:eastAsia="inter" w:cs="inter" w:ascii="inter" w:hAnsi="inter"/>
            <w:color w:val="#000"/>
            <w:sz w:val="21"/>
            <w:u w:val="single"/>
            <w:vertAlign w:val="superscript"/>
          </w:rPr>
          <w:t xml:space="preserve">[18]</w:t>
        </w:r>
      </w:hyperlink>
    </w:p>
    <w:p>
      <w:pPr>
        <w:numPr>
          <w:ilvl w:val="0"/>
          <w:numId w:val="7"/>
        </w:numPr>
        <w:spacing w:line="360" w:after="210" w:lineRule="auto"/>
      </w:pPr>
      <w:r>
        <w:rPr>
          <w:rFonts w:eastAsia="inter" w:cs="inter" w:ascii="inter" w:hAnsi="inter"/>
          <w:b/>
          <w:color w:val="000000"/>
          <w:sz w:val="21"/>
        </w:rPr>
        <w:t xml:space="preserve">Agentspace Deployment Partner</w:t>
      </w:r>
      <w:r>
        <w:rPr>
          <w:rFonts w:eastAsia="inter" w:cs="inter" w:ascii="inter" w:hAnsi="inter"/>
          <w:color w:val="000000"/>
          <w:sz w:val="21"/>
        </w:rPr>
        <w:t xml:space="preserve">: As a "key deployment partner for Google Agentspace," KPMG is supporting clients in building integrated, scalable AI platforms using Agentspace, Vertex AI Agent Builder, and the Agent Development Kit (A2A protocol).</w:t>
      </w:r>
      <w:bookmarkStart w:id="35" w:name="fnref19"/>
      <w:bookmarkEnd w:id="35"/>
      <w:hyperlink w:anchor="fn19">
        <w:r>
          <w:rPr>
            <w:rFonts w:eastAsia="inter" w:cs="inter" w:ascii="inter" w:hAnsi="inter"/>
            <w:color w:val="#000"/>
            <w:sz w:val="21"/>
            <w:u w:val="single"/>
            <w:vertAlign w:val="superscript"/>
          </w:rPr>
          <w:t xml:space="preserve">[19]</w:t>
        </w:r>
      </w:hyperlink>
    </w:p>
    <w:p>
      <w:pPr>
        <w:numPr>
          <w:ilvl w:val="0"/>
          <w:numId w:val="7"/>
        </w:numPr>
        <w:spacing w:line="360" w:after="210" w:lineRule="auto"/>
      </w:pPr>
      <w:r>
        <w:rPr>
          <w:rFonts w:eastAsia="inter" w:cs="inter" w:ascii="inter" w:hAnsi="inter"/>
          <w:b/>
          <w:color w:val="000000"/>
          <w:sz w:val="21"/>
        </w:rPr>
        <w:t xml:space="preserve">Regional Expansion</w:t>
      </w:r>
      <w:r>
        <w:rPr>
          <w:rFonts w:eastAsia="inter" w:cs="inter" w:ascii="inter" w:hAnsi="inter"/>
          <w:color w:val="000000"/>
          <w:sz w:val="21"/>
        </w:rPr>
        <w:t xml:space="preserve">: KPMG Middle East announced expanded Google Cloud adoption in November 2025, with focus areas including financial services, energy, government, and retail—sectors where KPMG Israel has deep local expertise.</w:t>
      </w:r>
      <w:bookmarkStart w:id="36" w:name="fnref20"/>
      <w:bookmarkEnd w:id="36"/>
      <w:hyperlink w:anchor="fn20">
        <w:r>
          <w:rPr>
            <w:rFonts w:eastAsia="inter" w:cs="inter" w:ascii="inter" w:hAnsi="inter"/>
            <w:color w:val="#000"/>
            <w:sz w:val="21"/>
            <w:u w:val="single"/>
            <w:vertAlign w:val="superscript"/>
          </w:rPr>
          <w:t xml:space="preserve">[20]</w:t>
        </w:r>
      </w:hyperlink>
    </w:p>
    <w:p>
      <w:pPr>
        <w:spacing w:line="360" w:before="315" w:after="105" w:lineRule="auto"/>
        <w:ind w:left="-30"/>
        <w:jc w:val="left"/>
      </w:pPr>
      <w:bookmarkStart w:id="37" w:name="bm_3_3_project_nimbus_government_ab0985"/>
      <w:r>
        <w:rPr>
          <w:rFonts w:eastAsia="inter" w:cs="inter" w:ascii="inter" w:hAnsi="inter"/>
          <w:b/>
          <w:color w:val="000000"/>
          <w:sz w:val="24"/>
        </w:rPr>
        <w:t xml:space="preserve">3.3 Project Nimbus: Government Cloud Anchor Role</w:t>
      </w:r>
      <w:bookmarkEnd w:id="37"/>
    </w:p>
    <w:p>
      <w:pPr>
        <w:spacing w:line="360" w:after="210" w:lineRule="auto"/>
      </w:pPr>
      <w:r>
        <w:rPr>
          <w:rFonts w:eastAsia="inter" w:cs="inter" w:ascii="inter" w:hAnsi="inter"/>
          <w:color w:val="000000"/>
        </w:rPr>
        <w:t xml:space="preserve">In 2021, Israel's government selected AWS and Google Cloud to deliver a $1.2 billion cloud infrastructure project ("Project Nimbus"). Critically, </w:t>
      </w:r>
      <w:r>
        <w:rPr>
          <w:rFonts w:eastAsia="inter" w:cs="inter" w:ascii="inter" w:hAnsi="inter"/>
          <w:b/>
          <w:color w:val="000000"/>
        </w:rPr>
        <w:t xml:space="preserve">KPMG-Somekh Chaikin won the consulting bid to establish a Cloud Center of Excellence and government cloud migration strategy</w:t>
      </w:r>
      <w:r>
        <w:rPr>
          <w:rFonts w:eastAsia="inter" w:cs="inter" w:ascii="inter" w:hAnsi="inter"/>
          <w:color w:val="000000"/>
        </w:rPr>
        <w:t xml:space="preserve">, competing against EY, McKinsey, and HPE.</w:t>
      </w:r>
      <w:bookmarkStart w:id="38" w:name="fnref21"/>
      <w:bookmarkEnd w:id="38"/>
      <w:hyperlink w:anchor="fn21">
        <w:r>
          <w:rPr>
            <w:rFonts w:eastAsia="inter" w:cs="inter" w:ascii="inter" w:hAnsi="inter"/>
            <w:color w:val="#000"/>
            <w:u w:val="single"/>
            <w:vertAlign w:val="superscript"/>
          </w:rPr>
          <w:t xml:space="preserve">[21]</w:t>
        </w:r>
      </w:hyperlink>
      <w:bookmarkStart w:id="39" w:name="fnref22"/>
      <w:bookmarkEnd w:id="39"/>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color w:val="000000"/>
        </w:rPr>
        <w:t xml:space="preserve">This positioning is strategically significant:</w:t>
      </w:r>
    </w:p>
    <w:p>
      <w:pPr>
        <w:numPr>
          <w:ilvl w:val="0"/>
          <w:numId w:val="8"/>
        </w:numPr>
        <w:spacing w:line="360" w:after="210" w:lineRule="auto"/>
      </w:pPr>
      <w:r>
        <w:rPr>
          <w:rFonts w:eastAsia="inter" w:cs="inter" w:ascii="inter" w:hAnsi="inter"/>
          <w:b/>
          <w:color w:val="000000"/>
          <w:sz w:val="21"/>
        </w:rPr>
        <w:t xml:space="preserve">Government-Adjacent Status</w:t>
      </w:r>
      <w:r>
        <w:rPr>
          <w:rFonts w:eastAsia="inter" w:cs="inter" w:ascii="inter" w:hAnsi="inter"/>
          <w:color w:val="000000"/>
          <w:sz w:val="21"/>
        </w:rPr>
        <w:t xml:space="preserve">: KPMG is embedded in Israel's highest-stakes digital infrastructure project, giving the firm intimate knowledge of public-sector requirements, regulatory constraints, and enterprise-scale migration patterns.</w:t>
      </w:r>
    </w:p>
    <w:p>
      <w:pPr>
        <w:numPr>
          <w:ilvl w:val="0"/>
          <w:numId w:val="8"/>
        </w:numPr>
        <w:spacing w:line="360" w:after="210" w:lineRule="auto"/>
      </w:pPr>
      <w:r>
        <w:rPr>
          <w:rFonts w:eastAsia="inter" w:cs="inter" w:ascii="inter" w:hAnsi="inter"/>
          <w:b/>
          <w:color w:val="000000"/>
          <w:sz w:val="21"/>
        </w:rPr>
        <w:t xml:space="preserve">Competitive Intelligence</w:t>
      </w:r>
      <w:r>
        <w:rPr>
          <w:rFonts w:eastAsia="inter" w:cs="inter" w:ascii="inter" w:hAnsi="inter"/>
          <w:color w:val="000000"/>
          <w:sz w:val="21"/>
        </w:rPr>
        <w:t xml:space="preserve">: As the firm designing the government's cloud migration framework, KPMG gains first-mover advantage in understanding how Israeli public institutions will adopt cloud and AI technologies.</w:t>
      </w:r>
    </w:p>
    <w:p>
      <w:pPr>
        <w:numPr>
          <w:ilvl w:val="0"/>
          <w:numId w:val="8"/>
        </w:numPr>
        <w:spacing w:line="360" w:after="210" w:lineRule="auto"/>
      </w:pPr>
      <w:r>
        <w:rPr>
          <w:rFonts w:eastAsia="inter" w:cs="inter" w:ascii="inter" w:hAnsi="inter"/>
          <w:b/>
          <w:color w:val="000000"/>
          <w:sz w:val="21"/>
        </w:rPr>
        <w:t xml:space="preserve">Recurring Revenue</w:t>
      </w:r>
      <w:r>
        <w:rPr>
          <w:rFonts w:eastAsia="inter" w:cs="inter" w:ascii="inter" w:hAnsi="inter"/>
          <w:color w:val="000000"/>
          <w:sz w:val="21"/>
        </w:rPr>
        <w:t xml:space="preserve">: This engagement likely positions KPMG as the natural advisor for subsequent phases of Nimbus and government AI/digital initiatives.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bm_4_sector_leadership_insurance_fc4bb3"/>
      <w:r>
        <w:rPr>
          <w:rFonts w:eastAsia="inter" w:cs="inter" w:ascii="inter" w:hAnsi="inter"/>
          <w:b/>
          <w:color w:val="000000"/>
          <w:sz w:val="24"/>
        </w:rPr>
        <w:t xml:space="preserve">4. Sector Leadership: Insurance/Fintech as Flagship Expertise</w:t>
      </w:r>
      <w:bookmarkEnd w:id="40"/>
    </w:p>
    <w:p>
      <w:pPr>
        <w:spacing w:line="360" w:before="315" w:after="105" w:lineRule="auto"/>
        <w:ind w:left="-30"/>
        <w:jc w:val="left"/>
      </w:pPr>
      <w:bookmarkStart w:id="41" w:name="bm_4_1_ilanit_adesman_navon_head_d0fcc9"/>
      <w:r>
        <w:rPr>
          <w:rFonts w:eastAsia="inter" w:cs="inter" w:ascii="inter" w:hAnsi="inter"/>
          <w:b/>
          <w:color w:val="000000"/>
          <w:sz w:val="24"/>
        </w:rPr>
        <w:t xml:space="preserve">4.1 Ilanit Adesman-Navon: Head of Insurance &amp; Fintech</w:t>
      </w:r>
      <w:bookmarkEnd w:id="41"/>
    </w:p>
    <w:p>
      <w:pPr>
        <w:spacing w:line="360" w:after="210" w:lineRule="auto"/>
      </w:pPr>
      <w:r>
        <w:rPr>
          <w:rFonts w:eastAsia="inter" w:cs="inter" w:ascii="inter" w:hAnsi="inter"/>
          <w:color w:val="000000"/>
        </w:rPr>
        <w:t xml:space="preserve">The identification of </w:t>
      </w:r>
      <w:r>
        <w:rPr>
          <w:rFonts w:eastAsia="inter" w:cs="inter" w:ascii="inter" w:hAnsi="inter"/>
          <w:b/>
          <w:color w:val="000000"/>
        </w:rPr>
        <w:t xml:space="preserve">Ilanit Adesman-Navon</w:t>
      </w:r>
      <w:r>
        <w:rPr>
          <w:rFonts w:eastAsia="inter" w:cs="inter" w:ascii="inter" w:hAnsi="inter"/>
          <w:color w:val="000000"/>
        </w:rPr>
        <w:t xml:space="preserve"> as Head of Insurance and Fintech at KPMG Israel is critical. This leader is visible in global thought leadership conversations on AI's role in insurance transformation:</w:t>
      </w:r>
    </w:p>
    <w:p>
      <w:pPr>
        <w:spacing w:line="360" w:after="210" w:lineRule="auto"/>
      </w:pPr>
      <w:r>
        <w:rPr>
          <w:rFonts w:eastAsia="inter" w:cs="inter" w:ascii="inter" w:hAnsi="inter"/>
          <w:b/>
          <w:color w:val="000000"/>
        </w:rPr>
        <w:t xml:space="preserve">Quote from KPMG International</w:t>
      </w:r>
      <w:r>
        <w:rPr>
          <w:rFonts w:eastAsia="inter" w:cs="inter" w:ascii="inter" w:hAnsi="inter"/>
          <w:color w:val="000000"/>
        </w:rPr>
        <w:t xml:space="preserve">: "AI goes beyond just prompting agents to answer queries. AI can be trained to understand sentiment, empathize with the customer situation, then guide agents to the most relevant, personalized offers — all of which could be done in real time."</w:t>
      </w:r>
      <w:bookmarkStart w:id="42" w:name="fnref23"/>
      <w:bookmarkEnd w:id="42"/>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This framing—moving from "better answers" to "sentiment understanding" and "real-time personalization"—reveals sophisticated AI capability thinking, not basic chatbot deployment.</w:t>
      </w:r>
    </w:p>
    <w:p>
      <w:pPr>
        <w:spacing w:line="360" w:before="315" w:after="105" w:lineRule="auto"/>
        <w:ind w:left="-30"/>
        <w:jc w:val="left"/>
      </w:pPr>
      <w:bookmarkStart w:id="43" w:name="bm_4_2_insurance_sector_ai_applications"/>
      <w:r>
        <w:rPr>
          <w:rFonts w:eastAsia="inter" w:cs="inter" w:ascii="inter" w:hAnsi="inter"/>
          <w:b/>
          <w:color w:val="000000"/>
          <w:sz w:val="24"/>
        </w:rPr>
        <w:t xml:space="preserve">4.2 Insurance Sector AI Applications</w:t>
      </w:r>
      <w:bookmarkEnd w:id="43"/>
    </w:p>
    <w:p>
      <w:pPr>
        <w:spacing w:line="360" w:after="210" w:lineRule="auto"/>
      </w:pPr>
      <w:r>
        <w:rPr>
          <w:rFonts w:eastAsia="inter" w:cs="inter" w:ascii="inter" w:hAnsi="inter"/>
          <w:color w:val="000000"/>
        </w:rPr>
        <w:t xml:space="preserve">KPMG's insurance AI strategy in Israel aligns with global best practices but with local regulatory context: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Application Area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KPMG Capability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Market Driver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Claims Processing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Automation via machine learning; fraud detection; death certificate analysis; payout streamlining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52% of insurers identify AI as key technology for next 3 years</w:t>
            </w:r>
            <w:hyperlink w:anchor="fn24">
              <w:r>
                <w:rPr>
                  <w:rFonts w:eastAsia="inter" w:cs="inter" w:ascii="inter" w:hAnsi="inter"/>
                  <w:color w:val="#000"/>
                  <w:sz w:val="17"/>
                  <w:u w:val="single"/>
                  <w:vertAlign w:val="superscript"/>
                </w:rPr>
                <w:t xml:space="preserve">[24]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Underwriting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Real-time risk assessment; analysis of telematics, IoT, geospatial data; behavioral underwriting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Insurers can now underwrite faster, more precisely, with broader data sets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Next Best Offer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Sentiment analysis + empathy training; personalized recommendations in real time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Transformation of customer interactions into data-driven experiences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Regulatory Compliance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AI-powered regulatory document review; real-time monitoring of changing regulations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73% of insurance CEOs prioritize AI investment</w:t>
            </w:r>
            <w:hyperlink w:anchor="fn24">
              <w:r>
                <w:rPr>
                  <w:rFonts w:eastAsia="inter" w:cs="inter" w:ascii="inter" w:hAnsi="inter"/>
                  <w:color w:val="#000"/>
                  <w:sz w:val="17"/>
                  <w:u w:val="single"/>
                  <w:vertAlign w:val="superscript"/>
                </w:rPr>
                <w:t xml:space="preserve">[24]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Fraud Detection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Pattern recognition across claim populations; anomaly identification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Fraud costs insurers ~$14 billion annually globally</w:t>
            </w:r>
            <w:hyperlink w:anchor="fn24">
              <w:r>
                <w:rPr>
                  <w:rFonts w:eastAsia="inter" w:cs="inter" w:ascii="inter" w:hAnsi="inter"/>
                  <w:color w:val="#000"/>
                  <w:sz w:val="17"/>
                  <w:u w:val="single"/>
                  <w:vertAlign w:val="superscript"/>
                </w:rPr>
                <w:t xml:space="preserve">[24]</w:t>
              </w:r>
            </w:hyperlink>
          </w:p>
        </w:tc>
      </w:tr>
    </w:tbl>
    <w:p>
      <w:pPr>
        <w:spacing w:lineRule="auto"/>
      </w:pPr>
    </w:p>
    <w:p>
      <w:pPr>
        <w:spacing w:line="360" w:before="315" w:after="105" w:lineRule="auto"/>
        <w:ind w:left="-30"/>
        <w:jc w:val="left"/>
      </w:pPr>
      <w:bookmarkStart w:id="44" w:name="bm_4_3_banking_regulatory_tech"/>
      <w:r>
        <w:rPr>
          <w:rFonts w:eastAsia="inter" w:cs="inter" w:ascii="inter" w:hAnsi="inter"/>
          <w:b/>
          <w:color w:val="000000"/>
          <w:sz w:val="24"/>
        </w:rPr>
        <w:t xml:space="preserve">4.3 Banking &amp; Regulatory Tech</w:t>
      </w:r>
      <w:bookmarkEnd w:id="44"/>
    </w:p>
    <w:p>
      <w:pPr>
        <w:spacing w:line="360" w:after="210" w:lineRule="auto"/>
      </w:pPr>
      <w:r>
        <w:rPr>
          <w:rFonts w:eastAsia="inter" w:cs="inter" w:ascii="inter" w:hAnsi="inter"/>
          <w:color w:val="000000"/>
        </w:rPr>
        <w:t xml:space="preserve">Beyond insurance, KPMG Israel operates a "Risk Management and Internal Audit Consulting" division (GRCS) that explicitly:</w:t>
      </w:r>
    </w:p>
    <w:p>
      <w:pPr>
        <w:numPr>
          <w:ilvl w:val="0"/>
          <w:numId w:val="9"/>
        </w:numPr>
        <w:spacing w:line="360" w:before="105" w:after="105" w:lineRule="auto"/>
      </w:pPr>
      <w:r>
        <w:rPr>
          <w:rFonts w:eastAsia="inter" w:cs="inter" w:ascii="inter" w:hAnsi="inter"/>
          <w:color w:val="000000"/>
          <w:sz w:val="21"/>
        </w:rPr>
        <w:t xml:space="preserve">Advises boards on implementing risk management methods</w:t>
      </w:r>
    </w:p>
    <w:p>
      <w:pPr>
        <w:numPr>
          <w:ilvl w:val="0"/>
          <w:numId w:val="9"/>
        </w:numPr>
        <w:spacing w:line="360" w:before="105" w:after="105" w:lineRule="auto"/>
      </w:pPr>
      <w:r>
        <w:rPr>
          <w:rFonts w:eastAsia="inter" w:cs="inter" w:ascii="inter" w:hAnsi="inter"/>
          <w:color w:val="000000"/>
          <w:sz w:val="21"/>
        </w:rPr>
        <w:t xml:space="preserve">Supports banking corporations on risk management enhancement</w:t>
      </w:r>
    </w:p>
    <w:p>
      <w:pPr>
        <w:numPr>
          <w:ilvl w:val="0"/>
          <w:numId w:val="9"/>
        </w:numPr>
        <w:spacing w:line="360" w:before="105" w:after="105" w:lineRule="auto"/>
      </w:pPr>
      <w:r>
        <w:rPr>
          <w:rFonts w:eastAsia="inter" w:cs="inter" w:ascii="inter" w:hAnsi="inter"/>
          <w:color w:val="000000"/>
          <w:sz w:val="21"/>
        </w:rPr>
        <w:t xml:space="preserve">Implements Basel instructions, assesses capital adequacy and leverage</w:t>
      </w:r>
    </w:p>
    <w:p>
      <w:pPr>
        <w:numPr>
          <w:ilvl w:val="0"/>
          <w:numId w:val="9"/>
        </w:numPr>
        <w:spacing w:line="360" w:before="105" w:after="105" w:lineRule="auto"/>
      </w:pPr>
      <w:r>
        <w:rPr>
          <w:rFonts w:eastAsia="inter" w:cs="inter" w:ascii="inter" w:hAnsi="inter"/>
          <w:color w:val="000000"/>
          <w:sz w:val="21"/>
        </w:rPr>
        <w:t xml:space="preserve">"Fosters innovation in regulations and accompanies startups in the field of REGTECH"</w:t>
      </w:r>
      <w:bookmarkStart w:id="45" w:name="fnref25"/>
      <w:bookmarkEnd w:id="45"/>
      <w:hyperlink w:anchor="fn25">
        <w:r>
          <w:rPr>
            <w:rFonts w:eastAsia="inter" w:cs="inter" w:ascii="inter" w:hAnsi="inter"/>
            <w:color w:val="#000"/>
            <w:sz w:val="21"/>
            <w:u w:val="single"/>
            <w:vertAlign w:val="superscript"/>
          </w:rPr>
          <w:t xml:space="preserve">[25]</w:t>
        </w:r>
      </w:hyperlink>
    </w:p>
    <w:p>
      <w:pPr>
        <w:spacing w:line="360" w:after="210" w:lineRule="auto"/>
      </w:pPr>
      <w:r>
        <w:rPr>
          <w:rFonts w:eastAsia="inter" w:cs="inter" w:ascii="inter" w:hAnsi="inter"/>
          <w:color w:val="000000"/>
        </w:rPr>
        <w:t xml:space="preserve">This positioning—as both risk advisor and RegTech innovation partner—mirrors KPMG's global dual role in financial services.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bm_5_industrial_ai_esg_emerging_c_3a946e"/>
      <w:r>
        <w:rPr>
          <w:rFonts w:eastAsia="inter" w:cs="inter" w:ascii="inter" w:hAnsi="inter"/>
          <w:b/>
          <w:color w:val="000000"/>
          <w:sz w:val="24"/>
        </w:rPr>
        <w:t xml:space="preserve">5. Industrial AI &amp; ESG: Emerging Competency</w:t>
      </w:r>
      <w:bookmarkEnd w:id="46"/>
    </w:p>
    <w:p>
      <w:pPr>
        <w:spacing w:line="360" w:before="315" w:after="105" w:lineRule="auto"/>
        <w:ind w:left="-30"/>
        <w:jc w:val="left"/>
      </w:pPr>
      <w:bookmarkStart w:id="47" w:name="bm_5_1_energy_infrastructure_team"/>
      <w:r>
        <w:rPr>
          <w:rFonts w:eastAsia="inter" w:cs="inter" w:ascii="inter" w:hAnsi="inter"/>
          <w:b/>
          <w:color w:val="000000"/>
          <w:sz w:val="24"/>
        </w:rPr>
        <w:t xml:space="preserve">5.1 Energy &amp; Infrastructure Team</w:t>
      </w:r>
      <w:bookmarkEnd w:id="47"/>
    </w:p>
    <w:p>
      <w:pPr>
        <w:spacing w:line="360" w:after="210" w:lineRule="auto"/>
      </w:pPr>
      <w:r>
        <w:rPr>
          <w:rFonts w:eastAsia="inter" w:cs="inter" w:ascii="inter" w:hAnsi="inter"/>
          <w:color w:val="000000"/>
        </w:rPr>
        <w:t xml:space="preserve">KPMG Israel maintains a dedicated Communications &amp; Energy team led by sector-specialist partners. This team:</w:t>
      </w:r>
    </w:p>
    <w:p>
      <w:pPr>
        <w:numPr>
          <w:ilvl w:val="0"/>
          <w:numId w:val="10"/>
        </w:numPr>
        <w:spacing w:line="360" w:before="105" w:after="105" w:lineRule="auto"/>
      </w:pPr>
      <w:r>
        <w:rPr>
          <w:rFonts w:eastAsia="inter" w:cs="inter" w:ascii="inter" w:hAnsi="inter"/>
          <w:color w:val="000000"/>
          <w:sz w:val="21"/>
        </w:rPr>
        <w:t xml:space="preserve">Works with renewable energy producers, private power plants, oil and gas companies, and communications giants</w:t>
      </w:r>
    </w:p>
    <w:p>
      <w:pPr>
        <w:numPr>
          <w:ilvl w:val="0"/>
          <w:numId w:val="10"/>
        </w:numPr>
        <w:spacing w:line="360" w:before="105" w:after="105" w:lineRule="auto"/>
      </w:pPr>
      <w:r>
        <w:rPr>
          <w:rFonts w:eastAsia="inter" w:cs="inter" w:ascii="inter" w:hAnsi="inter"/>
          <w:color w:val="000000"/>
          <w:sz w:val="21"/>
        </w:rPr>
        <w:t xml:space="preserve">Conducts M&amp;A, IPO guidance, and cross-border operations for energy clients</w:t>
      </w:r>
    </w:p>
    <w:p>
      <w:pPr>
        <w:numPr>
          <w:ilvl w:val="0"/>
          <w:numId w:val="10"/>
        </w:numPr>
        <w:spacing w:line="360" w:before="105" w:after="105" w:lineRule="auto"/>
      </w:pPr>
      <w:r>
        <w:rPr>
          <w:rFonts w:eastAsia="inter" w:cs="inter" w:ascii="inter" w:hAnsi="inter"/>
          <w:color w:val="000000"/>
          <w:sz w:val="21"/>
        </w:rPr>
        <w:t xml:space="preserve">Provides audit and consulting services to Israel's largest infrastructure entities</w:t>
      </w:r>
    </w:p>
    <w:p>
      <w:pPr>
        <w:numPr>
          <w:ilvl w:val="0"/>
          <w:numId w:val="10"/>
        </w:numPr>
        <w:spacing w:line="360" w:before="105" w:after="105" w:lineRule="auto"/>
      </w:pPr>
      <w:r>
        <w:rPr>
          <w:rFonts w:eastAsia="inter" w:cs="inter" w:ascii="inter" w:hAnsi="inter"/>
          <w:color w:val="000000"/>
          <w:sz w:val="21"/>
        </w:rPr>
        <w:t xml:space="preserve">Is "deeply engaged in one of the most dynamic sectors of the global economy—energy"</w:t>
      </w:r>
      <w:bookmarkStart w:id="48" w:name="fnref26"/>
      <w:bookmarkEnd w:id="48"/>
      <w:hyperlink w:anchor="fn26">
        <w:r>
          <w:rPr>
            <w:rFonts w:eastAsia="inter" w:cs="inter" w:ascii="inter" w:hAnsi="inter"/>
            <w:color w:val="#000"/>
            <w:sz w:val="21"/>
            <w:u w:val="single"/>
            <w:vertAlign w:val="superscript"/>
          </w:rPr>
          <w:t xml:space="preserve">[26]</w:t>
        </w:r>
      </w:hyperlink>
    </w:p>
    <w:p>
      <w:pPr>
        <w:spacing w:line="360" w:after="210" w:lineRule="auto"/>
      </w:pPr>
      <w:r>
        <w:rPr>
          <w:rFonts w:eastAsia="inter" w:cs="inter" w:ascii="inter" w:hAnsi="inter"/>
          <w:color w:val="000000"/>
        </w:rPr>
        <w:t xml:space="preserve">While specific AI implementations in energy are not detailed in public sources, the structural presence and sector expertise position KPMG Israel as capable of deploying AI for:</w:t>
      </w:r>
    </w:p>
    <w:p>
      <w:pPr>
        <w:numPr>
          <w:ilvl w:val="0"/>
          <w:numId w:val="11"/>
        </w:numPr>
        <w:spacing w:line="360" w:before="105" w:after="105" w:lineRule="auto"/>
      </w:pPr>
      <w:r>
        <w:rPr>
          <w:rFonts w:eastAsia="inter" w:cs="inter" w:ascii="inter" w:hAnsi="inter"/>
          <w:color w:val="000000"/>
          <w:sz w:val="21"/>
        </w:rPr>
        <w:t xml:space="preserve">Predictive maintenance and asset optimization</w:t>
      </w:r>
    </w:p>
    <w:p>
      <w:pPr>
        <w:numPr>
          <w:ilvl w:val="0"/>
          <w:numId w:val="11"/>
        </w:numPr>
        <w:spacing w:line="360" w:before="105" w:after="105" w:lineRule="auto"/>
      </w:pPr>
      <w:r>
        <w:rPr>
          <w:rFonts w:eastAsia="inter" w:cs="inter" w:ascii="inter" w:hAnsi="inter"/>
          <w:color w:val="000000"/>
          <w:sz w:val="21"/>
        </w:rPr>
        <w:t xml:space="preserve">Demand forecasting and grid optimization</w:t>
      </w:r>
    </w:p>
    <w:p>
      <w:pPr>
        <w:numPr>
          <w:ilvl w:val="0"/>
          <w:numId w:val="11"/>
        </w:numPr>
        <w:spacing w:line="360" w:before="105" w:after="105" w:lineRule="auto"/>
      </w:pPr>
      <w:r>
        <w:rPr>
          <w:rFonts w:eastAsia="inter" w:cs="inter" w:ascii="inter" w:hAnsi="inter"/>
          <w:color w:val="000000"/>
          <w:sz w:val="21"/>
        </w:rPr>
        <w:t xml:space="preserve">Supply chain intelligence</w:t>
      </w:r>
    </w:p>
    <w:p>
      <w:pPr>
        <w:numPr>
          <w:ilvl w:val="0"/>
          <w:numId w:val="11"/>
        </w:numPr>
        <w:spacing w:line="360" w:before="105" w:after="105" w:lineRule="auto"/>
      </w:pPr>
      <w:r>
        <w:rPr>
          <w:rFonts w:eastAsia="inter" w:cs="inter" w:ascii="inter" w:hAnsi="inter"/>
          <w:color w:val="000000"/>
          <w:sz w:val="21"/>
        </w:rPr>
        <w:t xml:space="preserve">ESG emissions tracking and reporting</w:t>
      </w:r>
    </w:p>
    <w:p>
      <w:pPr>
        <w:spacing w:line="360" w:before="315" w:after="105" w:lineRule="auto"/>
        <w:ind w:left="-30"/>
        <w:jc w:val="left"/>
      </w:pPr>
      <w:bookmarkStart w:id="49" w:name="bm_5_2_esg_reporting_automation"/>
      <w:r>
        <w:rPr>
          <w:rFonts w:eastAsia="inter" w:cs="inter" w:ascii="inter" w:hAnsi="inter"/>
          <w:b/>
          <w:color w:val="000000"/>
          <w:sz w:val="24"/>
        </w:rPr>
        <w:t xml:space="preserve">5.2 ESG Reporting Automation</w:t>
      </w:r>
      <w:bookmarkEnd w:id="49"/>
    </w:p>
    <w:p>
      <w:pPr>
        <w:spacing w:line="360" w:after="210" w:lineRule="auto"/>
      </w:pPr>
      <w:r>
        <w:rPr>
          <w:rFonts w:eastAsia="inter" w:cs="inter" w:ascii="inter" w:hAnsi="inter"/>
          <w:color w:val="000000"/>
        </w:rPr>
        <w:t xml:space="preserve">KPMG offers AI-driven ESG compliance solutions that directly address Israeli regulatory requirements. The firm's ESG reporting tool:</w:t>
      </w:r>
    </w:p>
    <w:p>
      <w:pPr>
        <w:numPr>
          <w:ilvl w:val="0"/>
          <w:numId w:val="12"/>
        </w:numPr>
        <w:spacing w:line="360" w:before="105" w:after="105" w:lineRule="auto"/>
      </w:pPr>
      <w:r>
        <w:rPr>
          <w:rFonts w:eastAsia="inter" w:cs="inter" w:ascii="inter" w:hAnsi="inter"/>
          <w:color w:val="000000"/>
          <w:sz w:val="21"/>
        </w:rPr>
        <w:t xml:space="preserve">Analyzes sustainability statements in 30 minutes</w:t>
      </w:r>
    </w:p>
    <w:p>
      <w:pPr>
        <w:numPr>
          <w:ilvl w:val="0"/>
          <w:numId w:val="12"/>
        </w:numPr>
        <w:spacing w:line="360" w:before="105" w:after="105" w:lineRule="auto"/>
      </w:pPr>
      <w:r>
        <w:rPr>
          <w:rFonts w:eastAsia="inter" w:cs="inter" w:ascii="inter" w:hAnsi="inter"/>
          <w:color w:val="000000"/>
          <w:sz w:val="21"/>
        </w:rPr>
        <w:t xml:space="preserve">Maps data points to Corporate Sustainability Reporting Directive (CSRD) requirements</w:t>
      </w:r>
    </w:p>
    <w:p>
      <w:pPr>
        <w:numPr>
          <w:ilvl w:val="0"/>
          <w:numId w:val="12"/>
        </w:numPr>
        <w:spacing w:line="360" w:before="105" w:after="105" w:lineRule="auto"/>
      </w:pPr>
      <w:r>
        <w:rPr>
          <w:rFonts w:eastAsia="inter" w:cs="inter" w:ascii="inter" w:hAnsi="inter"/>
          <w:color w:val="000000"/>
          <w:sz w:val="21"/>
        </w:rPr>
        <w:t xml:space="preserve">Validates data and provides compliance recommendations</w:t>
      </w:r>
    </w:p>
    <w:p>
      <w:pPr>
        <w:numPr>
          <w:ilvl w:val="0"/>
          <w:numId w:val="12"/>
        </w:numPr>
        <w:spacing w:line="360" w:before="105" w:after="105" w:lineRule="auto"/>
      </w:pPr>
      <w:r>
        <w:rPr>
          <w:rFonts w:eastAsia="inter" w:cs="inter" w:ascii="inter" w:hAnsi="inter"/>
          <w:color w:val="000000"/>
          <w:sz w:val="21"/>
        </w:rPr>
        <w:t xml:space="preserve">Benchmarks companies against peers</w:t>
      </w:r>
      <w:bookmarkStart w:id="50" w:name="fnref27"/>
      <w:bookmarkEnd w:id="50"/>
      <w:hyperlink w:anchor="fn27">
        <w:r>
          <w:rPr>
            <w:rFonts w:eastAsia="inter" w:cs="inter" w:ascii="inter" w:hAnsi="inter"/>
            <w:color w:val="#000"/>
            <w:sz w:val="21"/>
            <w:u w:val="single"/>
            <w:vertAlign w:val="superscript"/>
          </w:rPr>
          <w:t xml:space="preserve">[27]</w:t>
        </w:r>
      </w:hyperlink>
    </w:p>
    <w:p>
      <w:pPr>
        <w:spacing w:line="360" w:after="210" w:lineRule="auto"/>
      </w:pPr>
      <w:r>
        <w:rPr>
          <w:rFonts w:eastAsia="inter" w:cs="inter" w:ascii="inter" w:hAnsi="inter"/>
          <w:color w:val="000000"/>
        </w:rPr>
        <w:t xml:space="preserve">For Israeli enterprises operating in Europe or facing global ESG disclosure requirements, this becomes a material service offering.</w:t>
      </w:r>
    </w:p>
    <w:p>
      <w:pPr>
        <w:spacing w:line="360" w:before="315" w:after="105" w:lineRule="auto"/>
        <w:ind w:left="-30"/>
        <w:jc w:val="left"/>
      </w:pPr>
      <w:bookmarkStart w:id="51" w:name="bm_5_3_supply_chain_ai"/>
      <w:r>
        <w:rPr>
          <w:rFonts w:eastAsia="inter" w:cs="inter" w:ascii="inter" w:hAnsi="inter"/>
          <w:b/>
          <w:color w:val="000000"/>
          <w:sz w:val="24"/>
        </w:rPr>
        <w:t xml:space="preserve">5.3 Supply Chain AI</w:t>
      </w:r>
      <w:bookmarkEnd w:id="51"/>
    </w:p>
    <w:p>
      <w:pPr>
        <w:spacing w:line="360" w:after="210" w:lineRule="auto"/>
      </w:pPr>
      <w:r>
        <w:rPr>
          <w:rFonts w:eastAsia="inter" w:cs="inter" w:ascii="inter" w:hAnsi="inter"/>
          <w:color w:val="000000"/>
        </w:rPr>
        <w:t xml:space="preserve">KPMG's supply chain AI portfolio includes:</w:t>
      </w:r>
    </w:p>
    <w:p>
      <w:pPr>
        <w:numPr>
          <w:ilvl w:val="0"/>
          <w:numId w:val="13"/>
        </w:numPr>
        <w:spacing w:line="360" w:before="105" w:after="105" w:lineRule="auto"/>
      </w:pPr>
      <w:r>
        <w:rPr>
          <w:rFonts w:eastAsia="inter" w:cs="inter" w:ascii="inter" w:hAnsi="inter"/>
          <w:b/>
          <w:color w:val="000000"/>
          <w:sz w:val="21"/>
        </w:rPr>
        <w:t xml:space="preserve">AI Demand Planning</w:t>
      </w:r>
      <w:r>
        <w:rPr>
          <w:rFonts w:eastAsia="inter" w:cs="inter" w:ascii="inter" w:hAnsi="inter"/>
          <w:color w:val="000000"/>
          <w:sz w:val="21"/>
        </w:rPr>
        <w:t xml:space="preserve">: Cognitive demand planning, intelligent forecasting, collaboration frameworks</w:t>
      </w:r>
    </w:p>
    <w:p>
      <w:pPr>
        <w:numPr>
          <w:ilvl w:val="0"/>
          <w:numId w:val="13"/>
        </w:numPr>
        <w:spacing w:line="360" w:before="105" w:after="105" w:lineRule="auto"/>
      </w:pPr>
      <w:r>
        <w:rPr>
          <w:rFonts w:eastAsia="inter" w:cs="inter" w:ascii="inter" w:hAnsi="inter"/>
          <w:b/>
          <w:color w:val="000000"/>
          <w:sz w:val="21"/>
        </w:rPr>
        <w:t xml:space="preserve">Inventory Optimization</w:t>
      </w:r>
      <w:r>
        <w:rPr>
          <w:rFonts w:eastAsia="inter" w:cs="inter" w:ascii="inter" w:hAnsi="inter"/>
          <w:color w:val="000000"/>
          <w:sz w:val="21"/>
        </w:rPr>
        <w:t xml:space="preserve">: Machine learning-driven inventory management</w:t>
      </w:r>
    </w:p>
    <w:p>
      <w:pPr>
        <w:numPr>
          <w:ilvl w:val="0"/>
          <w:numId w:val="13"/>
        </w:numPr>
        <w:spacing w:line="360" w:before="105" w:after="105" w:lineRule="auto"/>
      </w:pPr>
      <w:r>
        <w:rPr>
          <w:rFonts w:eastAsia="inter" w:cs="inter" w:ascii="inter" w:hAnsi="inter"/>
          <w:b/>
          <w:color w:val="000000"/>
          <w:sz w:val="21"/>
        </w:rPr>
        <w:t xml:space="preserve">Cost Reduction</w:t>
      </w:r>
      <w:r>
        <w:rPr>
          <w:rFonts w:eastAsia="inter" w:cs="inter" w:ascii="inter" w:hAnsi="inter"/>
          <w:color w:val="000000"/>
          <w:sz w:val="21"/>
        </w:rPr>
        <w:t xml:space="preserve">: Prescriptive models that recommend actions to minimize costs under real-world constraints</w:t>
      </w:r>
    </w:p>
    <w:p>
      <w:pPr>
        <w:numPr>
          <w:ilvl w:val="0"/>
          <w:numId w:val="13"/>
        </w:numPr>
        <w:spacing w:line="360" w:before="105" w:after="105" w:lineRule="auto"/>
      </w:pPr>
      <w:r>
        <w:rPr>
          <w:rFonts w:eastAsia="inter" w:cs="inter" w:ascii="inter" w:hAnsi="inter"/>
          <w:b/>
          <w:color w:val="000000"/>
          <w:sz w:val="21"/>
        </w:rPr>
        <w:t xml:space="preserve">Supplier Compliance</w:t>
      </w:r>
      <w:r>
        <w:rPr>
          <w:rFonts w:eastAsia="inter" w:cs="inter" w:ascii="inter" w:hAnsi="inter"/>
          <w:color w:val="000000"/>
          <w:sz w:val="21"/>
        </w:rPr>
        <w:t xml:space="preserve">: AI monitoring of supplier emissions, regulatory adherence, ESG metrics</w:t>
      </w:r>
      <w:bookmarkStart w:id="52" w:name="fnref28"/>
      <w:bookmarkEnd w:id="52"/>
      <w:hyperlink w:anchor="fn28">
        <w:r>
          <w:rPr>
            <w:rFonts w:eastAsia="inter" w:cs="inter" w:ascii="inter" w:hAnsi="inter"/>
            <w:color w:val="#000"/>
            <w:sz w:val="21"/>
            <w:u w:val="single"/>
            <w:vertAlign w:val="superscript"/>
          </w:rPr>
          <w:t xml:space="preserve">[28]</w:t>
        </w:r>
      </w:hyperlink>
      <w:bookmarkStart w:id="53" w:name="fnref29"/>
      <w:bookmarkEnd w:id="53"/>
      <w:hyperlink w:anchor="fn29">
        <w:r>
          <w:rPr>
            <w:rFonts w:eastAsia="inter" w:cs="inter" w:ascii="inter" w:hAnsi="inter"/>
            <w:color w:val="#000"/>
            <w:sz w:val="21"/>
            <w:u w:val="single"/>
            <w:vertAlign w:val="superscript"/>
          </w:rPr>
          <w:t xml:space="preserve">[29]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bm_6_leadership_thought_leadership"/>
      <w:r>
        <w:rPr>
          <w:rFonts w:eastAsia="inter" w:cs="inter" w:ascii="inter" w:hAnsi="inter"/>
          <w:b/>
          <w:color w:val="000000"/>
          <w:sz w:val="24"/>
        </w:rPr>
        <w:t xml:space="preserve">6. Leadership &amp; Thought Leadership</w:t>
      </w:r>
      <w:bookmarkEnd w:id="54"/>
    </w:p>
    <w:p>
      <w:pPr>
        <w:spacing w:line="360" w:before="315" w:after="105" w:lineRule="auto"/>
        <w:ind w:left="-30"/>
        <w:jc w:val="left"/>
      </w:pPr>
      <w:bookmarkStart w:id="55" w:name="bm_6_1_key_figures"/>
      <w:r>
        <w:rPr>
          <w:rFonts w:eastAsia="inter" w:cs="inter" w:ascii="inter" w:hAnsi="inter"/>
          <w:b/>
          <w:color w:val="000000"/>
          <w:sz w:val="24"/>
        </w:rPr>
        <w:t xml:space="preserve">6.1 Key Figures</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Title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Focus Area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Public Presence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Dina Pasca-Raz</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Partner, Head of Technology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Technology strategy, innovation, startups, international tax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Visible in media on tech sector trends; quoted on Israeli companies in Europe</w:t>
            </w:r>
            <w:hyperlink w:anchor="fn30">
              <w:r>
                <w:rPr>
                  <w:rFonts w:eastAsia="inter" w:cs="inter" w:ascii="inter" w:hAnsi="inter"/>
                  <w:color w:val="#000"/>
                  <w:sz w:val="17"/>
                  <w:u w:val="single"/>
                  <w:vertAlign w:val="superscript"/>
                </w:rPr>
                <w:t xml:space="preserve">[30]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Eran Shalev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Senior Partner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Strategic innovation, firm leadership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Quoted on Q.V. acquisition and innovation strategy</w:t>
            </w:r>
            <w:hyperlink w:anchor="fn7">
              <w:r>
                <w:rPr>
                  <w:rFonts w:eastAsia="inter" w:cs="inter" w:ascii="inter" w:hAnsi="inter"/>
                  <w:color w:val="#000"/>
                  <w:sz w:val="17"/>
                  <w:u w:val="single"/>
                  <w:vertAlign w:val="superscript"/>
                </w:rPr>
                <w:t xml:space="preserve">[7]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Ilanit Adesman-Navon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Head of Insurance &amp; Fintech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 in insurance, next-best-offer, regulatory tech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Global KPMG thought leadership on insurance AI</w:t>
            </w:r>
            <w:hyperlink w:anchor="fn23">
              <w:r>
                <w:rPr>
                  <w:rFonts w:eastAsia="inter" w:cs="inter" w:ascii="inter" w:hAnsi="inter"/>
                  <w:color w:val="#000"/>
                  <w:sz w:val="17"/>
                  <w:u w:val="single"/>
                  <w:vertAlign w:val="superscript"/>
                </w:rPr>
                <w:t xml:space="preserve">[23]</w:t>
              </w:r>
            </w:hyperlink>
            <w:hyperlink w:anchor="fn31">
              <w:r>
                <w:rPr>
                  <w:rFonts w:eastAsia="inter" w:cs="inter" w:ascii="inter" w:hAnsi="inter"/>
                  <w:color w:val="#000"/>
                  <w:sz w:val="17"/>
                  <w:u w:val="single"/>
                  <w:vertAlign w:val="superscript"/>
                </w:rPr>
                <w:t xml:space="preserve">[31]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Gad Somekh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Chairman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Firm governance, long-term strategy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Publicly identified leadership</w:t>
            </w:r>
            <w:hyperlink w:anchor="fn6">
              <w:r>
                <w:rPr>
                  <w:rFonts w:eastAsia="inter" w:cs="inter" w:ascii="inter" w:hAnsi="inter"/>
                  <w:color w:val="#000"/>
                  <w:sz w:val="17"/>
                  <w:u w:val="single"/>
                  <w:vertAlign w:val="superscript"/>
                </w:rPr>
                <w:t xml:space="preserve">[6]</w:t>
              </w:r>
            </w:hyperlink>
          </w:p>
        </w:tc>
      </w:tr>
    </w:tbl>
    <w:p>
      <w:pPr>
        <w:spacing w:lineRule="auto"/>
      </w:pPr>
    </w:p>
    <w:p>
      <w:pPr>
        <w:spacing w:line="360" w:before="315" w:after="105" w:lineRule="auto"/>
        <w:ind w:left="-30"/>
        <w:jc w:val="left"/>
      </w:pPr>
      <w:bookmarkStart w:id="56" w:name="bm_6_2_thought_leadership_positioning"/>
      <w:r>
        <w:rPr>
          <w:rFonts w:eastAsia="inter" w:cs="inter" w:ascii="inter" w:hAnsi="inter"/>
          <w:b/>
          <w:color w:val="000000"/>
          <w:sz w:val="24"/>
        </w:rPr>
        <w:t xml:space="preserve">6.2 Thought Leadership Positioning</w:t>
      </w:r>
      <w:bookmarkEnd w:id="56"/>
    </w:p>
    <w:p>
      <w:pPr>
        <w:spacing w:line="360" w:after="210" w:lineRule="auto"/>
      </w:pPr>
      <w:r>
        <w:rPr>
          <w:rFonts w:eastAsia="inter" w:cs="inter" w:ascii="inter" w:hAnsi="inter"/>
          <w:color w:val="000000"/>
        </w:rPr>
        <w:t xml:space="preserve">KPMG Israel's leadership is visible in:</w:t>
      </w:r>
    </w:p>
    <w:p>
      <w:pPr>
        <w:numPr>
          <w:ilvl w:val="0"/>
          <w:numId w:val="14"/>
        </w:numPr>
        <w:spacing w:line="360" w:before="105" w:after="105" w:lineRule="auto"/>
      </w:pPr>
      <w:r>
        <w:rPr>
          <w:rFonts w:eastAsia="inter" w:cs="inter" w:ascii="inter" w:hAnsi="inter"/>
          <w:b/>
          <w:color w:val="000000"/>
          <w:sz w:val="21"/>
        </w:rPr>
        <w:t xml:space="preserve">KPMG International Platforms</w:t>
      </w:r>
      <w:r>
        <w:rPr>
          <w:rFonts w:eastAsia="inter" w:cs="inter" w:ascii="inter" w:hAnsi="inter"/>
          <w:color w:val="000000"/>
          <w:sz w:val="21"/>
        </w:rPr>
        <w:t xml:space="preserve">: Ilanit Adesman-Navon authored/co-authored KPMG International content on AI in insurance</w:t>
      </w:r>
    </w:p>
    <w:p>
      <w:pPr>
        <w:numPr>
          <w:ilvl w:val="0"/>
          <w:numId w:val="14"/>
        </w:numPr>
        <w:spacing w:line="360" w:before="105" w:after="105" w:lineRule="auto"/>
      </w:pPr>
      <w:r>
        <w:rPr>
          <w:rFonts w:eastAsia="inter" w:cs="inter" w:ascii="inter" w:hAnsi="inter"/>
          <w:b/>
          <w:color w:val="000000"/>
          <w:sz w:val="21"/>
        </w:rPr>
        <w:t xml:space="preserve">Industry Conferences</w:t>
      </w:r>
      <w:r>
        <w:rPr>
          <w:rFonts w:eastAsia="inter" w:cs="inter" w:ascii="inter" w:hAnsi="inter"/>
          <w:color w:val="000000"/>
          <w:sz w:val="21"/>
        </w:rPr>
        <w:t xml:space="preserve">: Leadership speaking at fintech weeks, tech conferences, insurance forums</w:t>
      </w:r>
    </w:p>
    <w:p>
      <w:pPr>
        <w:numPr>
          <w:ilvl w:val="0"/>
          <w:numId w:val="14"/>
        </w:numPr>
        <w:spacing w:line="360" w:before="105" w:after="105" w:lineRule="auto"/>
      </w:pPr>
      <w:r>
        <w:rPr>
          <w:rFonts w:eastAsia="inter" w:cs="inter" w:ascii="inter" w:hAnsi="inter"/>
          <w:b/>
          <w:color w:val="000000"/>
          <w:sz w:val="21"/>
        </w:rPr>
        <w:t xml:space="preserve">European Tech Expansion</w:t>
      </w:r>
      <w:r>
        <w:rPr>
          <w:rFonts w:eastAsia="inter" w:cs="inter" w:ascii="inter" w:hAnsi="inter"/>
          <w:color w:val="000000"/>
          <w:sz w:val="21"/>
        </w:rPr>
        <w:t xml:space="preserve">: Dina Pasca-Raz profiled in December 2025 report on Israeli tech in Europe, emphasizing "natural synergy between Israeli strengths (AI, cybersecurity) and European market needs"</w:t>
      </w:r>
      <w:bookmarkStart w:id="57" w:name="fnref30_1"/>
      <w:bookmarkEnd w:id="57"/>
      <w:hyperlink w:anchor="fn30">
        <w:r>
          <w:rPr>
            <w:rFonts w:eastAsia="inter" w:cs="inter" w:ascii="inter" w:hAnsi="inter"/>
            <w:color w:val="#000"/>
            <w:sz w:val="21"/>
            <w:u w:val="single"/>
            <w:vertAlign w:val="superscript"/>
          </w:rPr>
          <w:t xml:space="preserve">[30]</w:t>
        </w:r>
      </w:hyperlink>
    </w:p>
    <w:p>
      <w:pPr>
        <w:spacing w:line="360" w:after="210" w:lineRule="auto"/>
      </w:pPr>
      <w:r>
        <w:rPr>
          <w:rFonts w:eastAsia="inter" w:cs="inter" w:ascii="inter" w:hAnsi="inter"/>
          <w:color w:val="000000"/>
        </w:rPr>
        <w:t xml:space="preserve">This visibility is strategic—it positions KPMG Israel not as a local branch but as a global hub within KPMG for specific expertise domains (insurance AI, tech transformation).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bm_7_competitive_differentiation_5c7bbb"/>
      <w:r>
        <w:rPr>
          <w:rFonts w:eastAsia="inter" w:cs="inter" w:ascii="inter" w:hAnsi="inter"/>
          <w:b/>
          <w:color w:val="000000"/>
          <w:sz w:val="24"/>
        </w:rPr>
        <w:t xml:space="preserve">7. Competitive Differentiation: Why KPMG Dominates Trusted AI &amp; Governance</w:t>
      </w:r>
      <w:bookmarkEnd w:id="58"/>
    </w:p>
    <w:p>
      <w:pPr>
        <w:spacing w:line="360" w:before="315" w:after="105" w:lineRule="auto"/>
        <w:ind w:left="-30"/>
        <w:jc w:val="left"/>
      </w:pPr>
      <w:bookmarkStart w:id="59" w:name="bm_7_1_the_trust_moat"/>
      <w:r>
        <w:rPr>
          <w:rFonts w:eastAsia="inter" w:cs="inter" w:ascii="inter" w:hAnsi="inter"/>
          <w:b/>
          <w:color w:val="000000"/>
          <w:sz w:val="24"/>
        </w:rPr>
        <w:t xml:space="preserve">7.1 The Trust Moat</w:t>
      </w:r>
      <w:bookmarkEnd w:id="59"/>
    </w:p>
    <w:p>
      <w:pPr>
        <w:spacing w:line="360" w:after="210" w:lineRule="auto"/>
      </w:pPr>
      <w:r>
        <w:rPr>
          <w:rFonts w:eastAsia="inter" w:cs="inter" w:ascii="inter" w:hAnsi="inter"/>
          <w:color w:val="000000"/>
        </w:rPr>
        <w:t xml:space="preserve">Competitors (EY, Deloitte, PwC) offer AI services, but KPMG's explicit focus on </w:t>
      </w:r>
      <w:r>
        <w:rPr>
          <w:rFonts w:eastAsia="inter" w:cs="inter" w:ascii="inter" w:hAnsi="inter"/>
          <w:b/>
          <w:color w:val="000000"/>
        </w:rPr>
        <w:t xml:space="preserve">governance first, technology second</w:t>
      </w:r>
      <w:r>
        <w:rPr>
          <w:rFonts w:eastAsia="inter" w:cs="inter" w:ascii="inter" w:hAnsi="inter"/>
          <w:color w:val="000000"/>
        </w:rPr>
        <w:t xml:space="preserve"> creates defensible positioning:</w:t>
      </w:r>
    </w:p>
    <w:p>
      <w:pPr>
        <w:numPr>
          <w:ilvl w:val="0"/>
          <w:numId w:val="15"/>
        </w:numPr>
        <w:spacing w:line="360" w:before="105" w:after="105" w:lineRule="auto"/>
      </w:pPr>
      <w:r>
        <w:rPr>
          <w:rFonts w:eastAsia="inter" w:cs="inter" w:ascii="inter" w:hAnsi="inter"/>
          <w:b/>
          <w:color w:val="000000"/>
          <w:sz w:val="21"/>
        </w:rPr>
        <w:t xml:space="preserve">Framework Ownership</w:t>
      </w:r>
      <w:r>
        <w:rPr>
          <w:rFonts w:eastAsia="inter" w:cs="inter" w:ascii="inter" w:hAnsi="inter"/>
          <w:color w:val="000000"/>
          <w:sz w:val="21"/>
        </w:rPr>
        <w:t xml:space="preserve">: KPMG Trusted AI is proprietary; ISO 42001 certification path is credible and internationally recognized.</w:t>
      </w:r>
    </w:p>
    <w:p>
      <w:pPr>
        <w:numPr>
          <w:ilvl w:val="0"/>
          <w:numId w:val="15"/>
        </w:numPr>
        <w:spacing w:line="360" w:before="105" w:after="105" w:lineRule="auto"/>
      </w:pPr>
      <w:r>
        <w:rPr>
          <w:rFonts w:eastAsia="inter" w:cs="inter" w:ascii="inter" w:hAnsi="inter"/>
          <w:b/>
          <w:color w:val="000000"/>
          <w:sz w:val="21"/>
        </w:rPr>
        <w:t xml:space="preserve">Risk Reduction Language</w:t>
      </w:r>
      <w:r>
        <w:rPr>
          <w:rFonts w:eastAsia="inter" w:cs="inter" w:ascii="inter" w:hAnsi="inter"/>
          <w:color w:val="000000"/>
          <w:sz w:val="21"/>
        </w:rPr>
        <w:t xml:space="preserve">: KPMG speaks to boards about "control mechanisms," "bias mitigation," and "ethical guardrails"—not to technologists about model performance.</w:t>
      </w:r>
    </w:p>
    <w:p>
      <w:pPr>
        <w:numPr>
          <w:ilvl w:val="0"/>
          <w:numId w:val="15"/>
        </w:numPr>
        <w:spacing w:line="360" w:before="105" w:after="105" w:lineRule="auto"/>
      </w:pPr>
      <w:r>
        <w:rPr>
          <w:rFonts w:eastAsia="inter" w:cs="inter" w:ascii="inter" w:hAnsi="inter"/>
          <w:b/>
          <w:color w:val="000000"/>
          <w:sz w:val="21"/>
        </w:rPr>
        <w:t xml:space="preserve">Regulatory Alignment</w:t>
      </w:r>
      <w:r>
        <w:rPr>
          <w:rFonts w:eastAsia="inter" w:cs="inter" w:ascii="inter" w:hAnsi="inter"/>
          <w:color w:val="000000"/>
          <w:sz w:val="21"/>
        </w:rPr>
        <w:t xml:space="preserve">: By anchoring in ISO 42001 and AI risk frameworks, KPMG becomes the preferred partner for regulatory-required AI deployments.</w:t>
      </w:r>
    </w:p>
    <w:p>
      <w:pPr>
        <w:spacing w:line="360" w:before="315" w:after="105" w:lineRule="auto"/>
        <w:ind w:left="-30"/>
        <w:jc w:val="left"/>
      </w:pPr>
      <w:bookmarkStart w:id="60" w:name="bm_7_2_implementation_depth"/>
      <w:r>
        <w:rPr>
          <w:rFonts w:eastAsia="inter" w:cs="inter" w:ascii="inter" w:hAnsi="inter"/>
          <w:b/>
          <w:color w:val="000000"/>
          <w:sz w:val="24"/>
        </w:rPr>
        <w:t xml:space="preserve">7.2 Implementation Depth</w:t>
      </w:r>
      <w:bookmarkEnd w:id="60"/>
    </w:p>
    <w:p>
      <w:pPr>
        <w:spacing w:line="360" w:after="210" w:lineRule="auto"/>
      </w:pPr>
      <w:r>
        <w:rPr>
          <w:rFonts w:eastAsia="inter" w:cs="inter" w:ascii="inter" w:hAnsi="inter"/>
          <w:color w:val="000000"/>
        </w:rPr>
        <w:t xml:space="preserve">Unlike pure-play consulting firms, KPMG Israel's acquisition strategy (Q.V., Carmi Yeda) and dedicated R&amp;D center signal commitment to implementation, not just advisory:</w:t>
      </w:r>
    </w:p>
    <w:p>
      <w:pPr>
        <w:numPr>
          <w:ilvl w:val="0"/>
          <w:numId w:val="16"/>
        </w:numPr>
        <w:spacing w:line="360" w:before="105" w:after="105" w:lineRule="auto"/>
      </w:pPr>
      <w:r>
        <w:rPr>
          <w:rFonts w:eastAsia="inter" w:cs="inter" w:ascii="inter" w:hAnsi="inter"/>
          <w:b/>
          <w:color w:val="000000"/>
          <w:sz w:val="21"/>
        </w:rPr>
        <w:t xml:space="preserve">Before</w:t>
      </w:r>
      <w:r>
        <w:rPr>
          <w:rFonts w:eastAsia="inter" w:cs="inter" w:ascii="inter" w:hAnsi="inter"/>
          <w:color w:val="000000"/>
          <w:sz w:val="21"/>
        </w:rPr>
        <w:t xml:space="preserve">: Recommend AI strategy, hand off to systems integrator</w:t>
      </w:r>
    </w:p>
    <w:p>
      <w:pPr>
        <w:numPr>
          <w:ilvl w:val="0"/>
          <w:numId w:val="16"/>
        </w:numPr>
        <w:spacing w:line="360" w:before="105" w:after="105" w:lineRule="auto"/>
      </w:pPr>
      <w:r>
        <w:rPr>
          <w:rFonts w:eastAsia="inter" w:cs="inter" w:ascii="inter" w:hAnsi="inter"/>
          <w:b/>
          <w:color w:val="000000"/>
          <w:sz w:val="21"/>
        </w:rPr>
        <w:t xml:space="preserve">After</w:t>
      </w:r>
      <w:r>
        <w:rPr>
          <w:rFonts w:eastAsia="inter" w:cs="inter" w:ascii="inter" w:hAnsi="inter"/>
          <w:color w:val="000000"/>
          <w:sz w:val="21"/>
        </w:rPr>
        <w:t xml:space="preserve"> (current model): Recommend strategy, implement with KPMG teams, certify governance, manage ongoing optimization</w:t>
      </w:r>
    </w:p>
    <w:p>
      <w:pPr>
        <w:spacing w:line="360" w:after="210" w:lineRule="auto"/>
      </w:pPr>
      <w:r>
        <w:rPr>
          <w:rFonts w:eastAsia="inter" w:cs="inter" w:ascii="inter" w:hAnsi="inter"/>
          <w:color w:val="000000"/>
        </w:rPr>
        <w:t xml:space="preserve">This reduces client risk and creates stickier relationships.</w:t>
      </w:r>
    </w:p>
    <w:p>
      <w:pPr>
        <w:spacing w:line="360" w:before="315" w:after="105" w:lineRule="auto"/>
        <w:ind w:left="-30"/>
        <w:jc w:val="left"/>
      </w:pPr>
      <w:bookmarkStart w:id="61" w:name="bm_7_3_cloud_agnostic_positioning"/>
      <w:r>
        <w:rPr>
          <w:rFonts w:eastAsia="inter" w:cs="inter" w:ascii="inter" w:hAnsi="inter"/>
          <w:b/>
          <w:color w:val="000000"/>
          <w:sz w:val="24"/>
        </w:rPr>
        <w:t xml:space="preserve">7.3 Cloud-Agnostic Positioning</w:t>
      </w:r>
      <w:bookmarkEnd w:id="61"/>
    </w:p>
    <w:p>
      <w:pPr>
        <w:spacing w:line="360" w:after="210" w:lineRule="auto"/>
      </w:pPr>
      <w:r>
        <w:rPr>
          <w:rFonts w:eastAsia="inter" w:cs="inter" w:ascii="inter" w:hAnsi="inter"/>
          <w:color w:val="000000"/>
        </w:rPr>
        <w:t xml:space="preserve">By maintaining strong partnerships with Microsoft, Google, and AWS, KPMG can honestly position itself as cloud-neutral. This is strategically important—it means KPMG's advice on cloud selection is credible, not biased toward one vendor's technology.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bm_8_market_position_summary_indu_2f9e84"/>
      <w:r>
        <w:rPr>
          <w:rFonts w:eastAsia="inter" w:cs="inter" w:ascii="inter" w:hAnsi="inter"/>
          <w:b/>
          <w:color w:val="000000"/>
          <w:sz w:val="24"/>
        </w:rPr>
        <w:t xml:space="preserve">8. Market Position Summary: Industrial AI &amp; Governance Dominance</w:t>
      </w:r>
      <w:bookmarkEnd w:id="62"/>
    </w:p>
    <w:p>
      <w:pPr>
        <w:spacing w:line="360" w:before="315" w:after="105" w:lineRule="auto"/>
        <w:ind w:left="-30"/>
        <w:jc w:val="left"/>
      </w:pPr>
      <w:bookmarkStart w:id="63" w:name="evidence_of_dominance_in_industri_aca904"/>
      <w:r>
        <w:rPr>
          <w:rFonts w:eastAsia="inter" w:cs="inter" w:ascii="inter" w:hAnsi="inter"/>
          <w:b/>
          <w:color w:val="000000"/>
          <w:sz w:val="24"/>
        </w:rPr>
        <w:t xml:space="preserve">Evidence of Dominance in "Industrial AI" &amp; "Trusted AI Governance":</w:t>
      </w:r>
      <w:bookmarkEnd w:id="6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Dimension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Governance Framework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KPMG Trusted AI (10 pillars); ISO 42001 certification pathway; AI Risk &amp; Controls Guide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Local Tech Delivery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1,700+ professionals; dedicated "KPMG Technology Consulting" with hundreds of AI specialists; active GenAI, data, cloud teams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Lighthouse/Centers of Excellence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Hundreds of Microsoft Power Platform COEs implemented; Google Vertex AI deployment; data science labs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Cloud Partnerships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Microsoft Partner of the Year (2024); Google Cloud $100M investment partner; AWS integration capability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Government Position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Project Nimbus consulting anchor; Cloud Center of Excellence designer; embedded in strategic infrastructure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Sector Expertise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Insurance/fintech (Ilanit Adesman-Navon thought leader); energy/communications team; RegTech innovation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Thought Leadership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Global KPMG platforms; industry conference visibility; published frameworks and case studies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Service Portfolio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Strategy → Implementation → Certification → Ongoing Governance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Strategic Investments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Q.V. acquisition (SAP+AI); Carmi Yeda (organizational change); AL Consulting (organizational expertise)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bm_9_competitive_landscape_positioning"/>
      <w:r>
        <w:rPr>
          <w:rFonts w:eastAsia="inter" w:cs="inter" w:ascii="inter" w:hAnsi="inter"/>
          <w:b/>
          <w:color w:val="000000"/>
          <w:sz w:val="24"/>
        </w:rPr>
        <w:t xml:space="preserve">9. Competitive Landscape &amp; Positioning</w:t>
      </w:r>
      <w:bookmarkEnd w:id="64"/>
    </w:p>
    <w:p>
      <w:pPr>
        <w:spacing w:line="360" w:after="210" w:lineRule="auto"/>
      </w:pPr>
      <w:r>
        <w:rPr>
          <w:rFonts w:eastAsia="inter" w:cs="inter" w:ascii="inter" w:hAnsi="inter"/>
          <w:color w:val="000000"/>
        </w:rPr>
        <w:t xml:space="preserve">KPMG Israel's competitive position versus local and regional peers:</w:t>
      </w:r>
    </w:p>
    <w:p>
      <w:pPr>
        <w:numPr>
          <w:ilvl w:val="0"/>
          <w:numId w:val="17"/>
        </w:numPr>
        <w:spacing w:line="360" w:before="105" w:after="105" w:lineRule="auto"/>
      </w:pPr>
      <w:r>
        <w:rPr>
          <w:rFonts w:eastAsia="inter" w:cs="inter" w:ascii="inter" w:hAnsi="inter"/>
          <w:b/>
          <w:color w:val="000000"/>
          <w:sz w:val="21"/>
        </w:rPr>
        <w:t xml:space="preserve">vs. EY Israel</w:t>
      </w:r>
      <w:r>
        <w:rPr>
          <w:rFonts w:eastAsia="inter" w:cs="inter" w:ascii="inter" w:hAnsi="inter"/>
          <w:color w:val="000000"/>
          <w:sz w:val="21"/>
        </w:rPr>
        <w:t xml:space="preserve">: EY offers comparable Big Four audit/tax/advisory, but KPMG's explicit governance-first AI positioning and ISO 42001 pathway are differentiated</w:t>
      </w:r>
    </w:p>
    <w:p>
      <w:pPr>
        <w:numPr>
          <w:ilvl w:val="0"/>
          <w:numId w:val="17"/>
        </w:numPr>
        <w:spacing w:line="360" w:before="105" w:after="105" w:lineRule="auto"/>
      </w:pPr>
      <w:r>
        <w:rPr>
          <w:rFonts w:eastAsia="inter" w:cs="inter" w:ascii="inter" w:hAnsi="inter"/>
          <w:b/>
          <w:color w:val="000000"/>
          <w:sz w:val="21"/>
        </w:rPr>
        <w:t xml:space="preserve">vs. Deloitte Israel</w:t>
      </w:r>
      <w:r>
        <w:rPr>
          <w:rFonts w:eastAsia="inter" w:cs="inter" w:ascii="inter" w:hAnsi="inter"/>
          <w:color w:val="000000"/>
          <w:sz w:val="21"/>
        </w:rPr>
        <w:t xml:space="preserve">: Deloitte has strong consulting capabilities, but KPMG's government positioning (Nimbus) and Microsoft/Google partnerships are more publicly visible</w:t>
      </w:r>
    </w:p>
    <w:p>
      <w:pPr>
        <w:numPr>
          <w:ilvl w:val="0"/>
          <w:numId w:val="17"/>
        </w:numPr>
        <w:spacing w:line="360" w:before="105" w:after="105" w:lineRule="auto"/>
      </w:pPr>
      <w:r>
        <w:rPr>
          <w:rFonts w:eastAsia="inter" w:cs="inter" w:ascii="inter" w:hAnsi="inter"/>
          <w:b/>
          <w:color w:val="000000"/>
          <w:sz w:val="21"/>
        </w:rPr>
        <w:t xml:space="preserve">vs. PwC Israel</w:t>
      </w:r>
      <w:r>
        <w:rPr>
          <w:rFonts w:eastAsia="inter" w:cs="inter" w:ascii="inter" w:hAnsi="inter"/>
          <w:color w:val="000000"/>
          <w:sz w:val="21"/>
        </w:rPr>
        <w:t xml:space="preserve">: PwC is strong in audit/tax, but KPMG's dedicated technology consulting arm and recent acquisitions signal greater commitment to implementation</w:t>
      </w:r>
    </w:p>
    <w:p>
      <w:pPr>
        <w:numPr>
          <w:ilvl w:val="0"/>
          <w:numId w:val="17"/>
        </w:numPr>
        <w:spacing w:line="360" w:before="105" w:after="105" w:lineRule="auto"/>
      </w:pPr>
      <w:r>
        <w:rPr>
          <w:rFonts w:eastAsia="inter" w:cs="inter" w:ascii="inter" w:hAnsi="inter"/>
          <w:b/>
          <w:color w:val="000000"/>
          <w:sz w:val="21"/>
        </w:rPr>
        <w:t xml:space="preserve">vs. Local Consulting Firms</w:t>
      </w:r>
      <w:r>
        <w:rPr>
          <w:rFonts w:eastAsia="inter" w:cs="inter" w:ascii="inter" w:hAnsi="inter"/>
          <w:color w:val="000000"/>
          <w:sz w:val="21"/>
        </w:rPr>
        <w:t xml:space="preserve">: Boutique Israeli AI firms offer narrower expertise; KPMG combines global frameworks with local execution</w:t>
      </w:r>
    </w:p>
    <w:p>
      <w:pPr>
        <w:spacing w:line="360" w:after="210" w:lineRule="auto"/>
      </w:pPr>
      <w:r>
        <w:rPr>
          <w:rFonts w:eastAsia="inter" w:cs="inter" w:ascii="inter" w:hAnsi="inter"/>
          <w:color w:val="000000"/>
        </w:rPr>
        <w:t xml:space="preserve">The key differentiator is </w:t>
      </w:r>
      <w:r>
        <w:rPr>
          <w:rFonts w:eastAsia="inter" w:cs="inter" w:ascii="inter" w:hAnsi="inter"/>
          <w:b/>
          <w:color w:val="000000"/>
        </w:rPr>
        <w:t xml:space="preserve">governance + implementation</w:t>
      </w:r>
      <w:r>
        <w:rPr>
          <w:rFonts w:eastAsia="inter" w:cs="inter" w:ascii="inter" w:hAnsi="inter"/>
          <w:color w:val="000000"/>
        </w:rPr>
        <w:t xml:space="preserve">, not pure technology depth.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bm_10_limitations_gaps_in_public_26df01"/>
      <w:r>
        <w:rPr>
          <w:rFonts w:eastAsia="inter" w:cs="inter" w:ascii="inter" w:hAnsi="inter"/>
          <w:b/>
          <w:color w:val="000000"/>
          <w:sz w:val="24"/>
        </w:rPr>
        <w:t xml:space="preserve">10. Limitations &amp; Gaps in Public Knowledge</w:t>
      </w:r>
      <w:bookmarkEnd w:id="65"/>
    </w:p>
    <w:p>
      <w:pPr>
        <w:spacing w:line="360" w:before="315" w:after="105" w:lineRule="auto"/>
        <w:ind w:left="-30"/>
        <w:jc w:val="left"/>
      </w:pPr>
      <w:bookmarkStart w:id="66" w:name="what_is_not_publicly_detailed"/>
      <w:r>
        <w:rPr>
          <w:rFonts w:eastAsia="inter" w:cs="inter" w:ascii="inter" w:hAnsi="inter"/>
          <w:b/>
          <w:color w:val="000000"/>
          <w:sz w:val="24"/>
        </w:rPr>
        <w:t xml:space="preserve">What Is Not Publicly Detailed:</w:t>
      </w:r>
      <w:bookmarkEnd w:id="66"/>
    </w:p>
    <w:p>
      <w:pPr>
        <w:numPr>
          <w:ilvl w:val="0"/>
          <w:numId w:val="18"/>
        </w:numPr>
        <w:spacing w:line="360" w:after="210" w:lineRule="auto"/>
      </w:pPr>
      <w:r>
        <w:rPr>
          <w:rFonts w:eastAsia="inter" w:cs="inter" w:ascii="inter" w:hAnsi="inter"/>
          <w:b/>
          <w:color w:val="000000"/>
          <w:sz w:val="21"/>
        </w:rPr>
        <w:t xml:space="preserve">Specific Israeli Client Case Studies</w:t>
      </w:r>
      <w:r>
        <w:rPr>
          <w:rFonts w:eastAsia="inter" w:cs="inter" w:ascii="inter" w:hAnsi="inter"/>
          <w:color w:val="000000"/>
          <w:sz w:val="21"/>
        </w:rPr>
        <w:t xml:space="preserve">: KPMG, like all Big Four firms, maintains client confidentiality. Published case studies rarely feature named Israeli clients, making it difficult to quantify impact.</w:t>
      </w:r>
    </w:p>
    <w:p>
      <w:pPr>
        <w:numPr>
          <w:ilvl w:val="0"/>
          <w:numId w:val="18"/>
        </w:numPr>
        <w:spacing w:line="360" w:after="210" w:lineRule="auto"/>
      </w:pPr>
      <w:r>
        <w:rPr>
          <w:rFonts w:eastAsia="inter" w:cs="inter" w:ascii="inter" w:hAnsi="inter"/>
          <w:b/>
          <w:color w:val="000000"/>
          <w:sz w:val="21"/>
        </w:rPr>
        <w:t xml:space="preserve">Lighthouse Israel Operations</w:t>
      </w:r>
      <w:r>
        <w:rPr>
          <w:rFonts w:eastAsia="inter" w:cs="inter" w:ascii="inter" w:hAnsi="inter"/>
          <w:color w:val="000000"/>
          <w:sz w:val="21"/>
        </w:rPr>
        <w:t xml:space="preserve">: While Lighthouse is KPMG's global Center of Excellence, the extent of dedicated Israeli operations is unclear. It appears Lighthouse functions as a global asset with local integration rather than a standalone Israeli center.</w:t>
      </w:r>
    </w:p>
    <w:p>
      <w:pPr>
        <w:numPr>
          <w:ilvl w:val="0"/>
          <w:numId w:val="18"/>
        </w:numPr>
        <w:spacing w:line="360" w:after="210" w:lineRule="auto"/>
      </w:pPr>
      <w:r>
        <w:rPr>
          <w:rFonts w:eastAsia="inter" w:cs="inter" w:ascii="inter" w:hAnsi="inter"/>
          <w:b/>
          <w:color w:val="000000"/>
          <w:sz w:val="21"/>
        </w:rPr>
        <w:t xml:space="preserve">Manufacturing Sector Penetration</w:t>
      </w:r>
      <w:r>
        <w:rPr>
          <w:rFonts w:eastAsia="inter" w:cs="inter" w:ascii="inter" w:hAnsi="inter"/>
          <w:color w:val="000000"/>
          <w:sz w:val="21"/>
        </w:rPr>
        <w:t xml:space="preserve">: While KPMG has global manufacturing AI expertise (SAP S/4HANA, predictive maintenance, Industry 4.0), specific Israeli manufacturing client engagements are not publicly visible.</w:t>
      </w:r>
    </w:p>
    <w:p>
      <w:pPr>
        <w:numPr>
          <w:ilvl w:val="0"/>
          <w:numId w:val="18"/>
        </w:numPr>
        <w:spacing w:line="360" w:after="210" w:lineRule="auto"/>
      </w:pPr>
      <w:r>
        <w:rPr>
          <w:rFonts w:eastAsia="inter" w:cs="inter" w:ascii="inter" w:hAnsi="inter"/>
          <w:b/>
          <w:color w:val="000000"/>
          <w:sz w:val="21"/>
        </w:rPr>
        <w:t xml:space="preserve">Revenue &amp; Deal Size</w:t>
      </w:r>
      <w:r>
        <w:rPr>
          <w:rFonts w:eastAsia="inter" w:cs="inter" w:ascii="inter" w:hAnsi="inter"/>
          <w:color w:val="000000"/>
          <w:sz w:val="21"/>
        </w:rPr>
        <w:t xml:space="preserve">: KPMG does not publicly disclose member firm financials. Investment amounts in AI initiatives are stated at global levels ($100M Google Cloud investment) but not broken down by geography.</w:t>
      </w:r>
    </w:p>
    <w:p>
      <w:pPr>
        <w:numPr>
          <w:ilvl w:val="0"/>
          <w:numId w:val="18"/>
        </w:numPr>
        <w:spacing w:line="360" w:after="210" w:lineRule="auto"/>
      </w:pPr>
      <w:r>
        <w:rPr>
          <w:rFonts w:eastAsia="inter" w:cs="inter" w:ascii="inter" w:hAnsi="inter"/>
          <w:b/>
          <w:color w:val="000000"/>
          <w:sz w:val="21"/>
        </w:rPr>
        <w:t xml:space="preserve">Competitive Win Rates</w:t>
      </w:r>
      <w:r>
        <w:rPr>
          <w:rFonts w:eastAsia="inter" w:cs="inter" w:ascii="inter" w:hAnsi="inter"/>
          <w:color w:val="000000"/>
          <w:sz w:val="21"/>
        </w:rPr>
        <w:t xml:space="preserve">: No public data on KPMG's win rate versus competitors in Israeli AI/digital transformation RFPs.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bm_11_conclusion_kpmg_israel_s_st_3447c6"/>
      <w:r>
        <w:rPr>
          <w:rFonts w:eastAsia="inter" w:cs="inter" w:ascii="inter" w:hAnsi="inter"/>
          <w:b/>
          <w:color w:val="000000"/>
          <w:sz w:val="24"/>
        </w:rPr>
        <w:t xml:space="preserve">11. Conclusion: KPMG Israel's Strategic Dominance</w:t>
      </w:r>
      <w:bookmarkEnd w:id="67"/>
    </w:p>
    <w:p>
      <w:pPr>
        <w:spacing w:line="360" w:after="210" w:lineRule="auto"/>
      </w:pPr>
      <w:r>
        <w:rPr>
          <w:rFonts w:eastAsia="inter" w:cs="inter" w:ascii="inter" w:hAnsi="inter"/>
          <w:color w:val="000000"/>
        </w:rPr>
        <w:t xml:space="preserve">KPMG Somekh Chaikin has systematically constructed dominance in "Industrial AI" and "Trusted AI Governance" through:</w:t>
      </w:r>
    </w:p>
    <w:p>
      <w:pPr>
        <w:numPr>
          <w:ilvl w:val="0"/>
          <w:numId w:val="19"/>
        </w:numPr>
        <w:spacing w:line="360" w:after="210" w:lineRule="auto"/>
      </w:pPr>
      <w:r>
        <w:rPr>
          <w:rFonts w:eastAsia="inter" w:cs="inter" w:ascii="inter" w:hAnsi="inter"/>
          <w:b/>
          <w:color w:val="000000"/>
          <w:sz w:val="21"/>
        </w:rPr>
        <w:t xml:space="preserve">Governance as Competitive Asset</w:t>
      </w:r>
      <w:r>
        <w:rPr>
          <w:rFonts w:eastAsia="inter" w:cs="inter" w:ascii="inter" w:hAnsi="inter"/>
          <w:color w:val="000000"/>
          <w:sz w:val="21"/>
        </w:rPr>
        <w:t xml:space="preserve">: Trusted AI framework + ISO 42001 pathway positions KPMG as the risk-mitigation partner for enterprises deploying AI at scale.</w:t>
      </w:r>
    </w:p>
    <w:p>
      <w:pPr>
        <w:numPr>
          <w:ilvl w:val="0"/>
          <w:numId w:val="19"/>
        </w:numPr>
        <w:spacing w:line="360" w:after="210" w:lineRule="auto"/>
      </w:pPr>
      <w:r>
        <w:rPr>
          <w:rFonts w:eastAsia="inter" w:cs="inter" w:ascii="inter" w:hAnsi="inter"/>
          <w:b/>
          <w:color w:val="000000"/>
          <w:sz w:val="21"/>
        </w:rPr>
        <w:t xml:space="preserve">Local Delivery Capability</w:t>
      </w:r>
      <w:r>
        <w:rPr>
          <w:rFonts w:eastAsia="inter" w:cs="inter" w:ascii="inter" w:hAnsi="inter"/>
          <w:color w:val="000000"/>
          <w:sz w:val="21"/>
        </w:rPr>
        <w:t xml:space="preserve">: 1,700+ professionals including hundreds of AI specialists, dedicated R&amp;D centers, and acquisition strategy demonstrate commitment to implementation, not advisory-only.</w:t>
      </w:r>
    </w:p>
    <w:p>
      <w:pPr>
        <w:numPr>
          <w:ilvl w:val="0"/>
          <w:numId w:val="19"/>
        </w:numPr>
        <w:spacing w:line="360" w:after="210" w:lineRule="auto"/>
      </w:pPr>
      <w:r>
        <w:rPr>
          <w:rFonts w:eastAsia="inter" w:cs="inter" w:ascii="inter" w:hAnsi="inter"/>
          <w:b/>
          <w:color w:val="000000"/>
          <w:sz w:val="21"/>
        </w:rPr>
        <w:t xml:space="preserve">Strategic Cloud Partnerships</w:t>
      </w:r>
      <w:r>
        <w:rPr>
          <w:rFonts w:eastAsia="inter" w:cs="inter" w:ascii="inter" w:hAnsi="inter"/>
          <w:color w:val="000000"/>
          <w:sz w:val="21"/>
        </w:rPr>
        <w:t xml:space="preserve">: Microsoft Partner of the Year and Google Cloud expansion partner position KPMG as the premium integrator for major cloud platforms' AI capabilities.</w:t>
      </w:r>
    </w:p>
    <w:p>
      <w:pPr>
        <w:numPr>
          <w:ilvl w:val="0"/>
          <w:numId w:val="19"/>
        </w:numPr>
        <w:spacing w:line="360" w:after="210" w:lineRule="auto"/>
      </w:pPr>
      <w:r>
        <w:rPr>
          <w:rFonts w:eastAsia="inter" w:cs="inter" w:ascii="inter" w:hAnsi="inter"/>
          <w:b/>
          <w:color w:val="000000"/>
          <w:sz w:val="21"/>
        </w:rPr>
        <w:t xml:space="preserve">Government Positioning</w:t>
      </w:r>
      <w:r>
        <w:rPr>
          <w:rFonts w:eastAsia="inter" w:cs="inter" w:ascii="inter" w:hAnsi="inter"/>
          <w:color w:val="000000"/>
          <w:sz w:val="21"/>
        </w:rPr>
        <w:t xml:space="preserve">: Project Nimbus consulting anchor embeds KPMG in Israel's strategic cloud transformation, creating first-mover advantage for public-sector AI adoption.</w:t>
      </w:r>
    </w:p>
    <w:p>
      <w:pPr>
        <w:numPr>
          <w:ilvl w:val="0"/>
          <w:numId w:val="19"/>
        </w:numPr>
        <w:spacing w:line="360" w:after="210" w:lineRule="auto"/>
      </w:pPr>
      <w:r>
        <w:rPr>
          <w:rFonts w:eastAsia="inter" w:cs="inter" w:ascii="inter" w:hAnsi="inter"/>
          <w:b/>
          <w:color w:val="000000"/>
          <w:sz w:val="21"/>
        </w:rPr>
        <w:t xml:space="preserve">Sector Leadership</w:t>
      </w:r>
      <w:r>
        <w:rPr>
          <w:rFonts w:eastAsia="inter" w:cs="inter" w:ascii="inter" w:hAnsi="inter"/>
          <w:color w:val="000000"/>
          <w:sz w:val="21"/>
        </w:rPr>
        <w:t xml:space="preserve">: Insurance/fintech expertise (led by globally visible thought leader Ilanit Adesman-Navon) demonstrates deep market understanding and executive-level credibility.</w:t>
      </w:r>
    </w:p>
    <w:p>
      <w:pPr>
        <w:numPr>
          <w:ilvl w:val="0"/>
          <w:numId w:val="19"/>
        </w:numPr>
        <w:spacing w:line="360" w:after="210" w:lineRule="auto"/>
      </w:pPr>
      <w:r>
        <w:rPr>
          <w:rFonts w:eastAsia="inter" w:cs="inter" w:ascii="inter" w:hAnsi="inter"/>
          <w:b/>
          <w:color w:val="000000"/>
          <w:sz w:val="21"/>
        </w:rPr>
        <w:t xml:space="preserve">Implementation Depth</w:t>
      </w:r>
      <w:r>
        <w:rPr>
          <w:rFonts w:eastAsia="inter" w:cs="inter" w:ascii="inter" w:hAnsi="inter"/>
          <w:color w:val="000000"/>
          <w:sz w:val="21"/>
        </w:rPr>
        <w:t xml:space="preserve">: Recent acquisitions (Q.V., Carmi Yeda) and organizational structure shift KPMG from pure advisory toward implementation and outcome accountability.</w:t>
      </w:r>
    </w:p>
    <w:p>
      <w:pPr>
        <w:spacing w:line="360" w:after="210" w:lineRule="auto"/>
      </w:pPr>
      <w:r>
        <w:rPr>
          <w:rFonts w:eastAsia="inter" w:cs="inter" w:ascii="inter" w:hAnsi="inter"/>
          <w:color w:val="000000"/>
        </w:rPr>
        <w:t xml:space="preserve">The "KPMG Trusted AI" methodology—governance-first, implementation-backed, cloud-agnostic, and ISO-aligned—is not merely a marketing narrative but a structural competitive advantage rooted in global frameworks, local execution, and regulatory-driven demand for responsible AI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references"/>
      <w:r>
        <w:rPr>
          <w:rFonts w:eastAsia="inter" w:cs="inter" w:ascii="inter" w:hAnsi="inter"/>
          <w:b/>
          <w:color w:val="000000"/>
          <w:sz w:val="24"/>
        </w:rPr>
        <w:t xml:space="preserve">References</w:t>
      </w:r>
      <w:bookmarkEnd w:id="68"/>
    </w:p>
    <w:p>
      <w:pPr>
        <w:spacing w:line="360" w:after="210" w:lineRule="auto"/>
      </w:pPr>
      <w:r>
        <w:rPr>
          <w:rFonts w:eastAsia="inter" w:cs="inter" w:ascii="inter" w:hAnsi="inter"/>
          <w:color w:val="000000"/>
        </w:rPr>
        <w:t xml:space="preserve">KPMG, "KPMG Trusted AI framework," KPMG International, February 2025. </w:t>
      </w:r>
      <w:hyperlink r:id="rId6">
        <w:r>
          <w:rPr>
            <w:rFonts w:eastAsia="inter" w:cs="inter" w:ascii="inter" w:hAnsi="inter"/>
            <w:color w:val="#000"/>
            <w:u w:val="single"/>
          </w:rPr>
          <w:t xml:space="preserve">https://kpmg.com/xx/en/what-we-do/services/ai/trusted-ai-framework.html</w:t>
        </w:r>
      </w:hyperlink>
      <w:bookmarkStart w:id="69" w:name="fnref1_1"/>
      <w:bookmarkEnd w:id="69"/>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KPMG, "An Illustrative AI Risk and Controls Guide," KPMG International, December 2024. </w:t>
      </w:r>
      <w:hyperlink r:id="rId7">
        <w:r>
          <w:rPr>
            <w:rFonts w:eastAsia="inter" w:cs="inter" w:ascii="inter" w:hAnsi="inter"/>
            <w:color w:val="#000"/>
            <w:u w:val="single"/>
          </w:rPr>
          <w:t xml:space="preserve">https://kpmg.com/us/en/articles/ai-risk-and-control-guide-gated.html</w:t>
        </w:r>
      </w:hyperlink>
      <w:bookmarkStart w:id="70" w:name="fnref3_1"/>
      <w:bookmarkEnd w:id="70"/>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KPMG Australia, "Trusted AI ISO Certification - KPMG International," October 2024. </w:t>
      </w:r>
      <w:hyperlink r:id="rId8">
        <w:r>
          <w:rPr>
            <w:rFonts w:eastAsia="inter" w:cs="inter" w:ascii="inter" w:hAnsi="inter"/>
            <w:color w:val="#000"/>
            <w:u w:val="single"/>
          </w:rPr>
          <w:t xml:space="preserve">https://assets.kpmg.com/content/dam/kpmgsites/au/pdf/2025/trusted-ai-iso-certification-factsheet.pdf</w:t>
        </w:r>
      </w:hyperlink>
      <w:bookmarkStart w:id="71" w:name="fnref2_1"/>
      <w:bookmarkEnd w:id="71"/>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KPMG, "Trust, attitudes and use of artificial intelligence: A global study 2025 - Israel insights," KPMG International, 2025. </w:t>
      </w:r>
      <w:hyperlink r:id="rId9">
        <w:r>
          <w:rPr>
            <w:rFonts w:eastAsia="inter" w:cs="inter" w:ascii="inter" w:hAnsi="inter"/>
            <w:color w:val="#000"/>
            <w:u w:val="single"/>
          </w:rPr>
          <w:t xml:space="preserve">https://assets.kpmg.com/content/dam/kpmgsites/xx/pdf/2025/05/trust-attitudes-and-use-of-ai-israel-snapshot.pdf</w:t>
        </w:r>
      </w:hyperlink>
      <w:bookmarkStart w:id="72" w:name="fnref4_1"/>
      <w:bookmarkEnd w:id="72"/>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KPMG Israel, "Digital Transformation &amp; AI Solutions," KPMG Israel Technology Consulting, 2025. </w:t>
      </w:r>
      <w:hyperlink r:id="rId10">
        <w:r>
          <w:rPr>
            <w:rFonts w:eastAsia="inter" w:cs="inter" w:ascii="inter" w:hAnsi="inter"/>
            <w:color w:val="#000"/>
            <w:u w:val="single"/>
          </w:rPr>
          <w:t xml:space="preserve">https://kpmg.co.il/technologyconsulting/our-offerings/ai</w:t>
        </w:r>
      </w:hyperlink>
      <w:bookmarkStart w:id="73" w:name="fnref15_1"/>
      <w:bookmarkEnd w:id="73"/>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color w:val="000000"/>
        </w:rPr>
        <w:t xml:space="preserve">KPMG Israel, "AI Cyber Security Manager Job Posting," KPMG Careers, 2025. </w:t>
      </w:r>
      <w:hyperlink r:id="rId11">
        <w:r>
          <w:rPr>
            <w:rFonts w:eastAsia="inter" w:cs="inter" w:ascii="inter" w:hAnsi="inter"/>
            <w:color w:val="#000"/>
            <w:u w:val="single"/>
          </w:rPr>
          <w:t xml:space="preserve">https://kpmg.co.il/technologyconsulting/careers/jobs/ai-cyber-security-manager</w:t>
        </w:r>
      </w:hyperlink>
      <w:bookmarkStart w:id="74" w:name="fnref9_1"/>
      <w:bookmarkEnd w:id="74"/>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KPMG Israel, "Overview - KPMG Israel," KPMG Israel, 2018. </w:t>
      </w:r>
      <w:hyperlink r:id="rId12">
        <w:r>
          <w:rPr>
            <w:rFonts w:eastAsia="inter" w:cs="inter" w:ascii="inter" w:hAnsi="inter"/>
            <w:color w:val="#000"/>
            <w:u w:val="single"/>
          </w:rPr>
          <w:t xml:space="preserve">https://kpmg.com/il/en/home/about/overview.html</w:t>
        </w:r>
      </w:hyperlink>
      <w:bookmarkStart w:id="75" w:name="fnref6_2"/>
      <w:bookmarkEnd w:id="75"/>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KPMG Israel, "Generative AI Engineer Job Posting," KPMG Careers, 2024. </w:t>
      </w:r>
      <w:hyperlink r:id="rId13">
        <w:r>
          <w:rPr>
            <w:rFonts w:eastAsia="inter" w:cs="inter" w:ascii="inter" w:hAnsi="inter"/>
            <w:color w:val="#000"/>
            <w:u w:val="single"/>
          </w:rPr>
          <w:t xml:space="preserve">https://kpmg.co.il/technologyconsulting/careers/jobs/generative-ai-engineer</w:t>
        </w:r>
      </w:hyperlink>
      <w:bookmarkStart w:id="76" w:name="fnref8_2"/>
      <w:bookmarkEnd w:id="76"/>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KPMG Israel, "Machine Learning &amp; Big Data Solutions," KPMG Israel Technology Consulting, 2024. </w:t>
      </w:r>
      <w:hyperlink r:id="rId14">
        <w:r>
          <w:rPr>
            <w:rFonts w:eastAsia="inter" w:cs="inter" w:ascii="inter" w:hAnsi="inter"/>
            <w:color w:val="#000"/>
            <w:u w:val="single"/>
          </w:rPr>
          <w:t xml:space="preserve">https://kpmg.co.il/technologyconsulting/our-offerings/data</w:t>
        </w:r>
      </w:hyperlink>
      <w:bookmarkStart w:id="77" w:name="fnref12_1"/>
      <w:bookmarkEnd w:id="77"/>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color w:val="000000"/>
        </w:rPr>
        <w:t xml:space="preserve">KPMG LLP, "KPMG Expands AI Alliance with Google Cloud to Support Industry Transformation," KPMG USA, April 2025. </w:t>
      </w:r>
      <w:hyperlink r:id="rId15">
        <w:r>
          <w:rPr>
            <w:rFonts w:eastAsia="inter" w:cs="inter" w:ascii="inter" w:hAnsi="inter"/>
            <w:color w:val="#000"/>
            <w:u w:val="single"/>
          </w:rPr>
          <w:t xml:space="preserve">https://kpmg.com/us/en/media/news/kpmg-google-cloud-alliance-expansion-agentspace-adoption.html</w:t>
        </w:r>
      </w:hyperlink>
      <w:bookmarkStart w:id="78" w:name="fnref19_1"/>
      <w:bookmarkEnd w:id="78"/>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KPMG LLP and Microsoft, "KPMG Collaborates with Microsoft to Enhance Internal Chat GPT Tool," KPMG USA, June 2024. </w:t>
      </w:r>
      <w:hyperlink r:id="rId16">
        <w:r>
          <w:rPr>
            <w:rFonts w:eastAsia="inter" w:cs="inter" w:ascii="inter" w:hAnsi="inter"/>
            <w:color w:val="#000"/>
            <w:u w:val="single"/>
          </w:rPr>
          <w:t xml:space="preserve">https://kpmg.com/us/en/media/news/kpmg-microsoft-collaboration-2024.html</w:t>
        </w:r>
      </w:hyperlink>
      <w:bookmarkStart w:id="79" w:name="fnref16_1"/>
      <w:bookmarkEnd w:id="79"/>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color w:val="000000"/>
        </w:rPr>
        <w:t xml:space="preserve">CRN, "Israel Taps AWS, Google Cloud For $1B State Cloud Infrastructure Project," CRN, April 2021. </w:t>
      </w:r>
      <w:hyperlink r:id="rId17">
        <w:r>
          <w:rPr>
            <w:rFonts w:eastAsia="inter" w:cs="inter" w:ascii="inter" w:hAnsi="inter"/>
            <w:color w:val="#000"/>
            <w:u w:val="single"/>
          </w:rPr>
          <w:t xml:space="preserve">https://www.crn.com/news/cloud/israel-taps-aws-google-cloud-for-1b-state-cloud-infrastructure-project</w:t>
        </w:r>
      </w:hyperlink>
      <w:bookmarkStart w:id="80" w:name="fnref21_1"/>
      <w:bookmarkEnd w:id="80"/>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color w:val="000000"/>
        </w:rPr>
        <w:t xml:space="preserve">KPMG LLP, "KPMG Invests $100M in Google Cloud Alliance to Accelerate Enterprise Adoption of AI for Clients," KPMG USA, November 2024. </w:t>
      </w:r>
      <w:hyperlink r:id="rId18">
        <w:r>
          <w:rPr>
            <w:rFonts w:eastAsia="inter" w:cs="inter" w:ascii="inter" w:hAnsi="inter"/>
            <w:color w:val="#000"/>
            <w:u w:val="single"/>
          </w:rPr>
          <w:t xml:space="preserve">https://kpmg.com/us/en/media/news/kpmg-google-cloud-partnership-expansion-2024.html</w:t>
        </w:r>
      </w:hyperlink>
      <w:bookmarkStart w:id="81" w:name="fnref18_2"/>
      <w:bookmarkEnd w:id="81"/>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color w:val="000000"/>
        </w:rPr>
        <w:t xml:space="preserve">KPMG Israel, "Microsoft's Partner of the Year in Israel," KPMG Israel, December 2024. </w:t>
      </w:r>
      <w:hyperlink r:id="rId19">
        <w:r>
          <w:rPr>
            <w:rFonts w:eastAsia="inter" w:cs="inter" w:ascii="inter" w:hAnsi="inter"/>
            <w:color w:val="#000"/>
            <w:u w:val="single"/>
          </w:rPr>
          <w:t xml:space="preserve">https://kpmg.co.il/en/media-center/microsoft-s-partner-of-the-year-in-israel</w:t>
        </w:r>
      </w:hyperlink>
      <w:bookmarkStart w:id="82" w:name="fnref14_1"/>
      <w:bookmarkEnd w:id="82"/>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color w:val="000000"/>
        </w:rPr>
        <w:t xml:space="preserve">GovConWire, "AWS, Google Win $1B Israeli Government Cloud Migration Project," GovConWire, April 2021. </w:t>
      </w:r>
      <w:hyperlink r:id="rId20">
        <w:r>
          <w:rPr>
            <w:rFonts w:eastAsia="inter" w:cs="inter" w:ascii="inter" w:hAnsi="inter"/>
            <w:color w:val="#000"/>
            <w:u w:val="single"/>
          </w:rPr>
          <w:t xml:space="preserve">https://www.govconwire.com/articles/aws-google-win-1b-israeli-government-cloud-migration-project</w:t>
        </w:r>
      </w:hyperlink>
      <w:bookmarkStart w:id="83" w:name="fnref22_1"/>
      <w:bookmarkEnd w:id="83"/>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color w:val="000000"/>
        </w:rPr>
        <w:t xml:space="preserve">KPMG, "You can ease your ESG reporting with AI," KPMG Denmark, April 2025. </w:t>
      </w:r>
      <w:hyperlink r:id="rId21">
        <w:r>
          <w:rPr>
            <w:rFonts w:eastAsia="inter" w:cs="inter" w:ascii="inter" w:hAnsi="inter"/>
            <w:color w:val="#000"/>
            <w:u w:val="single"/>
          </w:rPr>
          <w:t xml:space="preserve">https://kpmg.com/dk/en/ai/you-can-ease-your-esg-reporting-with-ai.html</w:t>
        </w:r>
      </w:hyperlink>
      <w:bookmarkStart w:id="84" w:name="fnref27_1"/>
      <w:bookmarkEnd w:id="84"/>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color w:val="000000"/>
        </w:rPr>
        <w:t xml:space="preserve">KPMG, "How AI Can Improve Supply Chain Operations," KPMG International, August 2024. </w:t>
      </w:r>
      <w:hyperlink r:id="rId22">
        <w:r>
          <w:rPr>
            <w:rFonts w:eastAsia="inter" w:cs="inter" w:ascii="inter" w:hAnsi="inter"/>
            <w:color w:val="#000"/>
            <w:u w:val="single"/>
          </w:rPr>
          <w:t xml:space="preserve">https://kpmg.com/us/en/articles/2024/ai-for-supply-chain.html</w:t>
        </w:r>
      </w:hyperlink>
      <w:bookmarkStart w:id="85" w:name="fnref28_1"/>
      <w:bookmarkEnd w:id="85"/>
      <w:hyperlink w:anchor="fn28">
        <w:r>
          <w:rPr>
            <w:rFonts w:eastAsia="inter" w:cs="inter" w:ascii="inter" w:hAnsi="inter"/>
            <w:color w:val="#000"/>
            <w:u w:val="single"/>
            <w:vertAlign w:val="superscript"/>
          </w:rPr>
          <w:t xml:space="preserve">[28]</w:t>
        </w:r>
      </w:hyperlink>
    </w:p>
    <w:p>
      <w:pPr>
        <w:spacing w:line="360" w:after="210" w:lineRule="auto"/>
      </w:pPr>
      <w:r>
        <w:rPr>
          <w:rFonts w:eastAsia="inter" w:cs="inter" w:ascii="inter" w:hAnsi="inter"/>
          <w:color w:val="000000"/>
        </w:rPr>
        <w:t xml:space="preserve">CTech / Calcalistech, "KPMG acquires Israeli AI-SAP firm Q.V.," CTech, August 2025. </w:t>
      </w:r>
      <w:hyperlink r:id="rId23">
        <w:r>
          <w:rPr>
            <w:rFonts w:eastAsia="inter" w:cs="inter" w:ascii="inter" w:hAnsi="inter"/>
            <w:color w:val="#000"/>
            <w:u w:val="single"/>
          </w:rPr>
          <w:t xml:space="preserve">https://www.calcalistech.com/ctechnews/article/bjoooe8dge</w:t>
        </w:r>
      </w:hyperlink>
      <w:bookmarkStart w:id="86" w:name="fnref7_3"/>
      <w:bookmarkEnd w:id="86"/>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KPMG Israel, "GenAI &amp; Data Project Manager Job Posting," KPMG Careers, 2023. </w:t>
      </w:r>
      <w:hyperlink r:id="rId24">
        <w:r>
          <w:rPr>
            <w:rFonts w:eastAsia="inter" w:cs="inter" w:ascii="inter" w:hAnsi="inter"/>
            <w:color w:val="#000"/>
            <w:u w:val="single"/>
          </w:rPr>
          <w:t xml:space="preserve">https://kpmg.co.il/technologyconsulting/careers/jobs/genai-data-project-manager-1</w:t>
        </w:r>
      </w:hyperlink>
      <w:bookmarkStart w:id="87" w:name="fnref10_1"/>
      <w:bookmarkEnd w:id="87"/>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KPMG Israel, "Israeli Tech Deepens Its Foothold in Europe," KPMG Israel News, December 2025. </w:t>
      </w:r>
      <w:hyperlink r:id="rId25">
        <w:r>
          <w:rPr>
            <w:rFonts w:eastAsia="inter" w:cs="inter" w:ascii="inter" w:hAnsi="inter"/>
            <w:color w:val="#000"/>
            <w:u w:val="single"/>
          </w:rPr>
          <w:t xml:space="preserve">https://www.calcalistech.com/tags/Dina_Pasca-Raz</w:t>
        </w:r>
      </w:hyperlink>
      <w:bookmarkStart w:id="88" w:name="fnref30_2"/>
      <w:bookmarkEnd w:id="88"/>
      <w:hyperlink w:anchor="fn30">
        <w:r>
          <w:rPr>
            <w:rFonts w:eastAsia="inter" w:cs="inter" w:ascii="inter" w:hAnsi="inter"/>
            <w:color w:val="#000"/>
            <w:u w:val="single"/>
            <w:vertAlign w:val="superscript"/>
          </w:rPr>
          <w:t xml:space="preserve">[30]</w:t>
        </w:r>
      </w:hyperlink>
    </w:p>
    <w:p>
      <w:pPr>
        <w:spacing w:line="360" w:after="210" w:lineRule="auto"/>
      </w:pPr>
      <w:r>
        <w:rPr>
          <w:rFonts w:eastAsia="inter" w:cs="inter" w:ascii="inter" w:hAnsi="inter"/>
          <w:color w:val="000000"/>
        </w:rPr>
        <w:t xml:space="preserve">KPMG Middle East, "KPMG Middle East to power the region's AI and Cloud growth," KPMG Middle East, November 2025. </w:t>
      </w:r>
      <w:hyperlink r:id="rId26">
        <w:r>
          <w:rPr>
            <w:rFonts w:eastAsia="inter" w:cs="inter" w:ascii="inter" w:hAnsi="inter"/>
            <w:color w:val="#000"/>
            <w:u w:val="single"/>
          </w:rPr>
          <w:t xml:space="preserve">https://kpmg.com/ae/en/media/press-releases/2025/11/kpmg-middle-east-to-power-the-regions-ai-and-cloud-growth.html</w:t>
        </w:r>
      </w:hyperlink>
      <w:bookmarkStart w:id="89" w:name="fnref20_1"/>
      <w:bookmarkEnd w:id="89"/>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KPMG Israel, "Cloud Consulting &amp; Automation Solutions," KPMG Israel Technology Consulting, 2024. </w:t>
      </w:r>
      <w:hyperlink r:id="rId27">
        <w:r>
          <w:rPr>
            <w:rFonts w:eastAsia="inter" w:cs="inter" w:ascii="inter" w:hAnsi="inter"/>
            <w:color w:val="#000"/>
            <w:u w:val="single"/>
          </w:rPr>
          <w:t xml:space="preserve">https://kpmg.co.il/technologyconsulting/our-offerings/cloud</w:t>
        </w:r>
      </w:hyperlink>
      <w:bookmarkStart w:id="90" w:name="fnref13_1"/>
      <w:bookmarkEnd w:id="90"/>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color w:val="000000"/>
        </w:rPr>
        <w:t xml:space="preserve">KPMG International, "Intelligent Insurance - A blueprint for creating value through AI-driven transformation," KPMG, April 2025. </w:t>
      </w:r>
      <w:hyperlink r:id="rId28">
        <w:r>
          <w:rPr>
            <w:rFonts w:eastAsia="inter" w:cs="inter" w:ascii="inter" w:hAnsi="inter"/>
            <w:color w:val="#000"/>
            <w:u w:val="single"/>
          </w:rPr>
          <w:t xml:space="preserve">https://assets.kpmg.com/content/dam/kpmg/ng/pdf/2025/intelligent-industries/Intelligent insurance - Report.pdf</w:t>
        </w:r>
      </w:hyperlink>
      <w:bookmarkStart w:id="91" w:name="fnref5_1"/>
      <w:bookmarkEnd w:id="91"/>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KPMG Israel, "Inside Cloud for Financial Services," KPMG Israel Technology Consulting, August 2024. </w:t>
      </w:r>
      <w:hyperlink r:id="rId29">
        <w:r>
          <w:rPr>
            <w:rFonts w:eastAsia="inter" w:cs="inter" w:ascii="inter" w:hAnsi="inter"/>
            <w:color w:val="#000"/>
            <w:u w:val="single"/>
          </w:rPr>
          <w:t xml:space="preserve">https://kpmg.co.il/technologyconsulting/blog/inside-cloud-for-financial-services</w:t>
        </w:r>
      </w:hyperlink>
      <w:bookmarkStart w:id="92" w:name="fnref17_1"/>
      <w:bookmarkEnd w:id="92"/>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color w:val="000000"/>
        </w:rPr>
        <w:t xml:space="preserve">KPMG International, "AI in insurance: A catalyst for change," KPMG, September 2024. </w:t>
      </w:r>
      <w:hyperlink r:id="rId30">
        <w:r>
          <w:rPr>
            <w:rFonts w:eastAsia="inter" w:cs="inter" w:ascii="inter" w:hAnsi="inter"/>
            <w:color w:val="#000"/>
            <w:u w:val="single"/>
          </w:rPr>
          <w:t xml:space="preserve">https://kpmg.com/xx/en/our-insights/ai-and-technology/ai-in-insurance-a-catalyst-for-change.html</w:t>
        </w:r>
      </w:hyperlink>
      <w:bookmarkStart w:id="93" w:name="fnref23_2"/>
      <w:bookmarkEnd w:id="93"/>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KPMG International, "Intelligent Insurance: A blueprint for creating value through AI-driven transformation," KPMG, April 2025. </w:t>
      </w:r>
      <w:hyperlink r:id="rId31">
        <w:r>
          <w:rPr>
            <w:rFonts w:eastAsia="inter" w:cs="inter" w:ascii="inter" w:hAnsi="inter"/>
            <w:color w:val="#000"/>
            <w:u w:val="single"/>
          </w:rPr>
          <w:t xml:space="preserve">https://kpmg.com/xx/en/what-we-do/services/ai/intelligent-insurance.html</w:t>
        </w:r>
      </w:hyperlink>
      <w:bookmarkStart w:id="94" w:name="fnref24_3"/>
      <w:bookmarkEnd w:id="94"/>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color w:val="000000"/>
        </w:rPr>
        <w:t xml:space="preserve">KPMG Israel, "Risk Management and Internal Audit Consulting (GRCS)," KPMG Israel, 2024. </w:t>
      </w:r>
      <w:hyperlink r:id="rId32">
        <w:r>
          <w:rPr>
            <w:rFonts w:eastAsia="inter" w:cs="inter" w:ascii="inter" w:hAnsi="inter"/>
            <w:color w:val="#000"/>
            <w:u w:val="single"/>
          </w:rPr>
          <w:t xml:space="preserve">https://kpmg.co.il/en/services/consulting-division/risk-management-and-internal-audit-consulting-grcs</w:t>
        </w:r>
      </w:hyperlink>
      <w:bookmarkStart w:id="95" w:name="fnref25_1"/>
      <w:bookmarkEnd w:id="95"/>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color w:val="000000"/>
        </w:rPr>
        <w:t xml:space="preserve">Insurance Thought Leadership, "How AI Improves Insurance Efficiency, Control," Insurance Thought Leadership, December 2024. </w:t>
      </w:r>
      <w:hyperlink r:id="rId33">
        <w:r>
          <w:rPr>
            <w:rFonts w:eastAsia="inter" w:cs="inter" w:ascii="inter" w:hAnsi="inter"/>
            <w:color w:val="#000"/>
            <w:u w:val="single"/>
          </w:rPr>
          <w:t xml:space="preserve">https://www.insurancethoughtleadership.com/ai-machine-learning/how-ai-improves-insurance-efficiency-control</w:t>
        </w:r>
      </w:hyperlink>
      <w:bookmarkStart w:id="96" w:name="fnref31_1"/>
      <w:bookmarkEnd w:id="96"/>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color w:val="000000"/>
        </w:rPr>
        <w:t xml:space="preserve">KPMG Israel, "Communications and Energy Team," KPMG Israel, August 2024. </w:t>
      </w:r>
      <w:hyperlink r:id="rId34">
        <w:r>
          <w:rPr>
            <w:rFonts w:eastAsia="inter" w:cs="inter" w:ascii="inter" w:hAnsi="inter"/>
            <w:color w:val="#000"/>
            <w:u w:val="single"/>
          </w:rPr>
          <w:t xml:space="preserve">https://kpmg.co.il/en/teams/communications-and-energy-team</w:t>
        </w:r>
      </w:hyperlink>
      <w:bookmarkStart w:id="97" w:name="fnref26_1"/>
      <w:bookmarkEnd w:id="97"/>
      <w:hyperlink w:anchor="fn26">
        <w:r>
          <w:rPr>
            <w:rFonts w:eastAsia="inter" w:cs="inter" w:ascii="inter" w:hAnsi="inter"/>
            <w:color w:val="#000"/>
            <w:u w:val="single"/>
            <w:vertAlign w:val="superscript"/>
          </w:rPr>
          <w:t xml:space="preserve">[26]</w:t>
        </w:r>
      </w:hyperlink>
    </w:p>
    <w:p>
      <w:pPr>
        <w:spacing w:line="360" w:after="210" w:lineRule="auto"/>
      </w:pPr>
      <w:r>
        <w:rPr>
          <w:rFonts w:eastAsia="inter" w:cs="inter" w:ascii="inter" w:hAnsi="inter"/>
          <w:color w:val="000000"/>
        </w:rPr>
        <w:t xml:space="preserve">KPMG Israel, "Government Team," KPMG Israel, 2024. </w:t>
      </w:r>
      <w:hyperlink r:id="rId35">
        <w:r>
          <w:rPr>
            <w:rFonts w:eastAsia="inter" w:cs="inter" w:ascii="inter" w:hAnsi="inter"/>
            <w:color w:val="#000"/>
            <w:u w:val="single"/>
          </w:rPr>
          <w:t xml:space="preserve">https://kpmg.co.il/en/teams/government-team</w:t>
        </w:r>
      </w:hyperlink>
      <w:bookmarkStart w:id="98" w:name="fnref32"/>
      <w:bookmarkEnd w:id="98"/>
      <w:hyperlink w:anchor="fn32">
        <w:r>
          <w:rPr>
            <w:rFonts w:eastAsia="inter" w:cs="inter" w:ascii="inter" w:hAnsi="inter"/>
            <w:color w:val="#000"/>
            <w:u w:val="single"/>
            <w:vertAlign w:val="superscript"/>
          </w:rPr>
          <w:t xml:space="preserve">[32]</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99" w:name="fn1"/>
    <w:bookmarkEnd w:id="99"/>
    <w:p>
      <w:pPr>
        <w:numPr>
          <w:ilvl w:val="0"/>
          <w:numId w:val="21"/>
        </w:numPr>
        <w:spacing w:line="360" w:after="210" w:lineRule="auto"/>
      </w:pPr>
      <w:hyperlink r:id="rId36">
        <w:r>
          <w:rPr>
            <w:rFonts w:eastAsia="inter" w:cs="inter" w:ascii="inter" w:hAnsi="inter"/>
            <w:color w:val="#000"/>
            <w:sz w:val="18"/>
            <w:u w:val="single"/>
          </w:rPr>
          <w:t xml:space="preserve">https://kpmg.com/xx/en/what-we-do/services/ai/trusted-ai-framework.html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0" w:name="fn2"/>
    <w:bookmarkEnd w:id="100"/>
    <w:p>
      <w:pPr>
        <w:numPr>
          <w:ilvl w:val="0"/>
          <w:numId w:val="21"/>
        </w:numPr>
        <w:spacing w:line="360" w:after="210" w:lineRule="auto"/>
      </w:pPr>
      <w:hyperlink r:id="rId37">
        <w:r>
          <w:rPr>
            <w:rFonts w:eastAsia="inter" w:cs="inter" w:ascii="inter" w:hAnsi="inter"/>
            <w:color w:val="#000"/>
            <w:sz w:val="18"/>
            <w:u w:val="single"/>
          </w:rPr>
          <w:t xml:space="preserve">https://drasticnews.com/kpmg-australia-achieves-iso-420001-ai-certification/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1" w:name="fn3"/>
    <w:bookmarkEnd w:id="101"/>
    <w:p>
      <w:pPr>
        <w:numPr>
          <w:ilvl w:val="0"/>
          <w:numId w:val="21"/>
        </w:numPr>
        <w:spacing w:line="360" w:after="210" w:lineRule="auto"/>
      </w:pPr>
      <w:hyperlink r:id="rId38">
        <w:r>
          <w:rPr>
            <w:rFonts w:eastAsia="inter" w:cs="inter" w:ascii="inter" w:hAnsi="inter"/>
            <w:color w:val="#000"/>
            <w:sz w:val="18"/>
            <w:u w:val="single"/>
          </w:rPr>
          <w:t xml:space="preserve">https://kpmg.com/us/en/articles/ai-risk-and-control-guide-gated.html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2" w:name="fn4"/>
    <w:bookmarkEnd w:id="102"/>
    <w:p>
      <w:pPr>
        <w:numPr>
          <w:ilvl w:val="0"/>
          <w:numId w:val="21"/>
        </w:numPr>
        <w:spacing w:line="360" w:after="210" w:lineRule="auto"/>
      </w:pPr>
      <w:hyperlink r:id="rId39">
        <w:r>
          <w:rPr>
            <w:rFonts w:eastAsia="inter" w:cs="inter" w:ascii="inter" w:hAnsi="inter"/>
            <w:color w:val="#000"/>
            <w:sz w:val="18"/>
            <w:u w:val="single"/>
          </w:rPr>
          <w:t xml:space="preserve">https://assets.kpmg.com/content/dam/kpmgsites/xx/pdf/2025/05/trust-attitudes-and-use-of-ai-israel-snapshot.pdf.coredownload.inline.pdf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3" w:name="fn5"/>
    <w:bookmarkEnd w:id="103"/>
    <w:p>
      <w:pPr>
        <w:numPr>
          <w:ilvl w:val="0"/>
          <w:numId w:val="21"/>
        </w:numPr>
        <w:spacing w:line="360" w:after="210" w:lineRule="auto"/>
      </w:pPr>
      <w:hyperlink r:id="rId40">
        <w:r>
          <w:rPr>
            <w:rFonts w:eastAsia="inter" w:cs="inter" w:ascii="inter" w:hAnsi="inter"/>
            <w:color w:val="#000"/>
            <w:sz w:val="18"/>
            <w:u w:val="single"/>
          </w:rPr>
          <w:t xml:space="preserve">https://assets.kpmg.com/content/dam/kpmg/my/pdf/ai-in-the-insurance-industry.pdf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4" w:name="fn6"/>
    <w:bookmarkEnd w:id="104"/>
    <w:p>
      <w:pPr>
        <w:numPr>
          <w:ilvl w:val="0"/>
          <w:numId w:val="21"/>
        </w:numPr>
        <w:spacing w:line="360" w:after="210" w:lineRule="auto"/>
      </w:pPr>
      <w:hyperlink r:id="rId41">
        <w:r>
          <w:rPr>
            <w:rFonts w:eastAsia="inter" w:cs="inter" w:ascii="inter" w:hAnsi="inter"/>
            <w:color w:val="#000"/>
            <w:sz w:val="18"/>
            <w:u w:val="single"/>
          </w:rPr>
          <w:t xml:space="preserve">https://kpmg.com/il/en/home/about/overview.html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5" w:name="fn7"/>
    <w:bookmarkEnd w:id="105"/>
    <w:p>
      <w:pPr>
        <w:numPr>
          <w:ilvl w:val="0"/>
          <w:numId w:val="21"/>
        </w:numPr>
        <w:spacing w:line="360" w:after="210" w:lineRule="auto"/>
      </w:pPr>
      <w:hyperlink r:id="rId42">
        <w:r>
          <w:rPr>
            <w:rFonts w:eastAsia="inter" w:cs="inter" w:ascii="inter" w:hAnsi="inter"/>
            <w:color w:val="#000"/>
            <w:sz w:val="18"/>
            <w:u w:val="single"/>
          </w:rPr>
          <w:t xml:space="preserve">https://ourcoders.com/news/show/47348/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6" w:name="fn8"/>
    <w:bookmarkEnd w:id="106"/>
    <w:p>
      <w:pPr>
        <w:numPr>
          <w:ilvl w:val="0"/>
          <w:numId w:val="21"/>
        </w:numPr>
        <w:spacing w:line="360" w:after="210" w:lineRule="auto"/>
      </w:pPr>
      <w:hyperlink r:id="rId43">
        <w:r>
          <w:rPr>
            <w:rFonts w:eastAsia="inter" w:cs="inter" w:ascii="inter" w:hAnsi="inter"/>
            <w:color w:val="#000"/>
            <w:sz w:val="18"/>
            <w:u w:val="single"/>
          </w:rPr>
          <w:t xml:space="preserve">https://kpmg.co.il/technologyconsulting/careers/jobs/generative-ai-engineer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7" w:name="fn9"/>
    <w:bookmarkEnd w:id="107"/>
    <w:p>
      <w:pPr>
        <w:numPr>
          <w:ilvl w:val="0"/>
          <w:numId w:val="21"/>
        </w:numPr>
        <w:spacing w:line="360" w:after="210" w:lineRule="auto"/>
      </w:pPr>
      <w:hyperlink r:id="rId44">
        <w:r>
          <w:rPr>
            <w:rFonts w:eastAsia="inter" w:cs="inter" w:ascii="inter" w:hAnsi="inter"/>
            <w:color w:val="#000"/>
            <w:sz w:val="18"/>
            <w:u w:val="single"/>
          </w:rPr>
          <w:t xml:space="preserve">https://kpmg.co.il/technologyconsulting/careers/jobs/ai-cyber-security-manager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8" w:name="fn10"/>
    <w:bookmarkEnd w:id="108"/>
    <w:p>
      <w:pPr>
        <w:numPr>
          <w:ilvl w:val="0"/>
          <w:numId w:val="21"/>
        </w:numPr>
        <w:spacing w:line="360" w:after="210" w:lineRule="auto"/>
      </w:pPr>
      <w:hyperlink r:id="rId45">
        <w:r>
          <w:rPr>
            <w:rFonts w:eastAsia="inter" w:cs="inter" w:ascii="inter" w:hAnsi="inter"/>
            <w:color w:val="#000"/>
            <w:sz w:val="18"/>
            <w:u w:val="single"/>
          </w:rPr>
          <w:t xml:space="preserve">https://kpmg.co.il/technologyconsulting/he/vacancies/technology-consulting/genai-data-project-manager-1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9" w:name="fn11"/>
    <w:bookmarkEnd w:id="109"/>
    <w:p>
      <w:pPr>
        <w:numPr>
          <w:ilvl w:val="0"/>
          <w:numId w:val="21"/>
        </w:numPr>
        <w:spacing w:line="360" w:after="210" w:lineRule="auto"/>
      </w:pPr>
      <w:hyperlink r:id="rId46">
        <w:r>
          <w:rPr>
            <w:rFonts w:eastAsia="inter" w:cs="inter" w:ascii="inter" w:hAnsi="inter"/>
            <w:color w:val="#000"/>
            <w:sz w:val="18"/>
            <w:u w:val="single"/>
          </w:rPr>
          <w:t xml:space="preserve">https://kpmg.com/ae/en/services/advisory/digital-and-innovation/kpmg-lighthouse.html</w:t>
        </w:r>
      </w:hyperlink>
      <w:r>
        <w:rPr>
          <w:rFonts w:eastAsia="inter" w:cs="inter" w:ascii="inter" w:hAnsi="inter"/>
          <w:color w:val="000000"/>
          <w:sz w:val="18"/>
        </w:rPr>
        <w:t xml:space="preserve"> </w:t>
      </w:r>
    </w:p>
    <w:bookmarkStart w:id="110" w:name="fn12"/>
    <w:bookmarkEnd w:id="110"/>
    <w:p>
      <w:pPr>
        <w:numPr>
          <w:ilvl w:val="0"/>
          <w:numId w:val="21"/>
        </w:numPr>
        <w:spacing w:line="360" w:after="210" w:lineRule="auto"/>
      </w:pPr>
      <w:hyperlink r:id="rId47">
        <w:r>
          <w:rPr>
            <w:rFonts w:eastAsia="inter" w:cs="inter" w:ascii="inter" w:hAnsi="inter"/>
            <w:color w:val="#000"/>
            <w:sz w:val="18"/>
            <w:u w:val="single"/>
          </w:rPr>
          <w:t xml:space="preserve">https://kpmg.co.il/technologyconsulting/our-offerings/data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1" w:name="fn13"/>
    <w:bookmarkEnd w:id="111"/>
    <w:p>
      <w:pPr>
        <w:numPr>
          <w:ilvl w:val="0"/>
          <w:numId w:val="21"/>
        </w:numPr>
        <w:spacing w:line="360" w:after="210" w:lineRule="auto"/>
      </w:pPr>
      <w:hyperlink r:id="rId48">
        <w:r>
          <w:rPr>
            <w:rFonts w:eastAsia="inter" w:cs="inter" w:ascii="inter" w:hAnsi="inter"/>
            <w:color w:val="#000"/>
            <w:sz w:val="18"/>
            <w:u w:val="single"/>
          </w:rPr>
          <w:t xml:space="preserve">https://kpmg.co.il/technologyconsulting/our-offerings/cloud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2" w:name="fn14"/>
    <w:bookmarkEnd w:id="112"/>
    <w:p>
      <w:pPr>
        <w:numPr>
          <w:ilvl w:val="0"/>
          <w:numId w:val="21"/>
        </w:numPr>
        <w:spacing w:line="360" w:after="210" w:lineRule="auto"/>
      </w:pPr>
      <w:hyperlink r:id="rId49">
        <w:r>
          <w:rPr>
            <w:rFonts w:eastAsia="inter" w:cs="inter" w:ascii="inter" w:hAnsi="inter"/>
            <w:color w:val="#000"/>
            <w:sz w:val="18"/>
            <w:u w:val="single"/>
          </w:rPr>
          <w:t xml:space="preserve">https://kpmg.co.il/en/media-center/microsoft-s-partner-of-the-year-in-israel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3" w:name="fn15"/>
    <w:bookmarkEnd w:id="113"/>
    <w:p>
      <w:pPr>
        <w:numPr>
          <w:ilvl w:val="0"/>
          <w:numId w:val="21"/>
        </w:numPr>
        <w:spacing w:line="360" w:after="210" w:lineRule="auto"/>
      </w:pPr>
      <w:hyperlink r:id="rId50">
        <w:r>
          <w:rPr>
            <w:rFonts w:eastAsia="inter" w:cs="inter" w:ascii="inter" w:hAnsi="inter"/>
            <w:color w:val="#000"/>
            <w:sz w:val="18"/>
            <w:u w:val="single"/>
          </w:rPr>
          <w:t xml:space="preserve">https://kpmg.co.il/technologyconsulting/our-offerings/ai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4" w:name="fn16"/>
    <w:bookmarkEnd w:id="114"/>
    <w:p>
      <w:pPr>
        <w:numPr>
          <w:ilvl w:val="0"/>
          <w:numId w:val="21"/>
        </w:numPr>
        <w:spacing w:line="360" w:after="210" w:lineRule="auto"/>
      </w:pPr>
      <w:hyperlink r:id="rId51">
        <w:r>
          <w:rPr>
            <w:rFonts w:eastAsia="inter" w:cs="inter" w:ascii="inter" w:hAnsi="inter"/>
            <w:color w:val="#000"/>
            <w:sz w:val="18"/>
            <w:u w:val="single"/>
          </w:rPr>
          <w:t xml:space="preserve">https://kpmg.com/us/en/media/news/kpmg-microsoft-collaboration-2024.html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5" w:name="fn17"/>
    <w:bookmarkEnd w:id="115"/>
    <w:p>
      <w:pPr>
        <w:numPr>
          <w:ilvl w:val="0"/>
          <w:numId w:val="21"/>
        </w:numPr>
        <w:spacing w:line="360" w:after="210" w:lineRule="auto"/>
      </w:pPr>
      <w:hyperlink r:id="rId52">
        <w:r>
          <w:rPr>
            <w:rFonts w:eastAsia="inter" w:cs="inter" w:ascii="inter" w:hAnsi="inter"/>
            <w:color w:val="#000"/>
            <w:sz w:val="18"/>
            <w:u w:val="single"/>
          </w:rPr>
          <w:t xml:space="preserve">https://kpmg.co.il/technologyconsulting/blog/inside-cloud-for-financial-services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6" w:name="fn18"/>
    <w:bookmarkEnd w:id="116"/>
    <w:p>
      <w:pPr>
        <w:numPr>
          <w:ilvl w:val="0"/>
          <w:numId w:val="21"/>
        </w:numPr>
        <w:spacing w:line="360" w:after="210" w:lineRule="auto"/>
      </w:pPr>
      <w:hyperlink r:id="rId53">
        <w:r>
          <w:rPr>
            <w:rFonts w:eastAsia="inter" w:cs="inter" w:ascii="inter" w:hAnsi="inter"/>
            <w:color w:val="#000"/>
            <w:sz w:val="18"/>
            <w:u w:val="single"/>
          </w:rPr>
          <w:t xml:space="preserve">https://kpmg.com/us/en/media/news/kpmg-google-cloud-partnership-expansion-2024.html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7" w:name="fn19"/>
    <w:bookmarkEnd w:id="117"/>
    <w:p>
      <w:pPr>
        <w:numPr>
          <w:ilvl w:val="0"/>
          <w:numId w:val="21"/>
        </w:numPr>
        <w:spacing w:line="360" w:after="210" w:lineRule="auto"/>
      </w:pPr>
      <w:hyperlink r:id="rId54">
        <w:r>
          <w:rPr>
            <w:rFonts w:eastAsia="inter" w:cs="inter" w:ascii="inter" w:hAnsi="inter"/>
            <w:color w:val="#000"/>
            <w:sz w:val="18"/>
            <w:u w:val="single"/>
          </w:rPr>
          <w:t xml:space="preserve">https://kpmg.com/us/en/media/news/kpmg-google-cloud-alliance-expansion-agentspace-adoption.html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8" w:name="fn20"/>
    <w:bookmarkEnd w:id="118"/>
    <w:p>
      <w:pPr>
        <w:numPr>
          <w:ilvl w:val="0"/>
          <w:numId w:val="21"/>
        </w:numPr>
        <w:spacing w:line="360" w:after="210" w:lineRule="auto"/>
      </w:pPr>
      <w:hyperlink r:id="rId55">
        <w:r>
          <w:rPr>
            <w:rFonts w:eastAsia="inter" w:cs="inter" w:ascii="inter" w:hAnsi="inter"/>
            <w:color w:val="#000"/>
            <w:sz w:val="18"/>
            <w:u w:val="single"/>
          </w:rPr>
          <w:t xml:space="preserve">https://kpmg.com/ae/en/media/press-releases/2025/11/kpmg-middle-east-to-power-the-regions-ai-and-cloud-growth.html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9" w:name="fn21"/>
    <w:bookmarkEnd w:id="119"/>
    <w:p>
      <w:pPr>
        <w:numPr>
          <w:ilvl w:val="0"/>
          <w:numId w:val="21"/>
        </w:numPr>
        <w:spacing w:line="360" w:after="210" w:lineRule="auto"/>
      </w:pPr>
      <w:hyperlink r:id="rId56">
        <w:r>
          <w:rPr>
            <w:rFonts w:eastAsia="inter" w:cs="inter" w:ascii="inter" w:hAnsi="inter"/>
            <w:color w:val="#000"/>
            <w:sz w:val="18"/>
            <w:u w:val="single"/>
          </w:rPr>
          <w:t xml:space="preserve">https://www.crn.com/news/cloud/israel-taps-aws-google-cloud-for-1b-state-cloud-infrastructure-project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0" w:name="fn22"/>
    <w:bookmarkEnd w:id="120"/>
    <w:p>
      <w:pPr>
        <w:numPr>
          <w:ilvl w:val="0"/>
          <w:numId w:val="21"/>
        </w:numPr>
        <w:spacing w:line="360" w:after="210" w:lineRule="auto"/>
      </w:pPr>
      <w:hyperlink r:id="rId57">
        <w:r>
          <w:rPr>
            <w:rFonts w:eastAsia="inter" w:cs="inter" w:ascii="inter" w:hAnsi="inter"/>
            <w:color w:val="#000"/>
            <w:sz w:val="18"/>
            <w:u w:val="single"/>
          </w:rPr>
          <w:t xml:space="preserve">https://www.govconwire.com/articles/aws-google-win-1b-israeli-government-cloud-migration-project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1" w:name="fn23"/>
    <w:bookmarkEnd w:id="121"/>
    <w:p>
      <w:pPr>
        <w:numPr>
          <w:ilvl w:val="0"/>
          <w:numId w:val="21"/>
        </w:numPr>
        <w:spacing w:line="360" w:after="210" w:lineRule="auto"/>
      </w:pPr>
      <w:hyperlink r:id="rId58">
        <w:r>
          <w:rPr>
            <w:rFonts w:eastAsia="inter" w:cs="inter" w:ascii="inter" w:hAnsi="inter"/>
            <w:color w:val="#000"/>
            <w:sz w:val="18"/>
            <w:u w:val="single"/>
          </w:rPr>
          <w:t xml:space="preserve">https://kpmg.com/xx/en/our-insights/ai-and-technology/ai-in-insurance-a-catalyst-for-change.html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2" w:name="fn24"/>
    <w:bookmarkEnd w:id="122"/>
    <w:p>
      <w:pPr>
        <w:numPr>
          <w:ilvl w:val="0"/>
          <w:numId w:val="21"/>
        </w:numPr>
        <w:spacing w:line="360" w:after="210" w:lineRule="auto"/>
      </w:pPr>
      <w:hyperlink r:id="rId59">
        <w:r>
          <w:rPr>
            <w:rFonts w:eastAsia="inter" w:cs="inter" w:ascii="inter" w:hAnsi="inter"/>
            <w:color w:val="#000"/>
            <w:sz w:val="18"/>
            <w:u w:val="single"/>
          </w:rPr>
          <w:t xml:space="preserve">https://assets.kpmg.com/content/dam/kpmg/ng/pdf/2025/intelligent-industries/Intelligent insurance - Report.pdf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3" w:name="fn25"/>
    <w:bookmarkEnd w:id="123"/>
    <w:p>
      <w:pPr>
        <w:numPr>
          <w:ilvl w:val="0"/>
          <w:numId w:val="21"/>
        </w:numPr>
        <w:spacing w:line="360" w:after="210" w:lineRule="auto"/>
      </w:pPr>
      <w:hyperlink r:id="rId60">
        <w:r>
          <w:rPr>
            <w:rFonts w:eastAsia="inter" w:cs="inter" w:ascii="inter" w:hAnsi="inter"/>
            <w:color w:val="#000"/>
            <w:sz w:val="18"/>
            <w:u w:val="single"/>
          </w:rPr>
          <w:t xml:space="preserve">https://kpmg.co.il/en/services/consulting-division/risk-management-and-internal-audit-consulting-grcs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4" w:name="fn26"/>
    <w:bookmarkEnd w:id="124"/>
    <w:p>
      <w:pPr>
        <w:numPr>
          <w:ilvl w:val="0"/>
          <w:numId w:val="21"/>
        </w:numPr>
        <w:spacing w:line="360" w:after="210" w:lineRule="auto"/>
      </w:pPr>
      <w:hyperlink r:id="rId61">
        <w:r>
          <w:rPr>
            <w:rFonts w:eastAsia="inter" w:cs="inter" w:ascii="inter" w:hAnsi="inter"/>
            <w:color w:val="#000"/>
            <w:sz w:val="18"/>
            <w:u w:val="single"/>
          </w:rPr>
          <w:t xml:space="preserve">https://kpmg.co.il/en/teams/communications-and-energy-team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5" w:name="fn27"/>
    <w:bookmarkEnd w:id="125"/>
    <w:p>
      <w:pPr>
        <w:numPr>
          <w:ilvl w:val="0"/>
          <w:numId w:val="21"/>
        </w:numPr>
        <w:spacing w:line="360" w:after="210" w:lineRule="auto"/>
      </w:pPr>
      <w:hyperlink r:id="rId62">
        <w:r>
          <w:rPr>
            <w:rFonts w:eastAsia="inter" w:cs="inter" w:ascii="inter" w:hAnsi="inter"/>
            <w:color w:val="#000"/>
            <w:sz w:val="18"/>
            <w:u w:val="single"/>
          </w:rPr>
          <w:t xml:space="preserve">https://kpmg.com/dk/en/ai/you-can-ease-your-esg-reporting-with-ai.html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6" w:name="fn28"/>
    <w:bookmarkEnd w:id="126"/>
    <w:p>
      <w:pPr>
        <w:numPr>
          <w:ilvl w:val="0"/>
          <w:numId w:val="21"/>
        </w:numPr>
        <w:spacing w:line="360" w:after="210" w:lineRule="auto"/>
      </w:pPr>
      <w:hyperlink r:id="rId63">
        <w:r>
          <w:rPr>
            <w:rFonts w:eastAsia="inter" w:cs="inter" w:ascii="inter" w:hAnsi="inter"/>
            <w:color w:val="#000"/>
            <w:sz w:val="18"/>
            <w:u w:val="single"/>
          </w:rPr>
          <w:t xml:space="preserve">https://kpmg.com/us/en/articles/2024/ai-for-supply-chain.html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7" w:name="fn29"/>
    <w:bookmarkEnd w:id="127"/>
    <w:p>
      <w:pPr>
        <w:numPr>
          <w:ilvl w:val="0"/>
          <w:numId w:val="21"/>
        </w:numPr>
        <w:spacing w:line="360" w:after="210" w:lineRule="auto"/>
      </w:pPr>
      <w:hyperlink r:id="rId64">
        <w:r>
          <w:rPr>
            <w:rFonts w:eastAsia="inter" w:cs="inter" w:ascii="inter" w:hAnsi="inter"/>
            <w:color w:val="#000"/>
            <w:sz w:val="18"/>
            <w:u w:val="single"/>
          </w:rPr>
          <w:t xml:space="preserve">https://kpmg.com/us/en/articles/2024/ai-enabled-supply-chain-planning.html</w:t>
        </w:r>
      </w:hyperlink>
      <w:r>
        <w:rPr>
          <w:rFonts w:eastAsia="inter" w:cs="inter" w:ascii="inter" w:hAnsi="inter"/>
          <w:color w:val="000000"/>
          <w:sz w:val="18"/>
        </w:rPr>
        <w:t xml:space="preserve"> </w:t>
      </w:r>
    </w:p>
    <w:bookmarkStart w:id="128" w:name="fn30"/>
    <w:bookmarkEnd w:id="128"/>
    <w:p>
      <w:pPr>
        <w:numPr>
          <w:ilvl w:val="0"/>
          <w:numId w:val="21"/>
        </w:numPr>
        <w:spacing w:line="360" w:after="210" w:lineRule="auto"/>
      </w:pPr>
      <w:hyperlink r:id="rId65">
        <w:r>
          <w:rPr>
            <w:rFonts w:eastAsia="inter" w:cs="inter" w:ascii="inter" w:hAnsi="inter"/>
            <w:color w:val="#000"/>
            <w:sz w:val="18"/>
            <w:u w:val="single"/>
          </w:rPr>
          <w:t xml:space="preserve">https://www.jpost.com/business-and-innovation/article-881246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9" w:name="fn31"/>
    <w:bookmarkEnd w:id="129"/>
    <w:p>
      <w:pPr>
        <w:numPr>
          <w:ilvl w:val="0"/>
          <w:numId w:val="21"/>
        </w:numPr>
        <w:spacing w:line="360" w:after="210" w:lineRule="auto"/>
      </w:pPr>
      <w:hyperlink r:id="rId66">
        <w:r>
          <w:rPr>
            <w:rFonts w:eastAsia="inter" w:cs="inter" w:ascii="inter" w:hAnsi="inter"/>
            <w:color w:val="#000"/>
            <w:sz w:val="18"/>
            <w:u w:val="single"/>
          </w:rPr>
          <w:t xml:space="preserve">https://www.insurancethoughtleadership.com/ai-machine-learning/how-ai-improves-insurance-efficiency-control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0" w:name="fn32"/>
    <w:bookmarkEnd w:id="130"/>
    <w:p>
      <w:pPr>
        <w:numPr>
          <w:ilvl w:val="0"/>
          <w:numId w:val="21"/>
        </w:numPr>
        <w:spacing w:line="360" w:after="210" w:lineRule="auto"/>
      </w:pPr>
      <w:hyperlink r:id="rId67">
        <w:r>
          <w:rPr>
            <w:rFonts w:eastAsia="inter" w:cs="inter" w:ascii="inter" w:hAnsi="inter"/>
            <w:color w:val="#000"/>
            <w:sz w:val="18"/>
            <w:u w:val="single"/>
          </w:rPr>
          <w:t xml:space="preserve">https://kpmg.co.il/en/teams/government-team</w:t>
        </w:r>
      </w:hyperlink>
      <w:r>
        <w:rPr>
          <w:rFonts w:eastAsia="inter" w:cs="inter" w:ascii="inter" w:hAnsi="inter"/>
          <w:color w:val="000000"/>
          <w:sz w:val="18"/>
        </w:rPr>
        <w:t xml:space="preserve"> </w:t>
      </w:r>
    </w:p>
    <w:bookmarkStart w:id="131" w:name="fn33"/>
    <w:bookmarkEnd w:id="131"/>
    <w:p>
      <w:pPr>
        <w:numPr>
          <w:ilvl w:val="0"/>
          <w:numId w:val="21"/>
        </w:numPr>
        <w:spacing w:line="360" w:after="210" w:lineRule="auto"/>
      </w:pPr>
      <w:hyperlink r:id="rId68">
        <w:r>
          <w:rPr>
            <w:rFonts w:eastAsia="inter" w:cs="inter" w:ascii="inter" w:hAnsi="inter"/>
            <w:color w:val="#000"/>
            <w:sz w:val="18"/>
            <w:u w:val="single"/>
          </w:rPr>
          <w:t xml:space="preserve">https://www.mdpi.com/2076-3417/12/16/7965/pdf?version=1660125077</w:t>
        </w:r>
      </w:hyperlink>
      <w:r>
        <w:rPr>
          <w:rFonts w:eastAsia="inter" w:cs="inter" w:ascii="inter" w:hAnsi="inter"/>
          <w:color w:val="000000"/>
          <w:sz w:val="18"/>
        </w:rPr>
        <w:t xml:space="preserve"> </w:t>
      </w:r>
    </w:p>
    <w:bookmarkStart w:id="132" w:name="fn34"/>
    <w:bookmarkEnd w:id="132"/>
    <w:p>
      <w:pPr>
        <w:numPr>
          <w:ilvl w:val="0"/>
          <w:numId w:val="21"/>
        </w:numPr>
        <w:spacing w:line="360" w:after="210" w:lineRule="auto"/>
      </w:pPr>
      <w:hyperlink r:id="rId69">
        <w:r>
          <w:rPr>
            <w:rFonts w:eastAsia="inter" w:cs="inter" w:ascii="inter" w:hAnsi="inter"/>
            <w:color w:val="#000"/>
            <w:sz w:val="18"/>
            <w:u w:val="single"/>
          </w:rPr>
          <w:t xml:space="preserve">https://www.mdpi.com/2076-3417/12/12/6258/pdf?version=1655719112</w:t>
        </w:r>
      </w:hyperlink>
      <w:r>
        <w:rPr>
          <w:rFonts w:eastAsia="inter" w:cs="inter" w:ascii="inter" w:hAnsi="inter"/>
          <w:color w:val="000000"/>
          <w:sz w:val="18"/>
        </w:rPr>
        <w:t xml:space="preserve"> </w:t>
      </w:r>
    </w:p>
    <w:bookmarkStart w:id="133" w:name="fn35"/>
    <w:bookmarkEnd w:id="133"/>
    <w:p>
      <w:pPr>
        <w:numPr>
          <w:ilvl w:val="0"/>
          <w:numId w:val="21"/>
        </w:numPr>
        <w:spacing w:line="360" w:after="210" w:lineRule="auto"/>
      </w:pPr>
      <w:hyperlink r:id="rId70">
        <w:r>
          <w:rPr>
            <w:rFonts w:eastAsia="inter" w:cs="inter" w:ascii="inter" w:hAnsi="inter"/>
            <w:color w:val="#000"/>
            <w:sz w:val="18"/>
            <w:u w:val="single"/>
          </w:rPr>
          <w:t xml:space="preserve">https://www.mdpi.com/2571-5577/7/2/24/pdf?version=1710582977</w:t>
        </w:r>
      </w:hyperlink>
      <w:r>
        <w:rPr>
          <w:rFonts w:eastAsia="inter" w:cs="inter" w:ascii="inter" w:hAnsi="inter"/>
          <w:color w:val="000000"/>
          <w:sz w:val="18"/>
        </w:rPr>
        <w:t xml:space="preserve"> </w:t>
      </w:r>
    </w:p>
    <w:bookmarkStart w:id="134" w:name="fn36"/>
    <w:bookmarkEnd w:id="134"/>
    <w:p>
      <w:pPr>
        <w:numPr>
          <w:ilvl w:val="0"/>
          <w:numId w:val="21"/>
        </w:numPr>
        <w:spacing w:line="360" w:after="210" w:lineRule="auto"/>
      </w:pPr>
      <w:hyperlink r:id="rId71">
        <w:r>
          <w:rPr>
            <w:rFonts w:eastAsia="inter" w:cs="inter" w:ascii="inter" w:hAnsi="inter"/>
            <w:color w:val="#000"/>
            <w:sz w:val="18"/>
            <w:u w:val="single"/>
          </w:rPr>
          <w:t xml:space="preserve">https://linkinghub.elsevier.com/retrieve/pii/S2095809917307130</w:t>
        </w:r>
      </w:hyperlink>
      <w:r>
        <w:rPr>
          <w:rFonts w:eastAsia="inter" w:cs="inter" w:ascii="inter" w:hAnsi="inter"/>
          <w:color w:val="000000"/>
          <w:sz w:val="18"/>
        </w:rPr>
        <w:t xml:space="preserve"> </w:t>
      </w:r>
    </w:p>
    <w:bookmarkStart w:id="135" w:name="fn37"/>
    <w:bookmarkEnd w:id="135"/>
    <w:p>
      <w:pPr>
        <w:numPr>
          <w:ilvl w:val="0"/>
          <w:numId w:val="21"/>
        </w:numPr>
        <w:spacing w:line="360" w:after="210" w:lineRule="auto"/>
      </w:pPr>
      <w:hyperlink r:id="rId72">
        <w:r>
          <w:rPr>
            <w:rFonts w:eastAsia="inter" w:cs="inter" w:ascii="inter" w:hAnsi="inter"/>
            <w:color w:val="#000"/>
            <w:sz w:val="18"/>
            <w:u w:val="single"/>
          </w:rPr>
          <w:t xml:space="preserve">https://www.mdpi.com/2076-3417/10/22/8300/pdf</w:t>
        </w:r>
      </w:hyperlink>
      <w:r>
        <w:rPr>
          <w:rFonts w:eastAsia="inter" w:cs="inter" w:ascii="inter" w:hAnsi="inter"/>
          <w:color w:val="000000"/>
          <w:sz w:val="18"/>
        </w:rPr>
        <w:t xml:space="preserve"> </w:t>
      </w:r>
    </w:p>
    <w:bookmarkStart w:id="136" w:name="fn38"/>
    <w:bookmarkEnd w:id="136"/>
    <w:p>
      <w:pPr>
        <w:numPr>
          <w:ilvl w:val="0"/>
          <w:numId w:val="21"/>
        </w:numPr>
        <w:spacing w:line="360" w:after="210" w:lineRule="auto"/>
      </w:pPr>
      <w:hyperlink r:id="rId73">
        <w:r>
          <w:rPr>
            <w:rFonts w:eastAsia="inter" w:cs="inter" w:ascii="inter" w:hAnsi="inter"/>
            <w:color w:val="#000"/>
            <w:sz w:val="18"/>
            <w:u w:val="single"/>
          </w:rPr>
          <w:t xml:space="preserve">https://www.mdpi.com/2071-1050/13/12/6659/pdf</w:t>
        </w:r>
      </w:hyperlink>
      <w:r>
        <w:rPr>
          <w:rFonts w:eastAsia="inter" w:cs="inter" w:ascii="inter" w:hAnsi="inter"/>
          <w:color w:val="000000"/>
          <w:sz w:val="18"/>
        </w:rPr>
        <w:t xml:space="preserve"> </w:t>
      </w:r>
    </w:p>
    <w:bookmarkStart w:id="137" w:name="fn39"/>
    <w:bookmarkEnd w:id="137"/>
    <w:p>
      <w:pPr>
        <w:numPr>
          <w:ilvl w:val="0"/>
          <w:numId w:val="21"/>
        </w:numPr>
        <w:spacing w:line="360" w:after="210" w:lineRule="auto"/>
      </w:pPr>
      <w:hyperlink r:id="rId74">
        <w:r>
          <w:rPr>
            <w:rFonts w:eastAsia="inter" w:cs="inter" w:ascii="inter" w:hAnsi="inter"/>
            <w:color w:val="#000"/>
            <w:sz w:val="18"/>
            <w:u w:val="single"/>
          </w:rPr>
          <w:t xml:space="preserve">https://www.mdpi.com/2079-8954/11/10/494/pdf?version=1695863824</w:t>
        </w:r>
      </w:hyperlink>
      <w:r>
        <w:rPr>
          <w:rFonts w:eastAsia="inter" w:cs="inter" w:ascii="inter" w:hAnsi="inter"/>
          <w:color w:val="000000"/>
          <w:sz w:val="18"/>
        </w:rPr>
        <w:t xml:space="preserve"> </w:t>
      </w:r>
    </w:p>
    <w:bookmarkStart w:id="138" w:name="fn40"/>
    <w:bookmarkEnd w:id="138"/>
    <w:p>
      <w:pPr>
        <w:numPr>
          <w:ilvl w:val="0"/>
          <w:numId w:val="21"/>
        </w:numPr>
        <w:spacing w:line="360" w:after="210" w:lineRule="auto"/>
      </w:pPr>
      <w:hyperlink r:id="rId75">
        <w:r>
          <w:rPr>
            <w:rFonts w:eastAsia="inter" w:cs="inter" w:ascii="inter" w:hAnsi="inter"/>
            <w:color w:val="#000"/>
            <w:sz w:val="18"/>
            <w:u w:val="single"/>
          </w:rPr>
          <w:t xml:space="preserve">https://www.mdpi.com/1424-8220/22/12/4501/pdf?version=1655212625</w:t>
        </w:r>
      </w:hyperlink>
      <w:r>
        <w:rPr>
          <w:rFonts w:eastAsia="inter" w:cs="inter" w:ascii="inter" w:hAnsi="inter"/>
          <w:color w:val="000000"/>
          <w:sz w:val="18"/>
        </w:rPr>
        <w:t xml:space="preserve"> </w:t>
      </w:r>
    </w:p>
    <w:bookmarkStart w:id="139" w:name="fn41"/>
    <w:bookmarkEnd w:id="139"/>
    <w:p>
      <w:pPr>
        <w:numPr>
          <w:ilvl w:val="0"/>
          <w:numId w:val="21"/>
        </w:numPr>
        <w:spacing w:line="360" w:after="210" w:lineRule="auto"/>
      </w:pPr>
      <w:hyperlink r:id="rId76">
        <w:r>
          <w:rPr>
            <w:rFonts w:eastAsia="inter" w:cs="inter" w:ascii="inter" w:hAnsi="inter"/>
            <w:color w:val="#000"/>
            <w:sz w:val="18"/>
            <w:u w:val="single"/>
          </w:rPr>
          <w:t xml:space="preserve">https://assets.kpmg.com/content/dam/kpmg/xx/pdf/2018/10/industry-4-0-investment-dont-leave-government-incentives-on-the-table.pdf</w:t>
        </w:r>
      </w:hyperlink>
      <w:r>
        <w:rPr>
          <w:rFonts w:eastAsia="inter" w:cs="inter" w:ascii="inter" w:hAnsi="inter"/>
          <w:color w:val="000000"/>
          <w:sz w:val="18"/>
        </w:rPr>
        <w:t xml:space="preserve"> </w:t>
      </w:r>
    </w:p>
    <w:bookmarkStart w:id="140" w:name="fn42"/>
    <w:bookmarkEnd w:id="140"/>
    <w:p>
      <w:pPr>
        <w:numPr>
          <w:ilvl w:val="0"/>
          <w:numId w:val="21"/>
        </w:numPr>
        <w:spacing w:line="360" w:after="210" w:lineRule="auto"/>
      </w:pPr>
      <w:hyperlink r:id="rId77">
        <w:r>
          <w:rPr>
            <w:rFonts w:eastAsia="inter" w:cs="inter" w:ascii="inter" w:hAnsi="inter"/>
            <w:color w:val="#000"/>
            <w:sz w:val="18"/>
            <w:u w:val="single"/>
          </w:rPr>
          <w:t xml:space="preserve">https://assets.kpmg.com/content/dam/kpmgsites/in/pdf/2024/08/esg-in-the-age-of-ai.pdf.coredownload.inline.pdf</w:t>
        </w:r>
      </w:hyperlink>
      <w:r>
        <w:rPr>
          <w:rFonts w:eastAsia="inter" w:cs="inter" w:ascii="inter" w:hAnsi="inter"/>
          <w:color w:val="000000"/>
          <w:sz w:val="18"/>
        </w:rPr>
        <w:t xml:space="preserve"> </w:t>
      </w:r>
    </w:p>
    <w:bookmarkStart w:id="141" w:name="fn43"/>
    <w:bookmarkEnd w:id="141"/>
    <w:p>
      <w:pPr>
        <w:numPr>
          <w:ilvl w:val="0"/>
          <w:numId w:val="21"/>
        </w:numPr>
        <w:spacing w:line="360" w:after="210" w:lineRule="auto"/>
      </w:pPr>
      <w:hyperlink r:id="rId78">
        <w:r>
          <w:rPr>
            <w:rFonts w:eastAsia="inter" w:cs="inter" w:ascii="inter" w:hAnsi="inter"/>
            <w:color w:val="#000"/>
            <w:sz w:val="18"/>
            <w:u w:val="single"/>
          </w:rPr>
          <w:t xml:space="preserve">https://kpmg.co.il/lp/ai-imp-result</w:t>
        </w:r>
      </w:hyperlink>
      <w:r>
        <w:rPr>
          <w:rFonts w:eastAsia="inter" w:cs="inter" w:ascii="inter" w:hAnsi="inter"/>
          <w:color w:val="000000"/>
          <w:sz w:val="18"/>
        </w:rPr>
        <w:t xml:space="preserve"> </w:t>
      </w:r>
    </w:p>
    <w:bookmarkStart w:id="142" w:name="fn44"/>
    <w:bookmarkEnd w:id="142"/>
    <w:p>
      <w:pPr>
        <w:numPr>
          <w:ilvl w:val="0"/>
          <w:numId w:val="21"/>
        </w:numPr>
        <w:spacing w:line="360" w:after="210" w:lineRule="auto"/>
      </w:pPr>
      <w:hyperlink r:id="rId79">
        <w:r>
          <w:rPr>
            <w:rFonts w:eastAsia="inter" w:cs="inter" w:ascii="inter" w:hAnsi="inter"/>
            <w:color w:val="#000"/>
            <w:sz w:val="18"/>
            <w:u w:val="single"/>
          </w:rPr>
          <w:t xml:space="preserve">https://kpmg.com/xx/en/what-we-do/services/ESG/technology-data-and-artificial-intelligence.html</w:t>
        </w:r>
      </w:hyperlink>
      <w:r>
        <w:rPr>
          <w:rFonts w:eastAsia="inter" w:cs="inter" w:ascii="inter" w:hAnsi="inter"/>
          <w:color w:val="000000"/>
          <w:sz w:val="18"/>
        </w:rPr>
        <w:t xml:space="preserve"> </w:t>
      </w:r>
    </w:p>
    <w:bookmarkStart w:id="143" w:name="fn45"/>
    <w:bookmarkEnd w:id="143"/>
    <w:p>
      <w:pPr>
        <w:numPr>
          <w:ilvl w:val="0"/>
          <w:numId w:val="21"/>
        </w:numPr>
        <w:spacing w:line="360" w:after="210" w:lineRule="auto"/>
      </w:pPr>
      <w:hyperlink r:id="rId80">
        <w:r>
          <w:rPr>
            <w:rFonts w:eastAsia="inter" w:cs="inter" w:ascii="inter" w:hAnsi="inter"/>
            <w:color w:val="#000"/>
            <w:sz w:val="18"/>
            <w:u w:val="single"/>
          </w:rPr>
          <w:t xml:space="preserve">https://arxiv.org/pdf/2404.04101.pdf</w:t>
        </w:r>
      </w:hyperlink>
      <w:r>
        <w:rPr>
          <w:rFonts w:eastAsia="inter" w:cs="inter" w:ascii="inter" w:hAnsi="inter"/>
          <w:color w:val="000000"/>
          <w:sz w:val="18"/>
        </w:rPr>
        <w:t xml:space="preserve"> </w:t>
      </w:r>
    </w:p>
    <w:bookmarkStart w:id="144" w:name="fn46"/>
    <w:bookmarkEnd w:id="144"/>
    <w:p>
      <w:pPr>
        <w:numPr>
          <w:ilvl w:val="0"/>
          <w:numId w:val="21"/>
        </w:numPr>
        <w:spacing w:line="360" w:after="210" w:lineRule="auto"/>
      </w:pPr>
      <w:hyperlink r:id="rId81">
        <w:r>
          <w:rPr>
            <w:rFonts w:eastAsia="inter" w:cs="inter" w:ascii="inter" w:hAnsi="inter"/>
            <w:color w:val="#000"/>
            <w:sz w:val="18"/>
            <w:u w:val="single"/>
          </w:rPr>
          <w:t xml:space="preserve">https://linkinghub.elsevier.com/retrieve/pii/S0148296324000468</w:t>
        </w:r>
      </w:hyperlink>
      <w:r>
        <w:rPr>
          <w:rFonts w:eastAsia="inter" w:cs="inter" w:ascii="inter" w:hAnsi="inter"/>
          <w:color w:val="000000"/>
          <w:sz w:val="18"/>
        </w:rPr>
        <w:t xml:space="preserve"> </w:t>
      </w:r>
    </w:p>
    <w:bookmarkStart w:id="145" w:name="fn47"/>
    <w:bookmarkEnd w:id="145"/>
    <w:p>
      <w:pPr>
        <w:numPr>
          <w:ilvl w:val="0"/>
          <w:numId w:val="21"/>
        </w:numPr>
        <w:spacing w:line="360" w:after="210" w:lineRule="auto"/>
      </w:pPr>
      <w:hyperlink r:id="rId82">
        <w:r>
          <w:rPr>
            <w:rFonts w:eastAsia="inter" w:cs="inter" w:ascii="inter" w:hAnsi="inter"/>
            <w:color w:val="#000"/>
            <w:sz w:val="18"/>
            <w:u w:val="single"/>
          </w:rPr>
          <w:t xml:space="preserve">https://arxiv.org/pdf/2312.00087.pdf</w:t>
        </w:r>
      </w:hyperlink>
      <w:r>
        <w:rPr>
          <w:rFonts w:eastAsia="inter" w:cs="inter" w:ascii="inter" w:hAnsi="inter"/>
          <w:color w:val="000000"/>
          <w:sz w:val="18"/>
        </w:rPr>
        <w:t xml:space="preserve"> </w:t>
      </w:r>
    </w:p>
    <w:bookmarkStart w:id="146" w:name="fn48"/>
    <w:bookmarkEnd w:id="146"/>
    <w:p>
      <w:pPr>
        <w:numPr>
          <w:ilvl w:val="0"/>
          <w:numId w:val="21"/>
        </w:numPr>
        <w:spacing w:line="360" w:after="210" w:lineRule="auto"/>
      </w:pPr>
      <w:hyperlink r:id="rId83">
        <w:r>
          <w:rPr>
            <w:rFonts w:eastAsia="inter" w:cs="inter" w:ascii="inter" w:hAnsi="inter"/>
            <w:color w:val="#000"/>
            <w:sz w:val="18"/>
            <w:u w:val="single"/>
          </w:rPr>
          <w:t xml:space="preserve">http://arxiv.org/pdf/2411.14437.pdf</w:t>
        </w:r>
      </w:hyperlink>
      <w:r>
        <w:rPr>
          <w:rFonts w:eastAsia="inter" w:cs="inter" w:ascii="inter" w:hAnsi="inter"/>
          <w:color w:val="000000"/>
          <w:sz w:val="18"/>
        </w:rPr>
        <w:t xml:space="preserve"> </w:t>
      </w:r>
    </w:p>
    <w:bookmarkStart w:id="147" w:name="fn49"/>
    <w:bookmarkEnd w:id="147"/>
    <w:p>
      <w:pPr>
        <w:numPr>
          <w:ilvl w:val="0"/>
          <w:numId w:val="21"/>
        </w:numPr>
        <w:spacing w:line="360" w:after="210" w:lineRule="auto"/>
      </w:pPr>
      <w:hyperlink r:id="rId84">
        <w:r>
          <w:rPr>
            <w:rFonts w:eastAsia="inter" w:cs="inter" w:ascii="inter" w:hAnsi="inter"/>
            <w:color w:val="#000"/>
            <w:sz w:val="18"/>
            <w:u w:val="single"/>
          </w:rPr>
          <w:t xml:space="preserve">http://arxiv.org/pdf/2502.09479.pdf</w:t>
        </w:r>
      </w:hyperlink>
      <w:r>
        <w:rPr>
          <w:rFonts w:eastAsia="inter" w:cs="inter" w:ascii="inter" w:hAnsi="inter"/>
          <w:color w:val="000000"/>
          <w:sz w:val="18"/>
        </w:rPr>
        <w:t xml:space="preserve"> </w:t>
      </w:r>
    </w:p>
    <w:bookmarkStart w:id="148" w:name="fn50"/>
    <w:bookmarkEnd w:id="148"/>
    <w:p>
      <w:pPr>
        <w:numPr>
          <w:ilvl w:val="0"/>
          <w:numId w:val="21"/>
        </w:numPr>
        <w:spacing w:line="360" w:after="210" w:lineRule="auto"/>
      </w:pPr>
      <w:hyperlink r:id="rId85">
        <w:r>
          <w:rPr>
            <w:rFonts w:eastAsia="inter" w:cs="inter" w:ascii="inter" w:hAnsi="inter"/>
            <w:color w:val="#000"/>
            <w:sz w:val="18"/>
            <w:u w:val="single"/>
          </w:rPr>
          <w:t xml:space="preserve">https://arxiv.org/pdf/2410.18357.pdf</w:t>
        </w:r>
      </w:hyperlink>
      <w:r>
        <w:rPr>
          <w:rFonts w:eastAsia="inter" w:cs="inter" w:ascii="inter" w:hAnsi="inter"/>
          <w:color w:val="000000"/>
          <w:sz w:val="18"/>
        </w:rPr>
        <w:t xml:space="preserve"> </w:t>
      </w:r>
    </w:p>
    <w:bookmarkStart w:id="149" w:name="fn51"/>
    <w:bookmarkEnd w:id="149"/>
    <w:p>
      <w:pPr>
        <w:numPr>
          <w:ilvl w:val="0"/>
          <w:numId w:val="21"/>
        </w:numPr>
        <w:spacing w:line="360" w:after="210" w:lineRule="auto"/>
      </w:pPr>
      <w:hyperlink r:id="rId86">
        <w:r>
          <w:rPr>
            <w:rFonts w:eastAsia="inter" w:cs="inter" w:ascii="inter" w:hAnsi="inter"/>
            <w:color w:val="#000"/>
            <w:sz w:val="18"/>
            <w:u w:val="single"/>
          </w:rPr>
          <w:t xml:space="preserve">http://arxiv.org/pdf/2408.16771.pdf</w:t>
        </w:r>
      </w:hyperlink>
      <w:r>
        <w:rPr>
          <w:rFonts w:eastAsia="inter" w:cs="inter" w:ascii="inter" w:hAnsi="inter"/>
          <w:color w:val="000000"/>
          <w:sz w:val="18"/>
        </w:rPr>
        <w:t xml:space="preserve"> </w:t>
      </w:r>
    </w:p>
    <w:bookmarkStart w:id="150" w:name="fn52"/>
    <w:bookmarkEnd w:id="150"/>
    <w:p>
      <w:pPr>
        <w:numPr>
          <w:ilvl w:val="0"/>
          <w:numId w:val="21"/>
        </w:numPr>
        <w:spacing w:line="360" w:after="210" w:lineRule="auto"/>
      </w:pPr>
      <w:hyperlink r:id="rId87">
        <w:r>
          <w:rPr>
            <w:rFonts w:eastAsia="inter" w:cs="inter" w:ascii="inter" w:hAnsi="inter"/>
            <w:color w:val="#000"/>
            <w:sz w:val="18"/>
            <w:u w:val="single"/>
          </w:rPr>
          <w:t xml:space="preserve">https://kpmg.com/xx/en/what-we-do/services/ai/intelligent-banking.html</w:t>
        </w:r>
      </w:hyperlink>
      <w:r>
        <w:rPr>
          <w:rFonts w:eastAsia="inter" w:cs="inter" w:ascii="inter" w:hAnsi="inter"/>
          <w:color w:val="000000"/>
          <w:sz w:val="18"/>
        </w:rPr>
        <w:t xml:space="preserve"> </w:t>
      </w:r>
    </w:p>
    <w:bookmarkStart w:id="151" w:name="fn53"/>
    <w:bookmarkEnd w:id="151"/>
    <w:p>
      <w:pPr>
        <w:numPr>
          <w:ilvl w:val="0"/>
          <w:numId w:val="21"/>
        </w:numPr>
        <w:spacing w:line="360" w:after="210" w:lineRule="auto"/>
      </w:pPr>
      <w:hyperlink r:id="rId88">
        <w:r>
          <w:rPr>
            <w:rFonts w:eastAsia="inter" w:cs="inter" w:ascii="inter" w:hAnsi="inter"/>
            <w:color w:val="#000"/>
            <w:sz w:val="18"/>
            <w:u w:val="single"/>
          </w:rPr>
          <w:t xml:space="preserve">https://kpmg.com/xx/en/what-we-do/services/audit/ai-and-technology.html</w:t>
        </w:r>
      </w:hyperlink>
      <w:r>
        <w:rPr>
          <w:rFonts w:eastAsia="inter" w:cs="inter" w:ascii="inter" w:hAnsi="inter"/>
          <w:color w:val="000000"/>
          <w:sz w:val="18"/>
        </w:rPr>
        <w:t xml:space="preserve"> </w:t>
      </w:r>
    </w:p>
    <w:bookmarkStart w:id="152" w:name="fn54"/>
    <w:bookmarkEnd w:id="152"/>
    <w:p>
      <w:pPr>
        <w:numPr>
          <w:ilvl w:val="0"/>
          <w:numId w:val="21"/>
        </w:numPr>
        <w:spacing w:line="360" w:after="210" w:lineRule="auto"/>
      </w:pPr>
      <w:hyperlink r:id="rId89">
        <w:r>
          <w:rPr>
            <w:rFonts w:eastAsia="inter" w:cs="inter" w:ascii="inter" w:hAnsi="inter"/>
            <w:color w:val="#000"/>
            <w:sz w:val="18"/>
            <w:u w:val="single"/>
          </w:rPr>
          <w:t xml:space="preserve">https://kpmg.com/us/en/webcasts/2025/gen-ai-ma-tax.html</w:t>
        </w:r>
      </w:hyperlink>
      <w:r>
        <w:rPr>
          <w:rFonts w:eastAsia="inter" w:cs="inter" w:ascii="inter" w:hAnsi="inter"/>
          <w:color w:val="000000"/>
          <w:sz w:val="18"/>
        </w:rPr>
        <w:t xml:space="preserve"> </w:t>
      </w:r>
    </w:p>
    <w:bookmarkStart w:id="153" w:name="fn55"/>
    <w:bookmarkEnd w:id="153"/>
    <w:p>
      <w:pPr>
        <w:numPr>
          <w:ilvl w:val="0"/>
          <w:numId w:val="21"/>
        </w:numPr>
        <w:spacing w:line="360" w:after="210" w:lineRule="auto"/>
      </w:pPr>
      <w:hyperlink r:id="rId90">
        <w:r>
          <w:rPr>
            <w:rFonts w:eastAsia="inter" w:cs="inter" w:ascii="inter" w:hAnsi="inter"/>
            <w:color w:val="#000"/>
            <w:sz w:val="18"/>
            <w:u w:val="single"/>
          </w:rPr>
          <w:t xml:space="preserve">https://kpmg.com/content/dam/kpmgsites/xx/pdf/2026/01/kpmg-and-sap-banking-accelerating-banking-transformation-data-and-ai.pdf.coredownload.inline.pdf</w:t>
        </w:r>
      </w:hyperlink>
      <w:r>
        <w:rPr>
          <w:rFonts w:eastAsia="inter" w:cs="inter" w:ascii="inter" w:hAnsi="inter"/>
          <w:color w:val="000000"/>
          <w:sz w:val="18"/>
        </w:rPr>
        <w:t xml:space="preserve"> </w:t>
      </w:r>
    </w:p>
    <w:bookmarkStart w:id="154" w:name="fn56"/>
    <w:bookmarkEnd w:id="154"/>
    <w:p>
      <w:pPr>
        <w:numPr>
          <w:ilvl w:val="0"/>
          <w:numId w:val="21"/>
        </w:numPr>
        <w:spacing w:line="360" w:after="210" w:lineRule="auto"/>
      </w:pPr>
      <w:hyperlink r:id="rId91">
        <w:r>
          <w:rPr>
            <w:rFonts w:eastAsia="inter" w:cs="inter" w:ascii="inter" w:hAnsi="inter"/>
            <w:color w:val="#000"/>
            <w:sz w:val="18"/>
            <w:u w:val="single"/>
          </w:rPr>
          <w:t xml:space="preserve">https://assets.kpmg.com/content/dam/kpmgsites/ch/pdf/audit-with-ai-en.pdf</w:t>
        </w:r>
      </w:hyperlink>
      <w:r>
        <w:rPr>
          <w:rFonts w:eastAsia="inter" w:cs="inter" w:ascii="inter" w:hAnsi="inter"/>
          <w:color w:val="000000"/>
          <w:sz w:val="18"/>
        </w:rPr>
        <w:t xml:space="preserve"> </w:t>
      </w:r>
    </w:p>
    <w:bookmarkStart w:id="155" w:name="fn57"/>
    <w:bookmarkEnd w:id="155"/>
    <w:p>
      <w:pPr>
        <w:numPr>
          <w:ilvl w:val="0"/>
          <w:numId w:val="21"/>
        </w:numPr>
        <w:spacing w:line="360" w:after="210" w:lineRule="auto"/>
      </w:pPr>
      <w:hyperlink r:id="rId92">
        <w:r>
          <w:rPr>
            <w:rFonts w:eastAsia="inter" w:cs="inter" w:ascii="inter" w:hAnsi="inter"/>
            <w:color w:val="#000"/>
            <w:sz w:val="18"/>
            <w:u w:val="single"/>
          </w:rPr>
          <w:t xml:space="preserve">https://assets.kpmg.com/content/dam/kpmgsites/kw/pdf/insights/2025/04/Intelligent-banking---Report--High-res-.pdf.coredownload.inline.pdf</w:t>
        </w:r>
      </w:hyperlink>
      <w:r>
        <w:rPr>
          <w:rFonts w:eastAsia="inter" w:cs="inter" w:ascii="inter" w:hAnsi="inter"/>
          <w:color w:val="000000"/>
          <w:sz w:val="18"/>
        </w:rPr>
        <w:t xml:space="preserve"> </w:t>
      </w:r>
    </w:p>
    <w:bookmarkStart w:id="156" w:name="fn58"/>
    <w:bookmarkEnd w:id="156"/>
    <w:p>
      <w:pPr>
        <w:numPr>
          <w:ilvl w:val="0"/>
          <w:numId w:val="21"/>
        </w:numPr>
        <w:spacing w:line="360" w:after="210" w:lineRule="auto"/>
      </w:pPr>
      <w:hyperlink r:id="rId93">
        <w:r>
          <w:rPr>
            <w:rFonts w:eastAsia="inter" w:cs="inter" w:ascii="inter" w:hAnsi="inter"/>
            <w:color w:val="#000"/>
            <w:sz w:val="18"/>
            <w:u w:val="single"/>
          </w:rPr>
          <w:t xml:space="preserve">https://www.mdpi.com/1424-8220/25/6/1666</w:t>
        </w:r>
      </w:hyperlink>
      <w:r>
        <w:rPr>
          <w:rFonts w:eastAsia="inter" w:cs="inter" w:ascii="inter" w:hAnsi="inter"/>
          <w:color w:val="000000"/>
          <w:sz w:val="18"/>
        </w:rPr>
        <w:t xml:space="preserve"> </w:t>
      </w:r>
    </w:p>
    <w:bookmarkStart w:id="157" w:name="fn59"/>
    <w:bookmarkEnd w:id="157"/>
    <w:p>
      <w:pPr>
        <w:numPr>
          <w:ilvl w:val="0"/>
          <w:numId w:val="21"/>
        </w:numPr>
        <w:spacing w:line="360" w:after="210" w:lineRule="auto"/>
      </w:pPr>
      <w:hyperlink r:id="rId94">
        <w:r>
          <w:rPr>
            <w:rFonts w:eastAsia="inter" w:cs="inter" w:ascii="inter" w:hAnsi="inter"/>
            <w:color w:val="#000"/>
            <w:sz w:val="18"/>
            <w:u w:val="single"/>
          </w:rPr>
          <w:t xml:space="preserve">https://www.mdpi.com/2071-1050/16/3/1166/pdf?version=1706610296</w:t>
        </w:r>
      </w:hyperlink>
      <w:r>
        <w:rPr>
          <w:rFonts w:eastAsia="inter" w:cs="inter" w:ascii="inter" w:hAnsi="inter"/>
          <w:color w:val="000000"/>
          <w:sz w:val="18"/>
        </w:rPr>
        <w:t xml:space="preserve"> </w:t>
      </w:r>
    </w:p>
    <w:bookmarkStart w:id="158" w:name="fn60"/>
    <w:bookmarkEnd w:id="158"/>
    <w:p>
      <w:pPr>
        <w:numPr>
          <w:ilvl w:val="0"/>
          <w:numId w:val="21"/>
        </w:numPr>
        <w:spacing w:line="360" w:after="210" w:lineRule="auto"/>
      </w:pPr>
      <w:hyperlink r:id="rId95">
        <w:r>
          <w:rPr>
            <w:rFonts w:eastAsia="inter" w:cs="inter" w:ascii="inter" w:hAnsi="inter"/>
            <w:color w:val="#000"/>
            <w:sz w:val="18"/>
            <w:u w:val="single"/>
          </w:rPr>
          <w:t xml:space="preserve">http://arxiv.org/pdf/2412.12107.pdf</w:t>
        </w:r>
      </w:hyperlink>
      <w:r>
        <w:rPr>
          <w:rFonts w:eastAsia="inter" w:cs="inter" w:ascii="inter" w:hAnsi="inter"/>
          <w:color w:val="000000"/>
          <w:sz w:val="18"/>
        </w:rPr>
        <w:t xml:space="preserve"> </w:t>
      </w:r>
    </w:p>
    <w:bookmarkStart w:id="159" w:name="fn61"/>
    <w:bookmarkEnd w:id="159"/>
    <w:p>
      <w:pPr>
        <w:numPr>
          <w:ilvl w:val="0"/>
          <w:numId w:val="21"/>
        </w:numPr>
        <w:spacing w:line="360" w:after="210" w:lineRule="auto"/>
      </w:pPr>
      <w:hyperlink r:id="rId96">
        <w:r>
          <w:rPr>
            <w:rFonts w:eastAsia="inter" w:cs="inter" w:ascii="inter" w:hAnsi="inter"/>
            <w:color w:val="#000"/>
            <w:sz w:val="18"/>
            <w:u w:val="single"/>
          </w:rPr>
          <w:t xml:space="preserve">https://www.emerald.com/insight/content/doi/10.1108/IJOPM-05-2022-0282/full/pdf?title=the-mediating-role-of-knowledge-management-processes-in-the-effective-use-of-artificial-intelligence-in-manufacturing-firms</w:t>
        </w:r>
      </w:hyperlink>
      <w:r>
        <w:rPr>
          <w:rFonts w:eastAsia="inter" w:cs="inter" w:ascii="inter" w:hAnsi="inter"/>
          <w:color w:val="000000"/>
          <w:sz w:val="18"/>
        </w:rPr>
        <w:t xml:space="preserve"> </w:t>
      </w:r>
    </w:p>
    <w:bookmarkStart w:id="160" w:name="fn62"/>
    <w:bookmarkEnd w:id="160"/>
    <w:p>
      <w:pPr>
        <w:numPr>
          <w:ilvl w:val="0"/>
          <w:numId w:val="21"/>
        </w:numPr>
        <w:spacing w:line="360" w:after="210" w:lineRule="auto"/>
      </w:pPr>
      <w:hyperlink r:id="rId97">
        <w:r>
          <w:rPr>
            <w:rFonts w:eastAsia="inter" w:cs="inter" w:ascii="inter" w:hAnsi="inter"/>
            <w:color w:val="#000"/>
            <w:sz w:val="18"/>
            <w:u w:val="single"/>
          </w:rPr>
          <w:t xml:space="preserve">https://peerj.com/articles/cs-661.pdf</w:t>
        </w:r>
      </w:hyperlink>
      <w:r>
        <w:rPr>
          <w:rFonts w:eastAsia="inter" w:cs="inter" w:ascii="inter" w:hAnsi="inter"/>
          <w:color w:val="000000"/>
          <w:sz w:val="18"/>
        </w:rPr>
        <w:t xml:space="preserve"> </w:t>
      </w:r>
    </w:p>
    <w:bookmarkStart w:id="161" w:name="fn63"/>
    <w:bookmarkEnd w:id="161"/>
    <w:p>
      <w:pPr>
        <w:numPr>
          <w:ilvl w:val="0"/>
          <w:numId w:val="21"/>
        </w:numPr>
        <w:spacing w:line="360" w:after="210" w:lineRule="auto"/>
      </w:pPr>
      <w:hyperlink r:id="rId98">
        <w:r>
          <w:rPr>
            <w:rFonts w:eastAsia="inter" w:cs="inter" w:ascii="inter" w:hAnsi="inter"/>
            <w:color w:val="#000"/>
            <w:sz w:val="18"/>
            <w:u w:val="single"/>
          </w:rPr>
          <w:t xml:space="preserve">https://www.mdpi.com/2078-2489/14/12/645/pdf?version=1701439764</w:t>
        </w:r>
      </w:hyperlink>
      <w:r>
        <w:rPr>
          <w:rFonts w:eastAsia="inter" w:cs="inter" w:ascii="inter" w:hAnsi="inter"/>
          <w:color w:val="000000"/>
          <w:sz w:val="18"/>
        </w:rPr>
        <w:t xml:space="preserve"> </w:t>
      </w:r>
    </w:p>
    <w:bookmarkStart w:id="162" w:name="fn64"/>
    <w:bookmarkEnd w:id="162"/>
    <w:p>
      <w:pPr>
        <w:numPr>
          <w:ilvl w:val="0"/>
          <w:numId w:val="21"/>
        </w:numPr>
        <w:spacing w:line="360" w:after="210" w:lineRule="auto"/>
      </w:pPr>
      <w:hyperlink r:id="rId99">
        <w:r>
          <w:rPr>
            <w:rFonts w:eastAsia="inter" w:cs="inter" w:ascii="inter" w:hAnsi="inter"/>
            <w:color w:val="#000"/>
            <w:sz w:val="18"/>
            <w:u w:val="single"/>
          </w:rPr>
          <w:t xml:space="preserve">https://il.linkedin.com/in/eyal-gafni-04b47655</w:t>
        </w:r>
      </w:hyperlink>
      <w:r>
        <w:rPr>
          <w:rFonts w:eastAsia="inter" w:cs="inter" w:ascii="inter" w:hAnsi="inter"/>
          <w:color w:val="000000"/>
          <w:sz w:val="18"/>
        </w:rPr>
        <w:t xml:space="preserve"> </w:t>
      </w:r>
    </w:p>
    <w:bookmarkStart w:id="163" w:name="fn65"/>
    <w:bookmarkEnd w:id="163"/>
    <w:p>
      <w:pPr>
        <w:numPr>
          <w:ilvl w:val="0"/>
          <w:numId w:val="21"/>
        </w:numPr>
        <w:spacing w:line="360" w:after="210" w:lineRule="auto"/>
      </w:pPr>
      <w:hyperlink r:id="rId100">
        <w:r>
          <w:rPr>
            <w:rFonts w:eastAsia="inter" w:cs="inter" w:ascii="inter" w:hAnsi="inter"/>
            <w:color w:val="#000"/>
            <w:sz w:val="18"/>
            <w:u w:val="single"/>
          </w:rPr>
          <w:t xml:space="preserve">https://en.globes.co.il/en/article-digital-bank-one-zero-replaces-three-top-executives-1001521656</w:t>
        </w:r>
      </w:hyperlink>
      <w:r>
        <w:rPr>
          <w:rFonts w:eastAsia="inter" w:cs="inter" w:ascii="inter" w:hAnsi="inter"/>
          <w:color w:val="000000"/>
          <w:sz w:val="18"/>
        </w:rPr>
        <w:t xml:space="preserve"> </w:t>
      </w:r>
    </w:p>
    <w:bookmarkStart w:id="164" w:name="fn66"/>
    <w:bookmarkEnd w:id="164"/>
    <w:p>
      <w:pPr>
        <w:numPr>
          <w:ilvl w:val="0"/>
          <w:numId w:val="21"/>
        </w:numPr>
        <w:spacing w:line="360" w:after="210" w:lineRule="auto"/>
      </w:pPr>
      <w:hyperlink r:id="rId101">
        <w:r>
          <w:rPr>
            <w:rFonts w:eastAsia="inter" w:cs="inter" w:ascii="inter" w:hAnsi="inter"/>
            <w:color w:val="#000"/>
            <w:sz w:val="18"/>
            <w:u w:val="single"/>
          </w:rPr>
          <w:t xml:space="preserve">https://www.jpost.com/business-and-innovation/article-864029</w:t>
        </w:r>
      </w:hyperlink>
      <w:r>
        <w:rPr>
          <w:rFonts w:eastAsia="inter" w:cs="inter" w:ascii="inter" w:hAnsi="inter"/>
          <w:color w:val="000000"/>
          <w:sz w:val="18"/>
        </w:rPr>
        <w:t xml:space="preserve"> </w:t>
      </w:r>
    </w:p>
    <w:bookmarkStart w:id="165" w:name="fn67"/>
    <w:bookmarkEnd w:id="165"/>
    <w:p>
      <w:pPr>
        <w:numPr>
          <w:ilvl w:val="0"/>
          <w:numId w:val="21"/>
        </w:numPr>
        <w:spacing w:line="360" w:after="210" w:lineRule="auto"/>
      </w:pPr>
      <w:hyperlink r:id="rId102">
        <w:r>
          <w:rPr>
            <w:rFonts w:eastAsia="inter" w:cs="inter" w:ascii="inter" w:hAnsi="inter"/>
            <w:color w:val="#000"/>
            <w:sz w:val="18"/>
            <w:u w:val="single"/>
          </w:rPr>
          <w:t xml:space="preserve">https://www.calcalistech.com/tags/Digital_Banking</w:t>
        </w:r>
      </w:hyperlink>
      <w:r>
        <w:rPr>
          <w:rFonts w:eastAsia="inter" w:cs="inter" w:ascii="inter" w:hAnsi="inter"/>
          <w:color w:val="000000"/>
          <w:sz w:val="18"/>
        </w:rPr>
        <w:t xml:space="preserve"> </w:t>
      </w:r>
    </w:p>
    <w:bookmarkStart w:id="166" w:name="fn68"/>
    <w:bookmarkEnd w:id="166"/>
    <w:p>
      <w:pPr>
        <w:numPr>
          <w:ilvl w:val="0"/>
          <w:numId w:val="21"/>
        </w:numPr>
        <w:spacing w:line="360" w:after="210" w:lineRule="auto"/>
      </w:pPr>
      <w:hyperlink r:id="rId103">
        <w:r>
          <w:rPr>
            <w:rFonts w:eastAsia="inter" w:cs="inter" w:ascii="inter" w:hAnsi="inter"/>
            <w:color w:val="#000"/>
            <w:sz w:val="18"/>
            <w:u w:val="single"/>
          </w:rPr>
          <w:t xml:space="preserve">https://ieeexplore.ieee.org/document/11283779/</w:t>
        </w:r>
      </w:hyperlink>
      <w:r>
        <w:rPr>
          <w:rFonts w:eastAsia="inter" w:cs="inter" w:ascii="inter" w:hAnsi="inter"/>
          <w:color w:val="000000"/>
          <w:sz w:val="18"/>
        </w:rPr>
        <w:t xml:space="preserve"> </w:t>
      </w:r>
    </w:p>
    <w:bookmarkStart w:id="167" w:name="fn69"/>
    <w:bookmarkEnd w:id="167"/>
    <w:p>
      <w:pPr>
        <w:numPr>
          <w:ilvl w:val="0"/>
          <w:numId w:val="21"/>
        </w:numPr>
        <w:spacing w:line="360" w:after="210" w:lineRule="auto"/>
      </w:pPr>
      <w:hyperlink r:id="rId104">
        <w:r>
          <w:rPr>
            <w:rFonts w:eastAsia="inter" w:cs="inter" w:ascii="inter" w:hAnsi="inter"/>
            <w:color w:val="#000"/>
            <w:sz w:val="18"/>
            <w:u w:val="single"/>
          </w:rPr>
          <w:t xml:space="preserve">https://journal.ilmudata.co.id/index.php/RIGGS/article/view/2451</w:t>
        </w:r>
      </w:hyperlink>
      <w:r>
        <w:rPr>
          <w:rFonts w:eastAsia="inter" w:cs="inter" w:ascii="inter" w:hAnsi="inter"/>
          <w:color w:val="000000"/>
          <w:sz w:val="18"/>
        </w:rPr>
        <w:t xml:space="preserve"> </w:t>
      </w:r>
    </w:p>
    <w:bookmarkStart w:id="168" w:name="fn70"/>
    <w:bookmarkEnd w:id="168"/>
    <w:p>
      <w:pPr>
        <w:numPr>
          <w:ilvl w:val="0"/>
          <w:numId w:val="21"/>
        </w:numPr>
        <w:spacing w:line="360" w:after="210" w:lineRule="auto"/>
      </w:pPr>
      <w:hyperlink r:id="rId105">
        <w:r>
          <w:rPr>
            <w:rFonts w:eastAsia="inter" w:cs="inter" w:ascii="inter" w:hAnsi="inter"/>
            <w:color w:val="#000"/>
            <w:sz w:val="18"/>
            <w:u w:val="single"/>
          </w:rPr>
          <w:t xml:space="preserve">https://innovapath.us/index.php/IN/article/view/121</w:t>
        </w:r>
      </w:hyperlink>
      <w:r>
        <w:rPr>
          <w:rFonts w:eastAsia="inter" w:cs="inter" w:ascii="inter" w:hAnsi="inter"/>
          <w:color w:val="000000"/>
          <w:sz w:val="18"/>
        </w:rPr>
        <w:t xml:space="preserve"> </w:t>
      </w:r>
    </w:p>
    <w:bookmarkStart w:id="169" w:name="fn71"/>
    <w:bookmarkEnd w:id="169"/>
    <w:p>
      <w:pPr>
        <w:numPr>
          <w:ilvl w:val="0"/>
          <w:numId w:val="21"/>
        </w:numPr>
        <w:spacing w:line="360" w:after="210" w:lineRule="auto"/>
      </w:pPr>
      <w:hyperlink r:id="rId106">
        <w:r>
          <w:rPr>
            <w:rFonts w:eastAsia="inter" w:cs="inter" w:ascii="inter" w:hAnsi="inter"/>
            <w:color w:val="#000"/>
            <w:sz w:val="18"/>
            <w:u w:val="single"/>
          </w:rPr>
          <w:t xml:space="preserve">https://onlinelibrary.wiley.com/doi/10.1002/nau.70186</w:t>
        </w:r>
      </w:hyperlink>
      <w:r>
        <w:rPr>
          <w:rFonts w:eastAsia="inter" w:cs="inter" w:ascii="inter" w:hAnsi="inter"/>
          <w:color w:val="000000"/>
          <w:sz w:val="18"/>
        </w:rPr>
        <w:t xml:space="preserve"> </w:t>
      </w:r>
    </w:p>
    <w:bookmarkStart w:id="170" w:name="fn72"/>
    <w:bookmarkEnd w:id="170"/>
    <w:p>
      <w:pPr>
        <w:numPr>
          <w:ilvl w:val="0"/>
          <w:numId w:val="21"/>
        </w:numPr>
        <w:spacing w:line="360" w:after="210" w:lineRule="auto"/>
      </w:pPr>
      <w:hyperlink r:id="rId107">
        <w:r>
          <w:rPr>
            <w:rFonts w:eastAsia="inter" w:cs="inter" w:ascii="inter" w:hAnsi="inter"/>
            <w:color w:val="#000"/>
            <w:sz w:val="18"/>
            <w:u w:val="single"/>
          </w:rPr>
          <w:t xml:space="preserve">https://journal.whioce.com/index.php/csa/article/view/918</w:t>
        </w:r>
      </w:hyperlink>
      <w:r>
        <w:rPr>
          <w:rFonts w:eastAsia="inter" w:cs="inter" w:ascii="inter" w:hAnsi="inter"/>
          <w:color w:val="000000"/>
          <w:sz w:val="18"/>
        </w:rPr>
        <w:t xml:space="preserve"> </w:t>
      </w:r>
    </w:p>
    <w:bookmarkStart w:id="171" w:name="fn73"/>
    <w:bookmarkEnd w:id="171"/>
    <w:p>
      <w:pPr>
        <w:numPr>
          <w:ilvl w:val="0"/>
          <w:numId w:val="21"/>
        </w:numPr>
        <w:spacing w:line="360" w:after="210" w:lineRule="auto"/>
      </w:pPr>
      <w:hyperlink r:id="rId108">
        <w:r>
          <w:rPr>
            <w:rFonts w:eastAsia="inter" w:cs="inter" w:ascii="inter" w:hAnsi="inter"/>
            <w:color w:val="#000"/>
            <w:sz w:val="18"/>
            <w:u w:val="single"/>
          </w:rPr>
          <w:t xml:space="preserve">https://www.emerald.com/idd/article/doi/10.1108/IDD-05-2025-0125/1271372/The-impact-of-generative-AI-on-critical-thinking</w:t>
        </w:r>
      </w:hyperlink>
      <w:r>
        <w:rPr>
          <w:rFonts w:eastAsia="inter" w:cs="inter" w:ascii="inter" w:hAnsi="inter"/>
          <w:color w:val="000000"/>
          <w:sz w:val="18"/>
        </w:rPr>
        <w:t xml:space="preserve"> </w:t>
      </w:r>
    </w:p>
    <w:bookmarkStart w:id="172" w:name="fn74"/>
    <w:bookmarkEnd w:id="172"/>
    <w:p>
      <w:pPr>
        <w:numPr>
          <w:ilvl w:val="0"/>
          <w:numId w:val="21"/>
        </w:numPr>
        <w:spacing w:line="360" w:after="210" w:lineRule="auto"/>
      </w:pPr>
      <w:hyperlink r:id="rId109">
        <w:r>
          <w:rPr>
            <w:rFonts w:eastAsia="inter" w:cs="inter" w:ascii="inter" w:hAnsi="inter"/>
            <w:color w:val="#000"/>
            <w:sz w:val="18"/>
            <w:u w:val="single"/>
          </w:rPr>
          <w:t xml:space="preserve">https://www.mdpi.com/2075-4418/15/22/2890</w:t>
        </w:r>
      </w:hyperlink>
      <w:r>
        <w:rPr>
          <w:rFonts w:eastAsia="inter" w:cs="inter" w:ascii="inter" w:hAnsi="inter"/>
          <w:color w:val="000000"/>
          <w:sz w:val="18"/>
        </w:rPr>
        <w:t xml:space="preserve"> </w:t>
      </w:r>
    </w:p>
    <w:bookmarkStart w:id="173" w:name="fn75"/>
    <w:bookmarkEnd w:id="173"/>
    <w:p>
      <w:pPr>
        <w:numPr>
          <w:ilvl w:val="0"/>
          <w:numId w:val="21"/>
        </w:numPr>
        <w:spacing w:line="360" w:after="210" w:lineRule="auto"/>
      </w:pPr>
      <w:hyperlink r:id="rId110">
        <w:r>
          <w:rPr>
            <w:rFonts w:eastAsia="inter" w:cs="inter" w:ascii="inter" w:hAnsi="inter"/>
            <w:color w:val="#000"/>
            <w:sz w:val="18"/>
            <w:u w:val="single"/>
          </w:rPr>
          <w:t xml:space="preserve">https://www.semanticscholar.org/paper/44a1dda54446f7b7023888a67f1543e960496ec9</w:t>
        </w:r>
      </w:hyperlink>
      <w:r>
        <w:rPr>
          <w:rFonts w:eastAsia="inter" w:cs="inter" w:ascii="inter" w:hAnsi="inter"/>
          <w:color w:val="000000"/>
          <w:sz w:val="18"/>
        </w:rPr>
        <w:t xml:space="preserve"> </w:t>
      </w:r>
    </w:p>
    <w:bookmarkStart w:id="174" w:name="fn76"/>
    <w:bookmarkEnd w:id="174"/>
    <w:p>
      <w:pPr>
        <w:numPr>
          <w:ilvl w:val="0"/>
          <w:numId w:val="21"/>
        </w:numPr>
        <w:spacing w:line="360" w:after="210" w:lineRule="auto"/>
      </w:pPr>
      <w:hyperlink r:id="rId111">
        <w:r>
          <w:rPr>
            <w:rFonts w:eastAsia="inter" w:cs="inter" w:ascii="inter" w:hAnsi="inter"/>
            <w:color w:val="#000"/>
            <w:sz w:val="18"/>
            <w:u w:val="single"/>
          </w:rPr>
          <w:t xml:space="preserve">https://ejournal.unimap.edu.my/index.php/aset/article/view/2095</w:t>
        </w:r>
      </w:hyperlink>
      <w:r>
        <w:rPr>
          <w:rFonts w:eastAsia="inter" w:cs="inter" w:ascii="inter" w:hAnsi="inter"/>
          <w:color w:val="000000"/>
          <w:sz w:val="18"/>
        </w:rPr>
        <w:t xml:space="preserve"> </w:t>
      </w:r>
    </w:p>
    <w:bookmarkStart w:id="175" w:name="fn77"/>
    <w:bookmarkEnd w:id="175"/>
    <w:p>
      <w:pPr>
        <w:numPr>
          <w:ilvl w:val="0"/>
          <w:numId w:val="21"/>
        </w:numPr>
        <w:spacing w:line="360" w:after="210" w:lineRule="auto"/>
      </w:pPr>
      <w:hyperlink r:id="rId112">
        <w:r>
          <w:rPr>
            <w:rFonts w:eastAsia="inter" w:cs="inter" w:ascii="inter" w:hAnsi="inter"/>
            <w:color w:val="#000"/>
            <w:sz w:val="18"/>
            <w:u w:val="single"/>
          </w:rPr>
          <w:t xml:space="preserve">http://medrxiv.org/lookup/doi/10.1101/2025.06.19.25329916</w:t>
        </w:r>
      </w:hyperlink>
      <w:r>
        <w:rPr>
          <w:rFonts w:eastAsia="inter" w:cs="inter" w:ascii="inter" w:hAnsi="inter"/>
          <w:color w:val="000000"/>
          <w:sz w:val="18"/>
        </w:rPr>
        <w:t xml:space="preserve"> </w:t>
      </w:r>
    </w:p>
    <w:bookmarkStart w:id="176" w:name="fn78"/>
    <w:bookmarkEnd w:id="176"/>
    <w:p>
      <w:pPr>
        <w:numPr>
          <w:ilvl w:val="0"/>
          <w:numId w:val="21"/>
        </w:numPr>
        <w:spacing w:line="360" w:after="210" w:lineRule="auto"/>
      </w:pPr>
      <w:hyperlink r:id="rId113">
        <w:r>
          <w:rPr>
            <w:rFonts w:eastAsia="inter" w:cs="inter" w:ascii="inter" w:hAnsi="inter"/>
            <w:color w:val="#000"/>
            <w:sz w:val="18"/>
            <w:u w:val="single"/>
          </w:rPr>
          <w:t xml:space="preserve">https://www.mdpi.com/1099-4300/25/10/1429/pdf?version=1696854810</w:t>
        </w:r>
      </w:hyperlink>
      <w:r>
        <w:rPr>
          <w:rFonts w:eastAsia="inter" w:cs="inter" w:ascii="inter" w:hAnsi="inter"/>
          <w:color w:val="000000"/>
          <w:sz w:val="18"/>
        </w:rPr>
        <w:t xml:space="preserve"> </w:t>
      </w:r>
    </w:p>
    <w:bookmarkStart w:id="177" w:name="fn79"/>
    <w:bookmarkEnd w:id="177"/>
    <w:p>
      <w:pPr>
        <w:numPr>
          <w:ilvl w:val="0"/>
          <w:numId w:val="21"/>
        </w:numPr>
        <w:spacing w:line="360" w:after="210" w:lineRule="auto"/>
      </w:pPr>
      <w:hyperlink r:id="rId114">
        <w:r>
          <w:rPr>
            <w:rFonts w:eastAsia="inter" w:cs="inter" w:ascii="inter" w:hAnsi="inter"/>
            <w:color w:val="#000"/>
            <w:sz w:val="18"/>
            <w:u w:val="single"/>
          </w:rPr>
          <w:t xml:space="preserve">https://www.mdpi.com/2077-0383/14/5/1605</w:t>
        </w:r>
      </w:hyperlink>
      <w:r>
        <w:rPr>
          <w:rFonts w:eastAsia="inter" w:cs="inter" w:ascii="inter" w:hAnsi="inter"/>
          <w:color w:val="000000"/>
          <w:sz w:val="18"/>
        </w:rPr>
        <w:t xml:space="preserve"> </w:t>
      </w:r>
    </w:p>
    <w:bookmarkStart w:id="178" w:name="fn80"/>
    <w:bookmarkEnd w:id="178"/>
    <w:p>
      <w:pPr>
        <w:numPr>
          <w:ilvl w:val="0"/>
          <w:numId w:val="21"/>
        </w:numPr>
        <w:spacing w:line="360" w:after="210" w:lineRule="auto"/>
      </w:pPr>
      <w:hyperlink r:id="rId115">
        <w:r>
          <w:rPr>
            <w:rFonts w:eastAsia="inter" w:cs="inter" w:ascii="inter" w:hAnsi="inter"/>
            <w:color w:val="#000"/>
            <w:sz w:val="18"/>
            <w:u w:val="single"/>
          </w:rPr>
          <w:t xml:space="preserve">https://arxiv.org/pdf/2305.02231.pdf</w:t>
        </w:r>
      </w:hyperlink>
      <w:r>
        <w:rPr>
          <w:rFonts w:eastAsia="inter" w:cs="inter" w:ascii="inter" w:hAnsi="inter"/>
          <w:color w:val="000000"/>
          <w:sz w:val="18"/>
        </w:rPr>
        <w:t xml:space="preserve"> </w:t>
      </w:r>
    </w:p>
    <w:bookmarkStart w:id="179" w:name="fn81"/>
    <w:bookmarkEnd w:id="179"/>
    <w:p>
      <w:pPr>
        <w:numPr>
          <w:ilvl w:val="0"/>
          <w:numId w:val="21"/>
        </w:numPr>
        <w:spacing w:line="360" w:after="210" w:lineRule="auto"/>
      </w:pPr>
      <w:hyperlink r:id="rId116">
        <w:r>
          <w:rPr>
            <w:rFonts w:eastAsia="inter" w:cs="inter" w:ascii="inter" w:hAnsi="inter"/>
            <w:color w:val="#000"/>
            <w:sz w:val="18"/>
            <w:u w:val="single"/>
          </w:rPr>
          <w:t xml:space="preserve">https://arxiv.org/pdf/2303.11196.pdf</w:t>
        </w:r>
      </w:hyperlink>
      <w:r>
        <w:rPr>
          <w:rFonts w:eastAsia="inter" w:cs="inter" w:ascii="inter" w:hAnsi="inter"/>
          <w:color w:val="000000"/>
          <w:sz w:val="18"/>
        </w:rPr>
        <w:t xml:space="preserve"> </w:t>
      </w:r>
    </w:p>
    <w:bookmarkStart w:id="180" w:name="fn82"/>
    <w:bookmarkEnd w:id="180"/>
    <w:p>
      <w:pPr>
        <w:numPr>
          <w:ilvl w:val="0"/>
          <w:numId w:val="21"/>
        </w:numPr>
        <w:spacing w:line="360" w:after="210" w:lineRule="auto"/>
      </w:pPr>
      <w:hyperlink r:id="rId117">
        <w:r>
          <w:rPr>
            <w:rFonts w:eastAsia="inter" w:cs="inter" w:ascii="inter" w:hAnsi="inter"/>
            <w:color w:val="#000"/>
            <w:sz w:val="18"/>
            <w:u w:val="single"/>
          </w:rPr>
          <w:t xml:space="preserve">https://arxiv.org/html/2502.08650v2</w:t>
        </w:r>
      </w:hyperlink>
      <w:r>
        <w:rPr>
          <w:rFonts w:eastAsia="inter" w:cs="inter" w:ascii="inter" w:hAnsi="inter"/>
          <w:color w:val="000000"/>
          <w:sz w:val="18"/>
        </w:rPr>
        <w:t xml:space="preserve"> </w:t>
      </w:r>
    </w:p>
    <w:bookmarkStart w:id="181" w:name="fn83"/>
    <w:bookmarkEnd w:id="181"/>
    <w:p>
      <w:pPr>
        <w:numPr>
          <w:ilvl w:val="0"/>
          <w:numId w:val="21"/>
        </w:numPr>
        <w:spacing w:line="360" w:after="210" w:lineRule="auto"/>
      </w:pPr>
      <w:hyperlink r:id="rId118">
        <w:r>
          <w:rPr>
            <w:rFonts w:eastAsia="inter" w:cs="inter" w:ascii="inter" w:hAnsi="inter"/>
            <w:color w:val="#000"/>
            <w:sz w:val="18"/>
            <w:u w:val="single"/>
          </w:rPr>
          <w:t xml:space="preserve">https://arxiv.org/pdf/2503.04739.pdf</w:t>
        </w:r>
      </w:hyperlink>
      <w:r>
        <w:rPr>
          <w:rFonts w:eastAsia="inter" w:cs="inter" w:ascii="inter" w:hAnsi="inter"/>
          <w:color w:val="000000"/>
          <w:sz w:val="18"/>
        </w:rPr>
        <w:t xml:space="preserve"> </w:t>
      </w:r>
    </w:p>
    <w:bookmarkStart w:id="182" w:name="fn84"/>
    <w:bookmarkEnd w:id="182"/>
    <w:p>
      <w:pPr>
        <w:numPr>
          <w:ilvl w:val="0"/>
          <w:numId w:val="21"/>
        </w:numPr>
        <w:spacing w:line="360" w:after="210" w:lineRule="auto"/>
      </w:pPr>
      <w:hyperlink r:id="rId119">
        <w:r>
          <w:rPr>
            <w:rFonts w:eastAsia="inter" w:cs="inter" w:ascii="inter" w:hAnsi="inter"/>
            <w:color w:val="#000"/>
            <w:sz w:val="18"/>
            <w:u w:val="single"/>
          </w:rPr>
          <w:t xml:space="preserve">http://arxiv.org/pdf/2501.00959.pdf</w:t>
        </w:r>
      </w:hyperlink>
      <w:r>
        <w:rPr>
          <w:rFonts w:eastAsia="inter" w:cs="inter" w:ascii="inter" w:hAnsi="inter"/>
          <w:color w:val="000000"/>
          <w:sz w:val="18"/>
        </w:rPr>
        <w:t xml:space="preserve"> </w:t>
      </w:r>
    </w:p>
    <w:bookmarkStart w:id="183" w:name="fn85"/>
    <w:bookmarkEnd w:id="183"/>
    <w:p>
      <w:pPr>
        <w:numPr>
          <w:ilvl w:val="0"/>
          <w:numId w:val="21"/>
        </w:numPr>
        <w:spacing w:line="360" w:after="210" w:lineRule="auto"/>
      </w:pPr>
      <w:hyperlink r:id="rId120">
        <w:r>
          <w:rPr>
            <w:rFonts w:eastAsia="inter" w:cs="inter" w:ascii="inter" w:hAnsi="inter"/>
            <w:color w:val="#000"/>
            <w:sz w:val="18"/>
            <w:u w:val="single"/>
          </w:rPr>
          <w:t xml:space="preserve">https://arxiv.org/html/2403.15457v1</w:t>
        </w:r>
      </w:hyperlink>
      <w:r>
        <w:rPr>
          <w:rFonts w:eastAsia="inter" w:cs="inter" w:ascii="inter" w:hAnsi="inter"/>
          <w:color w:val="000000"/>
          <w:sz w:val="18"/>
        </w:rPr>
        <w:t xml:space="preserve"> </w:t>
      </w:r>
    </w:p>
    <w:bookmarkStart w:id="184" w:name="fn86"/>
    <w:bookmarkEnd w:id="184"/>
    <w:p>
      <w:pPr>
        <w:numPr>
          <w:ilvl w:val="0"/>
          <w:numId w:val="21"/>
        </w:numPr>
        <w:spacing w:line="360" w:after="210" w:lineRule="auto"/>
      </w:pPr>
      <w:hyperlink r:id="rId121">
        <w:r>
          <w:rPr>
            <w:rFonts w:eastAsia="inter" w:cs="inter" w:ascii="inter" w:hAnsi="inter"/>
            <w:color w:val="#000"/>
            <w:sz w:val="18"/>
            <w:u w:val="single"/>
          </w:rPr>
          <w:t xml:space="preserve">https://www.facebook.com/KPMG.IL/posts/𝐈𝐬𝐫𝐚𝐞𝐥𝐢-𝐭𝐞𝐜𝐡-𝐢𝐬-𝐦𝐚𝐤𝐢𝐧𝐠-𝐢𝐭𝐬-𝐦𝐚𝐫𝐤-𝐚𝐜𝐫𝐨𝐬𝐬-𝐄𝐮𝐫𝐨𝐩𝐞-𝐚𝐧𝐝-𝐧𝐨𝐭-𝐣𝐮𝐬𝐭-𝐭𝐡𝐫𝐨𝐮𝐠𝐡-𝐞𝐚𝐫𝐥𝐲-𝐬𝐭𝐚𝐠𝐞-𝐬/1447717680690183/</w:t>
        </w:r>
      </w:hyperlink>
      <w:r>
        <w:rPr>
          <w:rFonts w:eastAsia="inter" w:cs="inter" w:ascii="inter" w:hAnsi="inter"/>
          <w:color w:val="000000"/>
          <w:sz w:val="18"/>
        </w:rPr>
        <w:t xml:space="preserve"> </w:t>
      </w:r>
    </w:p>
    <w:bookmarkStart w:id="185" w:name="fn87"/>
    <w:bookmarkEnd w:id="185"/>
    <w:p>
      <w:pPr>
        <w:numPr>
          <w:ilvl w:val="0"/>
          <w:numId w:val="21"/>
        </w:numPr>
        <w:spacing w:line="360" w:after="210" w:lineRule="auto"/>
      </w:pPr>
      <w:hyperlink r:id="rId122">
        <w:r>
          <w:rPr>
            <w:rFonts w:eastAsia="inter" w:cs="inter" w:ascii="inter" w:hAnsi="inter"/>
            <w:color w:val="#000"/>
            <w:sz w:val="18"/>
            <w:u w:val="single"/>
          </w:rPr>
          <w:t xml:space="preserve">https://kpmg.com/il/en/home/industries/technology.html</w:t>
        </w:r>
      </w:hyperlink>
      <w:r>
        <w:rPr>
          <w:rFonts w:eastAsia="inter" w:cs="inter" w:ascii="inter" w:hAnsi="inter"/>
          <w:color w:val="000000"/>
          <w:sz w:val="18"/>
        </w:rPr>
        <w:t xml:space="preserve"> </w:t>
      </w:r>
    </w:p>
    <w:bookmarkStart w:id="186" w:name="fn88"/>
    <w:bookmarkEnd w:id="186"/>
    <w:p>
      <w:pPr>
        <w:numPr>
          <w:ilvl w:val="0"/>
          <w:numId w:val="21"/>
        </w:numPr>
        <w:spacing w:line="360" w:after="210" w:lineRule="auto"/>
      </w:pPr>
      <w:hyperlink r:id="rId123">
        <w:r>
          <w:rPr>
            <w:rFonts w:eastAsia="inter" w:cs="inter" w:ascii="inter" w:hAnsi="inter"/>
            <w:color w:val="#000"/>
            <w:sz w:val="18"/>
            <w:u w:val="single"/>
          </w:rPr>
          <w:t xml:space="preserve">https://barlaw.co.il/key-issues-shaping-israels-technology-sector-in-2025-and-insights-for-2026/</w:t>
        </w:r>
      </w:hyperlink>
      <w:r>
        <w:rPr>
          <w:rFonts w:eastAsia="inter" w:cs="inter" w:ascii="inter" w:hAnsi="inter"/>
          <w:color w:val="000000"/>
          <w:sz w:val="18"/>
        </w:rPr>
        <w:t xml:space="preserve"> </w:t>
      </w:r>
    </w:p>
    <w:bookmarkStart w:id="187" w:name="fn89"/>
    <w:bookmarkEnd w:id="187"/>
    <w:p>
      <w:pPr>
        <w:numPr>
          <w:ilvl w:val="0"/>
          <w:numId w:val="21"/>
        </w:numPr>
        <w:spacing w:line="360" w:after="210" w:lineRule="auto"/>
      </w:pPr>
      <w:hyperlink r:id="rId124">
        <w:r>
          <w:rPr>
            <w:rFonts w:eastAsia="inter" w:cs="inter" w:ascii="inter" w:hAnsi="inter"/>
            <w:color w:val="#000"/>
            <w:sz w:val="18"/>
            <w:u w:val="single"/>
          </w:rPr>
          <w:t xml:space="preserve">https://innovationisrael.org.il/en/wp-content/uploads/sites/3/2025/09/Israeli-Deep-Tech-report-2025_Dealroom.pdf</w:t>
        </w:r>
      </w:hyperlink>
      <w:r>
        <w:rPr>
          <w:rFonts w:eastAsia="inter" w:cs="inter" w:ascii="inter" w:hAnsi="inter"/>
          <w:color w:val="000000"/>
          <w:sz w:val="18"/>
        </w:rPr>
        <w:t xml:space="preserve"> </w:t>
      </w:r>
    </w:p>
    <w:bookmarkStart w:id="188" w:name="fn90"/>
    <w:bookmarkEnd w:id="188"/>
    <w:p>
      <w:pPr>
        <w:numPr>
          <w:ilvl w:val="0"/>
          <w:numId w:val="21"/>
        </w:numPr>
        <w:spacing w:line="360" w:after="210" w:lineRule="auto"/>
      </w:pPr>
      <w:hyperlink r:id="rId125">
        <w:r>
          <w:rPr>
            <w:rFonts w:eastAsia="inter" w:cs="inter" w:ascii="inter" w:hAnsi="inter"/>
            <w:color w:val="#000"/>
            <w:sz w:val="18"/>
            <w:u w:val="single"/>
          </w:rPr>
          <w:t xml:space="preserve">https://assets.kpmg.com/content/dam/kpmg/ng/pdf/2025/intelligent-industries/Intelligent tech - Report.pdf</w:t>
        </w:r>
      </w:hyperlink>
      <w:r>
        <w:rPr>
          <w:rFonts w:eastAsia="inter" w:cs="inter" w:ascii="inter" w:hAnsi="inter"/>
          <w:color w:val="000000"/>
          <w:sz w:val="18"/>
        </w:rPr>
        <w:t xml:space="preserve"> </w:t>
      </w:r>
    </w:p>
    <w:bookmarkStart w:id="189" w:name="fn91"/>
    <w:bookmarkEnd w:id="189"/>
    <w:p>
      <w:pPr>
        <w:numPr>
          <w:ilvl w:val="0"/>
          <w:numId w:val="21"/>
        </w:numPr>
        <w:spacing w:line="360" w:after="210" w:lineRule="auto"/>
      </w:pPr>
      <w:hyperlink r:id="rId126">
        <w:r>
          <w:rPr>
            <w:rFonts w:eastAsia="inter" w:cs="inter" w:ascii="inter" w:hAnsi="inter"/>
            <w:color w:val="#000"/>
            <w:sz w:val="18"/>
            <w:u w:val="single"/>
          </w:rPr>
          <w:t xml:space="preserve">https://kpmg.com/us/en/articles/2025/ai-revolutionizing-risk-management.html</w:t>
        </w:r>
      </w:hyperlink>
      <w:r>
        <w:rPr>
          <w:rFonts w:eastAsia="inter" w:cs="inter" w:ascii="inter" w:hAnsi="inter"/>
          <w:color w:val="000000"/>
          <w:sz w:val="18"/>
        </w:rPr>
        <w:t xml:space="preserve"> </w:t>
      </w:r>
    </w:p>
    <w:bookmarkStart w:id="190" w:name="fn92"/>
    <w:bookmarkEnd w:id="190"/>
    <w:p>
      <w:pPr>
        <w:numPr>
          <w:ilvl w:val="0"/>
          <w:numId w:val="21"/>
        </w:numPr>
        <w:spacing w:line="360" w:after="210" w:lineRule="auto"/>
      </w:pPr>
      <w:hyperlink r:id="rId127">
        <w:r>
          <w:rPr>
            <w:rFonts w:eastAsia="inter" w:cs="inter" w:ascii="inter" w:hAnsi="inter"/>
            <w:color w:val="#000"/>
            <w:sz w:val="18"/>
            <w:u w:val="single"/>
          </w:rPr>
          <w:t xml:space="preserve">https://assets.kpmg.com/content/dam/kpmgsites/au/pdf/2025/trusted-ai-iso-certification-factsheet.pdf.coredownload.inline.pdf</w:t>
        </w:r>
      </w:hyperlink>
      <w:r>
        <w:rPr>
          <w:rFonts w:eastAsia="inter" w:cs="inter" w:ascii="inter" w:hAnsi="inter"/>
          <w:color w:val="000000"/>
          <w:sz w:val="18"/>
        </w:rPr>
        <w:t xml:space="preserve"> </w:t>
      </w:r>
    </w:p>
    <w:bookmarkStart w:id="191" w:name="fn93"/>
    <w:bookmarkEnd w:id="191"/>
    <w:p>
      <w:pPr>
        <w:numPr>
          <w:ilvl w:val="0"/>
          <w:numId w:val="21"/>
        </w:numPr>
        <w:spacing w:line="360" w:after="210" w:lineRule="auto"/>
      </w:pPr>
      <w:hyperlink r:id="rId128">
        <w:r>
          <w:rPr>
            <w:rFonts w:eastAsia="inter" w:cs="inter" w:ascii="inter" w:hAnsi="inter"/>
            <w:color w:val="#000"/>
            <w:sz w:val="18"/>
            <w:u w:val="single"/>
          </w:rPr>
          <w:t xml:space="preserve">https://assets.kpmg.com/content/dam/kpmg/ng/pdf/2025/intelligent-industries/Intelligent manufacturing - Report.pdf</w:t>
        </w:r>
      </w:hyperlink>
      <w:r>
        <w:rPr>
          <w:rFonts w:eastAsia="inter" w:cs="inter" w:ascii="inter" w:hAnsi="inter"/>
          <w:color w:val="000000"/>
          <w:sz w:val="18"/>
        </w:rPr>
        <w:t xml:space="preserve"> </w:t>
      </w:r>
    </w:p>
    <w:bookmarkStart w:id="192" w:name="fn94"/>
    <w:bookmarkEnd w:id="192"/>
    <w:p>
      <w:pPr>
        <w:numPr>
          <w:ilvl w:val="0"/>
          <w:numId w:val="21"/>
        </w:numPr>
        <w:spacing w:line="360" w:after="210" w:lineRule="auto"/>
      </w:pPr>
      <w:hyperlink r:id="rId129">
        <w:r>
          <w:rPr>
            <w:rFonts w:eastAsia="inter" w:cs="inter" w:ascii="inter" w:hAnsi="inter"/>
            <w:color w:val="#000"/>
            <w:sz w:val="18"/>
            <w:u w:val="single"/>
          </w:rPr>
          <w:t xml:space="preserve">https://innovationisrael.org.il/wp-content/uploads/2025/05/AI-National-Program-en-14.5.25.pdf</w:t>
        </w:r>
      </w:hyperlink>
      <w:r>
        <w:rPr>
          <w:rFonts w:eastAsia="inter" w:cs="inter" w:ascii="inter" w:hAnsi="inter"/>
          <w:color w:val="000000"/>
          <w:sz w:val="18"/>
        </w:rPr>
        <w:t xml:space="preserve"> </w:t>
      </w:r>
    </w:p>
    <w:bookmarkStart w:id="193" w:name="fn95"/>
    <w:bookmarkEnd w:id="193"/>
    <w:p>
      <w:pPr>
        <w:numPr>
          <w:ilvl w:val="0"/>
          <w:numId w:val="21"/>
        </w:numPr>
        <w:spacing w:line="360" w:after="210" w:lineRule="auto"/>
      </w:pPr>
      <w:hyperlink r:id="rId130">
        <w:r>
          <w:rPr>
            <w:rFonts w:eastAsia="inter" w:cs="inter" w:ascii="inter" w:hAnsi="inter"/>
            <w:color w:val="#000"/>
            <w:sz w:val="18"/>
            <w:u w:val="single"/>
          </w:rPr>
          <w:t xml:space="preserve">https://www.semanticscholar.org/paper/8895b5aa36723f8d470eebd9ffb539187f863679</w:t>
        </w:r>
      </w:hyperlink>
      <w:r>
        <w:rPr>
          <w:rFonts w:eastAsia="inter" w:cs="inter" w:ascii="inter" w:hAnsi="inter"/>
          <w:color w:val="000000"/>
          <w:sz w:val="18"/>
        </w:rPr>
        <w:t xml:space="preserve"> </w:t>
      </w:r>
    </w:p>
    <w:bookmarkStart w:id="194" w:name="fn96"/>
    <w:bookmarkEnd w:id="194"/>
    <w:p>
      <w:pPr>
        <w:numPr>
          <w:ilvl w:val="0"/>
          <w:numId w:val="21"/>
        </w:numPr>
        <w:spacing w:line="360" w:after="210" w:lineRule="auto"/>
      </w:pPr>
      <w:hyperlink r:id="rId131">
        <w:r>
          <w:rPr>
            <w:rFonts w:eastAsia="inter" w:cs="inter" w:ascii="inter" w:hAnsi="inter"/>
            <w:color w:val="#000"/>
            <w:sz w:val="18"/>
            <w:u w:val="single"/>
          </w:rPr>
          <w:t xml:space="preserve">https://dspace.library.uu.nl/handle/1874/455469</w:t>
        </w:r>
      </w:hyperlink>
      <w:r>
        <w:rPr>
          <w:rFonts w:eastAsia="inter" w:cs="inter" w:ascii="inter" w:hAnsi="inter"/>
          <w:color w:val="000000"/>
          <w:sz w:val="18"/>
        </w:rPr>
        <w:t xml:space="preserve"> </w:t>
      </w:r>
    </w:p>
    <w:bookmarkStart w:id="195" w:name="fn97"/>
    <w:bookmarkEnd w:id="195"/>
    <w:p>
      <w:pPr>
        <w:numPr>
          <w:ilvl w:val="0"/>
          <w:numId w:val="21"/>
        </w:numPr>
        <w:spacing w:line="360" w:after="210" w:lineRule="auto"/>
      </w:pPr>
      <w:hyperlink r:id="rId132">
        <w:r>
          <w:rPr>
            <w:rFonts w:eastAsia="inter" w:cs="inter" w:ascii="inter" w:hAnsi="inter"/>
            <w:color w:val="#000"/>
            <w:sz w:val="18"/>
            <w:u w:val="single"/>
          </w:rPr>
          <w:t xml:space="preserve">https://arxiv.org/abs/2409.05919</w:t>
        </w:r>
      </w:hyperlink>
      <w:r>
        <w:rPr>
          <w:rFonts w:eastAsia="inter" w:cs="inter" w:ascii="inter" w:hAnsi="inter"/>
          <w:color w:val="000000"/>
          <w:sz w:val="18"/>
        </w:rPr>
        <w:t xml:space="preserve"> </w:t>
      </w:r>
    </w:p>
    <w:bookmarkStart w:id="196" w:name="fn98"/>
    <w:bookmarkEnd w:id="196"/>
    <w:p>
      <w:pPr>
        <w:numPr>
          <w:ilvl w:val="0"/>
          <w:numId w:val="21"/>
        </w:numPr>
        <w:spacing w:line="360" w:after="210" w:lineRule="auto"/>
      </w:pPr>
      <w:hyperlink r:id="rId133">
        <w:r>
          <w:rPr>
            <w:rFonts w:eastAsia="inter" w:cs="inter" w:ascii="inter" w:hAnsi="inter"/>
            <w:color w:val="#000"/>
            <w:sz w:val="18"/>
            <w:u w:val="single"/>
          </w:rPr>
          <w:t xml:space="preserve">https://www.aanda.org/10.1051/0004-6361/202450810</w:t>
        </w:r>
      </w:hyperlink>
      <w:r>
        <w:rPr>
          <w:rFonts w:eastAsia="inter" w:cs="inter" w:ascii="inter" w:hAnsi="inter"/>
          <w:color w:val="000000"/>
          <w:sz w:val="18"/>
        </w:rPr>
        <w:t xml:space="preserve"> </w:t>
      </w:r>
    </w:p>
    <w:bookmarkStart w:id="197" w:name="fn99"/>
    <w:bookmarkEnd w:id="197"/>
    <w:p>
      <w:pPr>
        <w:numPr>
          <w:ilvl w:val="0"/>
          <w:numId w:val="21"/>
        </w:numPr>
        <w:spacing w:line="360" w:after="210" w:lineRule="auto"/>
      </w:pPr>
      <w:hyperlink r:id="rId134">
        <w:r>
          <w:rPr>
            <w:rFonts w:eastAsia="inter" w:cs="inter" w:ascii="inter" w:hAnsi="inter"/>
            <w:color w:val="#000"/>
            <w:sz w:val="18"/>
            <w:u w:val="single"/>
          </w:rPr>
          <w:t xml:space="preserve">http://medrxiv.org/lookup/doi/10.1101/2022.06.19.22276350</w:t>
        </w:r>
      </w:hyperlink>
      <w:r>
        <w:rPr>
          <w:rFonts w:eastAsia="inter" w:cs="inter" w:ascii="inter" w:hAnsi="inter"/>
          <w:color w:val="000000"/>
          <w:sz w:val="18"/>
        </w:rPr>
        <w:t xml:space="preserve"> </w:t>
      </w:r>
    </w:p>
    <w:bookmarkStart w:id="198" w:name="fn100"/>
    <w:bookmarkEnd w:id="198"/>
    <w:p>
      <w:pPr>
        <w:numPr>
          <w:ilvl w:val="0"/>
          <w:numId w:val="21"/>
        </w:numPr>
        <w:spacing w:line="360" w:after="210" w:lineRule="auto"/>
      </w:pPr>
      <w:hyperlink r:id="rId135">
        <w:r>
          <w:rPr>
            <w:rFonts w:eastAsia="inter" w:cs="inter" w:ascii="inter" w:hAnsi="inter"/>
            <w:color w:val="#000"/>
            <w:sz w:val="18"/>
            <w:u w:val="single"/>
          </w:rPr>
          <w:t xml:space="preserve">https://journals.uic.edu/ojs/index.php/spir/article/view/12235</w:t>
        </w:r>
      </w:hyperlink>
      <w:r>
        <w:rPr>
          <w:rFonts w:eastAsia="inter" w:cs="inter" w:ascii="inter" w:hAnsi="inter"/>
          <w:color w:val="000000"/>
          <w:sz w:val="18"/>
        </w:rPr>
        <w:t xml:space="preserve"> </w:t>
      </w:r>
    </w:p>
    <w:bookmarkStart w:id="199" w:name="fn101"/>
    <w:bookmarkEnd w:id="199"/>
    <w:p>
      <w:pPr>
        <w:numPr>
          <w:ilvl w:val="0"/>
          <w:numId w:val="21"/>
        </w:numPr>
        <w:spacing w:line="360" w:after="210" w:lineRule="auto"/>
      </w:pPr>
      <w:hyperlink r:id="rId136">
        <w:r>
          <w:rPr>
            <w:rFonts w:eastAsia="inter" w:cs="inter" w:ascii="inter" w:hAnsi="inter"/>
            <w:color w:val="#000"/>
            <w:sz w:val="18"/>
            <w:u w:val="single"/>
          </w:rPr>
          <w:t xml:space="preserve">https://www.tandfonline.com/doi/full/10.1080/17483107.2020.1817163</w:t>
        </w:r>
      </w:hyperlink>
      <w:r>
        <w:rPr>
          <w:rFonts w:eastAsia="inter" w:cs="inter" w:ascii="inter" w:hAnsi="inter"/>
          <w:color w:val="000000"/>
          <w:sz w:val="18"/>
        </w:rPr>
        <w:t xml:space="preserve"> </w:t>
      </w:r>
    </w:p>
    <w:bookmarkStart w:id="200" w:name="fn102"/>
    <w:bookmarkEnd w:id="200"/>
    <w:p>
      <w:pPr>
        <w:numPr>
          <w:ilvl w:val="0"/>
          <w:numId w:val="21"/>
        </w:numPr>
        <w:spacing w:line="360" w:after="210" w:lineRule="auto"/>
      </w:pPr>
      <w:hyperlink r:id="rId137">
        <w:r>
          <w:rPr>
            <w:rFonts w:eastAsia="inter" w:cs="inter" w:ascii="inter" w:hAnsi="inter"/>
            <w:color w:val="#000"/>
            <w:sz w:val="18"/>
            <w:u w:val="single"/>
          </w:rPr>
          <w:t xml:space="preserve">https://ashpublications.org/blood/article/128/22/1778/91533/Incidence-of-Infectious-Complications-Associated</w:t>
        </w:r>
      </w:hyperlink>
      <w:r>
        <w:rPr>
          <w:rFonts w:eastAsia="inter" w:cs="inter" w:ascii="inter" w:hAnsi="inter"/>
          <w:color w:val="000000"/>
          <w:sz w:val="18"/>
        </w:rPr>
        <w:t xml:space="preserve"> </w:t>
      </w:r>
    </w:p>
    <w:bookmarkStart w:id="201" w:name="fn103"/>
    <w:bookmarkEnd w:id="201"/>
    <w:p>
      <w:pPr>
        <w:numPr>
          <w:ilvl w:val="0"/>
          <w:numId w:val="21"/>
        </w:numPr>
        <w:spacing w:line="360" w:after="210" w:lineRule="auto"/>
      </w:pPr>
      <w:hyperlink r:id="rId138">
        <w:r>
          <w:rPr>
            <w:rFonts w:eastAsia="inter" w:cs="inter" w:ascii="inter" w:hAnsi="inter"/>
            <w:color w:val="#000"/>
            <w:sz w:val="18"/>
            <w:u w:val="single"/>
          </w:rPr>
          <w:t xml:space="preserve">https://academic.oup.com/bioscience/article/68/10/828/5079872</w:t>
        </w:r>
      </w:hyperlink>
      <w:r>
        <w:rPr>
          <w:rFonts w:eastAsia="inter" w:cs="inter" w:ascii="inter" w:hAnsi="inter"/>
          <w:color w:val="000000"/>
          <w:sz w:val="18"/>
        </w:rPr>
        <w:t xml:space="preserve"> </w:t>
      </w:r>
    </w:p>
    <w:bookmarkStart w:id="202" w:name="fn104"/>
    <w:bookmarkEnd w:id="202"/>
    <w:p>
      <w:pPr>
        <w:numPr>
          <w:ilvl w:val="0"/>
          <w:numId w:val="21"/>
        </w:numPr>
        <w:spacing w:line="360" w:after="210" w:lineRule="auto"/>
      </w:pPr>
      <w:hyperlink r:id="rId139">
        <w:r>
          <w:rPr>
            <w:rFonts w:eastAsia="inter" w:cs="inter" w:ascii="inter" w:hAnsi="inter"/>
            <w:color w:val="#000"/>
            <w:sz w:val="18"/>
            <w:u w:val="single"/>
          </w:rPr>
          <w:t xml:space="preserve">https://www.semanticscholar.org/paper/cbb89a552e94978662b05e2e3aba73e7167bbab8</w:t>
        </w:r>
      </w:hyperlink>
      <w:r>
        <w:rPr>
          <w:rFonts w:eastAsia="inter" w:cs="inter" w:ascii="inter" w:hAnsi="inter"/>
          <w:color w:val="000000"/>
          <w:sz w:val="18"/>
        </w:rPr>
        <w:t xml:space="preserve"> </w:t>
      </w:r>
    </w:p>
    <w:bookmarkStart w:id="203" w:name="fn105"/>
    <w:bookmarkEnd w:id="203"/>
    <w:p>
      <w:pPr>
        <w:numPr>
          <w:ilvl w:val="0"/>
          <w:numId w:val="21"/>
        </w:numPr>
        <w:spacing w:line="360" w:after="210" w:lineRule="auto"/>
      </w:pPr>
      <w:hyperlink r:id="rId140">
        <w:r>
          <w:rPr>
            <w:rFonts w:eastAsia="inter" w:cs="inter" w:ascii="inter" w:hAnsi="inter"/>
            <w:color w:val="#000"/>
            <w:sz w:val="18"/>
            <w:u w:val="single"/>
          </w:rPr>
          <w:t xml:space="preserve">https://arxiv.org/html/2406.19256v1</w:t>
        </w:r>
      </w:hyperlink>
      <w:r>
        <w:rPr>
          <w:rFonts w:eastAsia="inter" w:cs="inter" w:ascii="inter" w:hAnsi="inter"/>
          <w:color w:val="000000"/>
          <w:sz w:val="18"/>
        </w:rPr>
        <w:t xml:space="preserve"> </w:t>
      </w:r>
    </w:p>
    <w:bookmarkStart w:id="204" w:name="fn106"/>
    <w:bookmarkEnd w:id="204"/>
    <w:p>
      <w:pPr>
        <w:numPr>
          <w:ilvl w:val="0"/>
          <w:numId w:val="21"/>
        </w:numPr>
        <w:spacing w:line="360" w:after="210" w:lineRule="auto"/>
      </w:pPr>
      <w:hyperlink r:id="rId141">
        <w:r>
          <w:rPr>
            <w:rFonts w:eastAsia="inter" w:cs="inter" w:ascii="inter" w:hAnsi="inter"/>
            <w:color w:val="#000"/>
            <w:sz w:val="18"/>
            <w:u w:val="single"/>
          </w:rPr>
          <w:t xml:space="preserve">https://www.mdpi.com/2071-1050/16/5/1790/pdf?version=1708581624</w:t>
        </w:r>
      </w:hyperlink>
      <w:r>
        <w:rPr>
          <w:rFonts w:eastAsia="inter" w:cs="inter" w:ascii="inter" w:hAnsi="inter"/>
          <w:color w:val="000000"/>
          <w:sz w:val="18"/>
        </w:rPr>
        <w:t xml:space="preserve"> </w:t>
      </w:r>
    </w:p>
    <w:bookmarkStart w:id="205" w:name="fn107"/>
    <w:bookmarkEnd w:id="205"/>
    <w:p>
      <w:pPr>
        <w:numPr>
          <w:ilvl w:val="0"/>
          <w:numId w:val="21"/>
        </w:numPr>
        <w:spacing w:line="360" w:after="210" w:lineRule="auto"/>
      </w:pPr>
      <w:hyperlink r:id="rId142">
        <w:r>
          <w:rPr>
            <w:rFonts w:eastAsia="inter" w:cs="inter" w:ascii="inter" w:hAnsi="inter"/>
            <w:color w:val="#000"/>
            <w:sz w:val="18"/>
            <w:u w:val="single"/>
          </w:rPr>
          <w:t xml:space="preserve">https://arxiv.org/html/2412.00224v1</w:t>
        </w:r>
      </w:hyperlink>
      <w:r>
        <w:rPr>
          <w:rFonts w:eastAsia="inter" w:cs="inter" w:ascii="inter" w:hAnsi="inter"/>
          <w:color w:val="000000"/>
          <w:sz w:val="18"/>
        </w:rPr>
        <w:t xml:space="preserve"> </w:t>
      </w:r>
    </w:p>
    <w:bookmarkStart w:id="206" w:name="fn108"/>
    <w:bookmarkEnd w:id="206"/>
    <w:p>
      <w:pPr>
        <w:numPr>
          <w:ilvl w:val="0"/>
          <w:numId w:val="21"/>
        </w:numPr>
        <w:spacing w:line="360" w:after="210" w:lineRule="auto"/>
      </w:pPr>
      <w:hyperlink r:id="rId143">
        <w:r>
          <w:rPr>
            <w:rFonts w:eastAsia="inter" w:cs="inter" w:ascii="inter" w:hAnsi="inter"/>
            <w:color w:val="#000"/>
            <w:sz w:val="18"/>
            <w:u w:val="single"/>
          </w:rPr>
          <w:t xml:space="preserve">https://arxiv.org/pdf/2108.13068.pdf</w:t>
        </w:r>
      </w:hyperlink>
      <w:r>
        <w:rPr>
          <w:rFonts w:eastAsia="inter" w:cs="inter" w:ascii="inter" w:hAnsi="inter"/>
          <w:color w:val="000000"/>
          <w:sz w:val="18"/>
        </w:rPr>
        <w:t xml:space="preserve"> </w:t>
      </w:r>
    </w:p>
    <w:bookmarkStart w:id="207" w:name="fn109"/>
    <w:bookmarkEnd w:id="207"/>
    <w:p>
      <w:pPr>
        <w:numPr>
          <w:ilvl w:val="0"/>
          <w:numId w:val="21"/>
        </w:numPr>
        <w:spacing w:line="360" w:after="210" w:lineRule="auto"/>
      </w:pPr>
      <w:hyperlink r:id="rId144">
        <w:r>
          <w:rPr>
            <w:rFonts w:eastAsia="inter" w:cs="inter" w:ascii="inter" w:hAnsi="inter"/>
            <w:color w:val="#000"/>
            <w:sz w:val="18"/>
            <w:u w:val="single"/>
          </w:rPr>
          <w:t xml:space="preserve">https://journals.sagepub.com/doi/pdf/10.1177/00081256231190430</w:t>
        </w:r>
      </w:hyperlink>
      <w:r>
        <w:rPr>
          <w:rFonts w:eastAsia="inter" w:cs="inter" w:ascii="inter" w:hAnsi="inter"/>
          <w:color w:val="000000"/>
          <w:sz w:val="18"/>
        </w:rPr>
        <w:t xml:space="preserve"> </w:t>
      </w:r>
    </w:p>
    <w:bookmarkStart w:id="208" w:name="fn110"/>
    <w:bookmarkEnd w:id="208"/>
    <w:p>
      <w:pPr>
        <w:numPr>
          <w:ilvl w:val="0"/>
          <w:numId w:val="21"/>
        </w:numPr>
        <w:spacing w:line="360" w:after="210" w:lineRule="auto"/>
      </w:pPr>
      <w:hyperlink r:id="rId145">
        <w:r>
          <w:rPr>
            <w:rFonts w:eastAsia="inter" w:cs="inter" w:ascii="inter" w:hAnsi="inter"/>
            <w:color w:val="#000"/>
            <w:sz w:val="18"/>
            <w:u w:val="single"/>
          </w:rPr>
          <w:t xml:space="preserve">https://arxiv.org/pdf/2207.10062.pdf</w:t>
        </w:r>
      </w:hyperlink>
      <w:r>
        <w:rPr>
          <w:rFonts w:eastAsia="inter" w:cs="inter" w:ascii="inter" w:hAnsi="inter"/>
          <w:color w:val="000000"/>
          <w:sz w:val="18"/>
        </w:rPr>
        <w:t xml:space="preserve"> </w:t>
      </w:r>
    </w:p>
    <w:bookmarkStart w:id="209" w:name="fn111"/>
    <w:bookmarkEnd w:id="209"/>
    <w:p>
      <w:pPr>
        <w:numPr>
          <w:ilvl w:val="0"/>
          <w:numId w:val="21"/>
        </w:numPr>
        <w:spacing w:line="360" w:after="210" w:lineRule="auto"/>
      </w:pPr>
      <w:hyperlink r:id="rId146">
        <w:r>
          <w:rPr>
            <w:rFonts w:eastAsia="inter" w:cs="inter" w:ascii="inter" w:hAnsi="inter"/>
            <w:color w:val="#000"/>
            <w:sz w:val="18"/>
            <w:u w:val="single"/>
          </w:rPr>
          <w:t xml:space="preserve">http://ejournal.aibpm.org/index.php/IJAFAP/article/download/1117/1015</w:t>
        </w:r>
      </w:hyperlink>
      <w:r>
        <w:rPr>
          <w:rFonts w:eastAsia="inter" w:cs="inter" w:ascii="inter" w:hAnsi="inter"/>
          <w:color w:val="000000"/>
          <w:sz w:val="18"/>
        </w:rPr>
        <w:t xml:space="preserve"> </w:t>
      </w:r>
    </w:p>
    <w:bookmarkStart w:id="210" w:name="fn112"/>
    <w:bookmarkEnd w:id="210"/>
    <w:p>
      <w:pPr>
        <w:numPr>
          <w:ilvl w:val="0"/>
          <w:numId w:val="21"/>
        </w:numPr>
        <w:spacing w:line="360" w:after="210" w:lineRule="auto"/>
      </w:pPr>
      <w:hyperlink r:id="rId147">
        <w:r>
          <w:rPr>
            <w:rFonts w:eastAsia="inter" w:cs="inter" w:ascii="inter" w:hAnsi="inter"/>
            <w:color w:val="#000"/>
            <w:sz w:val="18"/>
            <w:u w:val="single"/>
          </w:rPr>
          <w:t xml:space="preserve">https://arxiv.org/pdf/2407.15100.pdf</w:t>
        </w:r>
      </w:hyperlink>
      <w:r>
        <w:rPr>
          <w:rFonts w:eastAsia="inter" w:cs="inter" w:ascii="inter" w:hAnsi="inter"/>
          <w:color w:val="000000"/>
          <w:sz w:val="18"/>
        </w:rPr>
        <w:t xml:space="preserve"> </w:t>
      </w:r>
    </w:p>
    <w:bookmarkStart w:id="211" w:name="fn113"/>
    <w:bookmarkEnd w:id="211"/>
    <w:p>
      <w:pPr>
        <w:numPr>
          <w:ilvl w:val="0"/>
          <w:numId w:val="21"/>
        </w:numPr>
        <w:spacing w:line="360" w:after="210" w:lineRule="auto"/>
      </w:pPr>
      <w:hyperlink r:id="rId148">
        <w:r>
          <w:rPr>
            <w:rFonts w:eastAsia="inter" w:cs="inter" w:ascii="inter" w:hAnsi="inter"/>
            <w:color w:val="#000"/>
            <w:sz w:val="18"/>
            <w:u w:val="single"/>
          </w:rPr>
          <w:t xml:space="preserve">https://www.calcalistech.com/ctechnews/article/bjoooe8dge</w:t>
        </w:r>
      </w:hyperlink>
      <w:r>
        <w:rPr>
          <w:rFonts w:eastAsia="inter" w:cs="inter" w:ascii="inter" w:hAnsi="inter"/>
          <w:color w:val="000000"/>
          <w:sz w:val="18"/>
        </w:rPr>
        <w:t xml:space="preserve"> </w:t>
      </w:r>
    </w:p>
    <w:bookmarkStart w:id="212" w:name="fn114"/>
    <w:bookmarkEnd w:id="212"/>
    <w:p>
      <w:pPr>
        <w:numPr>
          <w:ilvl w:val="0"/>
          <w:numId w:val="21"/>
        </w:numPr>
        <w:spacing w:line="360" w:after="210" w:lineRule="auto"/>
      </w:pPr>
      <w:hyperlink r:id="rId149">
        <w:r>
          <w:rPr>
            <w:rFonts w:eastAsia="inter" w:cs="inter" w:ascii="inter" w:hAnsi="inter"/>
            <w:color w:val="#000"/>
            <w:sz w:val="18"/>
            <w:u w:val="single"/>
          </w:rPr>
          <w:t xml:space="preserve">https://kpmg.co.il/technologyconsulting/our-offerings/qv</w:t>
        </w:r>
      </w:hyperlink>
      <w:r>
        <w:rPr>
          <w:rFonts w:eastAsia="inter" w:cs="inter" w:ascii="inter" w:hAnsi="inter"/>
          <w:color w:val="000000"/>
          <w:sz w:val="18"/>
        </w:rPr>
        <w:t xml:space="preserve"> </w:t>
      </w:r>
    </w:p>
    <w:bookmarkStart w:id="213" w:name="fn115"/>
    <w:bookmarkEnd w:id="213"/>
    <w:p>
      <w:pPr>
        <w:numPr>
          <w:ilvl w:val="0"/>
          <w:numId w:val="21"/>
        </w:numPr>
        <w:spacing w:line="360" w:after="210" w:lineRule="auto"/>
      </w:pPr>
      <w:hyperlink r:id="rId150">
        <w:r>
          <w:rPr>
            <w:rFonts w:eastAsia="inter" w:cs="inter" w:ascii="inter" w:hAnsi="inter"/>
            <w:color w:val="#000"/>
            <w:sz w:val="18"/>
            <w:u w:val="single"/>
          </w:rPr>
          <w:t xml:space="preserve">https://kpmg.co.il/technologyconsulting/careers/jobs/genai-data-project-manager-1</w:t>
        </w:r>
      </w:hyperlink>
      <w:r>
        <w:rPr>
          <w:rFonts w:eastAsia="inter" w:cs="inter" w:ascii="inter" w:hAnsi="inter"/>
          <w:color w:val="000000"/>
          <w:sz w:val="18"/>
        </w:rPr>
        <w:t xml:space="preserve"> </w:t>
      </w:r>
    </w:p>
    <w:bookmarkStart w:id="214" w:name="fn116"/>
    <w:bookmarkEnd w:id="214"/>
    <w:p>
      <w:pPr>
        <w:numPr>
          <w:ilvl w:val="0"/>
          <w:numId w:val="21"/>
        </w:numPr>
        <w:spacing w:line="360" w:after="210" w:lineRule="auto"/>
      </w:pPr>
      <w:hyperlink r:id="rId151">
        <w:r>
          <w:rPr>
            <w:rFonts w:eastAsia="inter" w:cs="inter" w:ascii="inter" w:hAnsi="inter"/>
            <w:color w:val="#000"/>
            <w:sz w:val="18"/>
            <w:u w:val="single"/>
          </w:rPr>
          <w:t xml:space="preserve">https://www.aijmr.com/papers/2024/2/1036.pdf</w:t>
        </w:r>
      </w:hyperlink>
      <w:r>
        <w:rPr>
          <w:rFonts w:eastAsia="inter" w:cs="inter" w:ascii="inter" w:hAnsi="inter"/>
          <w:color w:val="000000"/>
          <w:sz w:val="18"/>
        </w:rPr>
        <w:t xml:space="preserve"> </w:t>
      </w:r>
    </w:p>
    <w:bookmarkStart w:id="215" w:name="fn117"/>
    <w:bookmarkEnd w:id="215"/>
    <w:p>
      <w:pPr>
        <w:numPr>
          <w:ilvl w:val="0"/>
          <w:numId w:val="21"/>
        </w:numPr>
        <w:spacing w:line="360" w:after="210" w:lineRule="auto"/>
      </w:pPr>
      <w:hyperlink r:id="rId152">
        <w:r>
          <w:rPr>
            <w:rFonts w:eastAsia="inter" w:cs="inter" w:ascii="inter" w:hAnsi="inter"/>
            <w:color w:val="#000"/>
            <w:sz w:val="18"/>
            <w:u w:val="single"/>
          </w:rPr>
          <w:t xml:space="preserve">http://arxiv.org/pdf/2312.11805.pdf</w:t>
        </w:r>
      </w:hyperlink>
      <w:r>
        <w:rPr>
          <w:rFonts w:eastAsia="inter" w:cs="inter" w:ascii="inter" w:hAnsi="inter"/>
          <w:color w:val="000000"/>
          <w:sz w:val="18"/>
        </w:rPr>
        <w:t xml:space="preserve"> </w:t>
      </w:r>
    </w:p>
    <w:bookmarkStart w:id="216" w:name="fn118"/>
    <w:bookmarkEnd w:id="216"/>
    <w:p>
      <w:pPr>
        <w:numPr>
          <w:ilvl w:val="0"/>
          <w:numId w:val="21"/>
        </w:numPr>
        <w:spacing w:line="360" w:after="210" w:lineRule="auto"/>
      </w:pPr>
      <w:hyperlink r:id="rId153">
        <w:r>
          <w:rPr>
            <w:rFonts w:eastAsia="inter" w:cs="inter" w:ascii="inter" w:hAnsi="inter"/>
            <w:color w:val="#000"/>
            <w:sz w:val="18"/>
            <w:u w:val="single"/>
          </w:rPr>
          <w:t xml:space="preserve">https://arxiv.org/pdf/2401.01753.pdf</w:t>
        </w:r>
      </w:hyperlink>
      <w:r>
        <w:rPr>
          <w:rFonts w:eastAsia="inter" w:cs="inter" w:ascii="inter" w:hAnsi="inter"/>
          <w:color w:val="000000"/>
          <w:sz w:val="18"/>
        </w:rPr>
        <w:t xml:space="preserve"> </w:t>
      </w:r>
    </w:p>
    <w:bookmarkStart w:id="217" w:name="fn119"/>
    <w:bookmarkEnd w:id="217"/>
    <w:p>
      <w:pPr>
        <w:numPr>
          <w:ilvl w:val="0"/>
          <w:numId w:val="21"/>
        </w:numPr>
        <w:spacing w:line="360" w:after="210" w:lineRule="auto"/>
      </w:pPr>
      <w:hyperlink r:id="rId154">
        <w:r>
          <w:rPr>
            <w:rFonts w:eastAsia="inter" w:cs="inter" w:ascii="inter" w:hAnsi="inter"/>
            <w:color w:val="#000"/>
            <w:sz w:val="18"/>
            <w:u w:val="single"/>
          </w:rPr>
          <w:t xml:space="preserve">https://www.aijmr.com/papers/2024/2/1037.pdf</w:t>
        </w:r>
      </w:hyperlink>
      <w:r>
        <w:rPr>
          <w:rFonts w:eastAsia="inter" w:cs="inter" w:ascii="inter" w:hAnsi="inter"/>
          <w:color w:val="000000"/>
          <w:sz w:val="18"/>
        </w:rPr>
        <w:t xml:space="preserve"> </w:t>
      </w:r>
    </w:p>
    <w:bookmarkStart w:id="218" w:name="fn120"/>
    <w:bookmarkEnd w:id="218"/>
    <w:p>
      <w:pPr>
        <w:numPr>
          <w:ilvl w:val="0"/>
          <w:numId w:val="21"/>
        </w:numPr>
        <w:spacing w:line="360" w:after="210" w:lineRule="auto"/>
      </w:pPr>
      <w:hyperlink r:id="rId155">
        <w:r>
          <w:rPr>
            <w:rFonts w:eastAsia="inter" w:cs="inter" w:ascii="inter" w:hAnsi="inter"/>
            <w:color w:val="#000"/>
            <w:sz w:val="18"/>
            <w:u w:val="single"/>
          </w:rPr>
          <w:t xml:space="preserve">https://www.mdpi.com/2306-5354/10/8/891/pdf?version=1690454649</w:t>
        </w:r>
      </w:hyperlink>
      <w:r>
        <w:rPr>
          <w:rFonts w:eastAsia="inter" w:cs="inter" w:ascii="inter" w:hAnsi="inter"/>
          <w:color w:val="000000"/>
          <w:sz w:val="18"/>
        </w:rPr>
        <w:t xml:space="preserve"> </w:t>
      </w:r>
    </w:p>
    <w:bookmarkStart w:id="219" w:name="fn121"/>
    <w:bookmarkEnd w:id="219"/>
    <w:p>
      <w:pPr>
        <w:numPr>
          <w:ilvl w:val="0"/>
          <w:numId w:val="21"/>
        </w:numPr>
        <w:spacing w:line="360" w:after="210" w:lineRule="auto"/>
      </w:pPr>
      <w:hyperlink r:id="rId156">
        <w:r>
          <w:rPr>
            <w:rFonts w:eastAsia="inter" w:cs="inter" w:ascii="inter" w:hAnsi="inter"/>
            <w:color w:val="#000"/>
            <w:sz w:val="18"/>
            <w:u w:val="single"/>
          </w:rPr>
          <w:t xml:space="preserve">https://linkinghub.elsevier.com/retrieve/pii/S2666776223000960</w:t>
        </w:r>
      </w:hyperlink>
      <w:r>
        <w:rPr>
          <w:rFonts w:eastAsia="inter" w:cs="inter" w:ascii="inter" w:hAnsi="inter"/>
          <w:color w:val="000000"/>
          <w:sz w:val="18"/>
        </w:rPr>
        <w:t xml:space="preserve"> </w:t>
      </w:r>
    </w:p>
    <w:bookmarkStart w:id="220" w:name="fn122"/>
    <w:bookmarkEnd w:id="220"/>
    <w:p>
      <w:pPr>
        <w:numPr>
          <w:ilvl w:val="0"/>
          <w:numId w:val="21"/>
        </w:numPr>
        <w:spacing w:line="360" w:after="210" w:lineRule="auto"/>
      </w:pPr>
      <w:hyperlink r:id="rId157">
        <w:r>
          <w:rPr>
            <w:rFonts w:eastAsia="inter" w:cs="inter" w:ascii="inter" w:hAnsi="inter"/>
            <w:color w:val="#000"/>
            <w:sz w:val="18"/>
            <w:u w:val="single"/>
          </w:rPr>
          <w:t xml:space="preserve">https://arxiv.org/pdf/2410.15960.pdf</w:t>
        </w:r>
      </w:hyperlink>
      <w:r>
        <w:rPr>
          <w:rFonts w:eastAsia="inter" w:cs="inter" w:ascii="inter" w:hAnsi="inter"/>
          <w:color w:val="000000"/>
          <w:sz w:val="18"/>
        </w:rPr>
        <w:t xml:space="preserve"> </w:t>
      </w:r>
    </w:p>
    <w:bookmarkStart w:id="221" w:name="fn123"/>
    <w:bookmarkEnd w:id="221"/>
    <w:p>
      <w:pPr>
        <w:numPr>
          <w:ilvl w:val="0"/>
          <w:numId w:val="21"/>
        </w:numPr>
        <w:spacing w:line="360" w:after="210" w:lineRule="auto"/>
      </w:pPr>
      <w:hyperlink r:id="rId158">
        <w:r>
          <w:rPr>
            <w:rFonts w:eastAsia="inter" w:cs="inter" w:ascii="inter" w:hAnsi="inter"/>
            <w:color w:val="#000"/>
            <w:sz w:val="18"/>
            <w:u w:val="single"/>
          </w:rPr>
          <w:t xml:space="preserve">https://www.mdpi.com/2076-3417/12/1/91/pdf</w:t>
        </w:r>
      </w:hyperlink>
      <w:r>
        <w:rPr>
          <w:rFonts w:eastAsia="inter" w:cs="inter" w:ascii="inter" w:hAnsi="inter"/>
          <w:color w:val="000000"/>
          <w:sz w:val="18"/>
        </w:rPr>
        <w:t xml:space="preserve"> </w:t>
      </w:r>
    </w:p>
    <w:bookmarkStart w:id="222" w:name="fn124"/>
    <w:bookmarkEnd w:id="222"/>
    <w:p>
      <w:pPr>
        <w:numPr>
          <w:ilvl w:val="0"/>
          <w:numId w:val="21"/>
        </w:numPr>
        <w:spacing w:line="360" w:after="210" w:lineRule="auto"/>
      </w:pPr>
      <w:hyperlink r:id="rId159">
        <w:r>
          <w:rPr>
            <w:rFonts w:eastAsia="inter" w:cs="inter" w:ascii="inter" w:hAnsi="inter"/>
            <w:color w:val="#000"/>
            <w:sz w:val="18"/>
            <w:u w:val="single"/>
          </w:rPr>
          <w:t xml:space="preserve">https://www.microsoft.com/en/customers/story/24959-kpmg-microsoft-defender-for-cloud</w:t>
        </w:r>
      </w:hyperlink>
      <w:r>
        <w:rPr>
          <w:rFonts w:eastAsia="inter" w:cs="inter" w:ascii="inter" w:hAnsi="inter"/>
          <w:color w:val="000000"/>
          <w:sz w:val="18"/>
        </w:rPr>
        <w:t xml:space="preserve"> </w:t>
      </w:r>
    </w:p>
    <w:bookmarkStart w:id="223" w:name="fn125"/>
    <w:bookmarkEnd w:id="223"/>
    <w:p>
      <w:pPr>
        <w:numPr>
          <w:ilvl w:val="0"/>
          <w:numId w:val="21"/>
        </w:numPr>
        <w:spacing w:line="360" w:after="210" w:lineRule="auto"/>
      </w:pPr>
      <w:hyperlink r:id="rId160">
        <w:r>
          <w:rPr>
            <w:rFonts w:eastAsia="inter" w:cs="inter" w:ascii="inter" w:hAnsi="inter"/>
            <w:color w:val="#000"/>
            <w:sz w:val="18"/>
            <w:u w:val="single"/>
          </w:rPr>
          <w:t xml:space="preserve">https://wjaets.com/node/448</w:t>
        </w:r>
      </w:hyperlink>
      <w:r>
        <w:rPr>
          <w:rFonts w:eastAsia="inter" w:cs="inter" w:ascii="inter" w:hAnsi="inter"/>
          <w:color w:val="000000"/>
          <w:sz w:val="18"/>
        </w:rPr>
        <w:t xml:space="preserve"> </w:t>
      </w:r>
    </w:p>
    <w:bookmarkStart w:id="224" w:name="fn126"/>
    <w:bookmarkEnd w:id="224"/>
    <w:p>
      <w:pPr>
        <w:numPr>
          <w:ilvl w:val="0"/>
          <w:numId w:val="21"/>
        </w:numPr>
        <w:spacing w:line="360" w:after="210" w:lineRule="auto"/>
      </w:pPr>
      <w:hyperlink r:id="rId161">
        <w:r>
          <w:rPr>
            <w:rFonts w:eastAsia="inter" w:cs="inter" w:ascii="inter" w:hAnsi="inter"/>
            <w:color w:val="#000"/>
            <w:sz w:val="18"/>
            <w:u w:val="single"/>
          </w:rPr>
          <w:t xml:space="preserve">https://link.springer.com/10.1007/s00170-025-17111-4</w:t>
        </w:r>
      </w:hyperlink>
      <w:r>
        <w:rPr>
          <w:rFonts w:eastAsia="inter" w:cs="inter" w:ascii="inter" w:hAnsi="inter"/>
          <w:color w:val="000000"/>
          <w:sz w:val="18"/>
        </w:rPr>
        <w:t xml:space="preserve"> </w:t>
      </w:r>
    </w:p>
    <w:bookmarkStart w:id="225" w:name="fn127"/>
    <w:bookmarkEnd w:id="225"/>
    <w:p>
      <w:pPr>
        <w:numPr>
          <w:ilvl w:val="0"/>
          <w:numId w:val="21"/>
        </w:numPr>
        <w:spacing w:line="360" w:after="210" w:lineRule="auto"/>
      </w:pPr>
      <w:hyperlink r:id="rId162">
        <w:r>
          <w:rPr>
            <w:rFonts w:eastAsia="inter" w:cs="inter" w:ascii="inter" w:hAnsi="inter"/>
            <w:color w:val="#000"/>
            <w:sz w:val="18"/>
            <w:u w:val="single"/>
          </w:rPr>
          <w:t xml:space="preserve">https://www.mdpi.com/1999-5903/17/9/430</w:t>
        </w:r>
      </w:hyperlink>
      <w:r>
        <w:rPr>
          <w:rFonts w:eastAsia="inter" w:cs="inter" w:ascii="inter" w:hAnsi="inter"/>
          <w:color w:val="000000"/>
          <w:sz w:val="18"/>
        </w:rPr>
        <w:t xml:space="preserve"> </w:t>
      </w:r>
    </w:p>
    <w:bookmarkStart w:id="226" w:name="fn128"/>
    <w:bookmarkEnd w:id="226"/>
    <w:p>
      <w:pPr>
        <w:numPr>
          <w:ilvl w:val="0"/>
          <w:numId w:val="21"/>
        </w:numPr>
        <w:spacing w:line="360" w:after="210" w:lineRule="auto"/>
      </w:pPr>
      <w:hyperlink r:id="rId163">
        <w:r>
          <w:rPr>
            <w:rFonts w:eastAsia="inter" w:cs="inter" w:ascii="inter" w:hAnsi="inter"/>
            <w:color w:val="#000"/>
            <w:sz w:val="18"/>
            <w:u w:val="single"/>
          </w:rPr>
          <w:t xml:space="preserve">https://link.springer.com/10.1007/s43069-025-00554-6</w:t>
        </w:r>
      </w:hyperlink>
      <w:r>
        <w:rPr>
          <w:rFonts w:eastAsia="inter" w:cs="inter" w:ascii="inter" w:hAnsi="inter"/>
          <w:color w:val="000000"/>
          <w:sz w:val="18"/>
        </w:rPr>
        <w:t xml:space="preserve"> </w:t>
      </w:r>
    </w:p>
    <w:bookmarkStart w:id="227" w:name="fn129"/>
    <w:bookmarkEnd w:id="227"/>
    <w:p>
      <w:pPr>
        <w:numPr>
          <w:ilvl w:val="0"/>
          <w:numId w:val="21"/>
        </w:numPr>
        <w:spacing w:line="360" w:after="210" w:lineRule="auto"/>
      </w:pPr>
      <w:hyperlink r:id="rId164">
        <w:r>
          <w:rPr>
            <w:rFonts w:eastAsia="inter" w:cs="inter" w:ascii="inter" w:hAnsi="inter"/>
            <w:color w:val="#000"/>
            <w:sz w:val="18"/>
            <w:u w:val="single"/>
          </w:rPr>
          <w:t xml:space="preserve">https://link.springer.com/10.1007/s44163-025-00363-0</w:t>
        </w:r>
      </w:hyperlink>
      <w:r>
        <w:rPr>
          <w:rFonts w:eastAsia="inter" w:cs="inter" w:ascii="inter" w:hAnsi="inter"/>
          <w:color w:val="000000"/>
          <w:sz w:val="18"/>
        </w:rPr>
        <w:t xml:space="preserve"> </w:t>
      </w:r>
    </w:p>
    <w:bookmarkStart w:id="228" w:name="fn130"/>
    <w:bookmarkEnd w:id="228"/>
    <w:p>
      <w:pPr>
        <w:numPr>
          <w:ilvl w:val="0"/>
          <w:numId w:val="21"/>
        </w:numPr>
        <w:spacing w:line="360" w:after="210" w:lineRule="auto"/>
      </w:pPr>
      <w:hyperlink r:id="rId165">
        <w:r>
          <w:rPr>
            <w:rFonts w:eastAsia="inter" w:cs="inter" w:ascii="inter" w:hAnsi="inter"/>
            <w:color w:val="#000"/>
            <w:sz w:val="18"/>
            <w:u w:val="single"/>
          </w:rPr>
          <w:t xml:space="preserve">https://rast-journal.org/index.php/RAST/article/view/50</w:t>
        </w:r>
      </w:hyperlink>
      <w:r>
        <w:rPr>
          <w:rFonts w:eastAsia="inter" w:cs="inter" w:ascii="inter" w:hAnsi="inter"/>
          <w:color w:val="000000"/>
          <w:sz w:val="18"/>
        </w:rPr>
        <w:t xml:space="preserve"> </w:t>
      </w:r>
    </w:p>
    <w:bookmarkStart w:id="229" w:name="fn131"/>
    <w:bookmarkEnd w:id="229"/>
    <w:p>
      <w:pPr>
        <w:numPr>
          <w:ilvl w:val="0"/>
          <w:numId w:val="21"/>
        </w:numPr>
        <w:spacing w:line="360" w:after="210" w:lineRule="auto"/>
      </w:pPr>
      <w:hyperlink r:id="rId166">
        <w:r>
          <w:rPr>
            <w:rFonts w:eastAsia="inter" w:cs="inter" w:ascii="inter" w:hAnsi="inter"/>
            <w:color w:val="#000"/>
            <w:sz w:val="18"/>
            <w:u w:val="single"/>
          </w:rPr>
          <w:t xml:space="preserve">https://www.mdpi.com/2078-2489/16/9/737</w:t>
        </w:r>
      </w:hyperlink>
      <w:r>
        <w:rPr>
          <w:rFonts w:eastAsia="inter" w:cs="inter" w:ascii="inter" w:hAnsi="inter"/>
          <w:color w:val="000000"/>
          <w:sz w:val="18"/>
        </w:rPr>
        <w:t xml:space="preserve"> </w:t>
      </w:r>
    </w:p>
    <w:bookmarkStart w:id="230" w:name="fn132"/>
    <w:bookmarkEnd w:id="230"/>
    <w:p>
      <w:pPr>
        <w:numPr>
          <w:ilvl w:val="0"/>
          <w:numId w:val="21"/>
        </w:numPr>
        <w:spacing w:line="360" w:after="210" w:lineRule="auto"/>
      </w:pPr>
      <w:hyperlink r:id="rId167">
        <w:r>
          <w:rPr>
            <w:rFonts w:eastAsia="inter" w:cs="inter" w:ascii="inter" w:hAnsi="inter"/>
            <w:color w:val="#000"/>
            <w:sz w:val="18"/>
            <w:u w:val="single"/>
          </w:rPr>
          <w:t xml:space="preserve">https://www.e3s-conferences.org/10.1051/e3sconf/202568000104</w:t>
        </w:r>
      </w:hyperlink>
      <w:r>
        <w:rPr>
          <w:rFonts w:eastAsia="inter" w:cs="inter" w:ascii="inter" w:hAnsi="inter"/>
          <w:color w:val="000000"/>
          <w:sz w:val="18"/>
        </w:rPr>
        <w:t xml:space="preserve"> </w:t>
      </w:r>
    </w:p>
    <w:bookmarkStart w:id="231" w:name="fn133"/>
    <w:bookmarkEnd w:id="231"/>
    <w:p>
      <w:pPr>
        <w:numPr>
          <w:ilvl w:val="0"/>
          <w:numId w:val="21"/>
        </w:numPr>
        <w:spacing w:line="360" w:after="210" w:lineRule="auto"/>
      </w:pPr>
      <w:hyperlink r:id="rId168">
        <w:r>
          <w:rPr>
            <w:rFonts w:eastAsia="inter" w:cs="inter" w:ascii="inter" w:hAnsi="inter"/>
            <w:color w:val="#000"/>
            <w:sz w:val="18"/>
            <w:u w:val="single"/>
          </w:rPr>
          <w:t xml:space="preserve">https://www.mdpi.com/2075-1702/12/10/681</w:t>
        </w:r>
      </w:hyperlink>
      <w:r>
        <w:rPr>
          <w:rFonts w:eastAsia="inter" w:cs="inter" w:ascii="inter" w:hAnsi="inter"/>
          <w:color w:val="000000"/>
          <w:sz w:val="18"/>
        </w:rPr>
        <w:t xml:space="preserve"> </w:t>
      </w:r>
    </w:p>
    <w:bookmarkStart w:id="232" w:name="fn134"/>
    <w:bookmarkEnd w:id="232"/>
    <w:p>
      <w:pPr>
        <w:numPr>
          <w:ilvl w:val="0"/>
          <w:numId w:val="21"/>
        </w:numPr>
        <w:spacing w:line="360" w:after="210" w:lineRule="auto"/>
      </w:pPr>
      <w:hyperlink r:id="rId169">
        <w:r>
          <w:rPr>
            <w:rFonts w:eastAsia="inter" w:cs="inter" w:ascii="inter" w:hAnsi="inter"/>
            <w:color w:val="#000"/>
            <w:sz w:val="18"/>
            <w:u w:val="single"/>
          </w:rPr>
          <w:t xml:space="preserve">https://link.springer.com/10.1007/s40962-024-01338-0</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abstractNum>
  <w:abstractNum w:abstractNumId="2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8279da6c72c2042d575f49a87499dba312d0f6b.png" TargetMode="Internal"/><Relationship Id="rId6" Type="http://schemas.openxmlformats.org/officeDocument/2006/relationships/hyperlink" Target="https://kpmg.com/xx/en/what-we-do/services/ai/trusted-ai-framework.html" TargetMode="External"/><Relationship Id="rId7" Type="http://schemas.openxmlformats.org/officeDocument/2006/relationships/hyperlink" Target="https://kpmg.com/us/en/articles/ai-risk-and-control-guide-gated.html" TargetMode="External"/><Relationship Id="rId8" Type="http://schemas.openxmlformats.org/officeDocument/2006/relationships/hyperlink" Target="https://assets.kpmg.com/content/dam/kpmgsites/au/pdf/2025/trusted-ai-iso-certification-factsheet.pdf" TargetMode="External"/><Relationship Id="rId9" Type="http://schemas.openxmlformats.org/officeDocument/2006/relationships/hyperlink" Target="https://assets.kpmg.com/content/dam/kpmgsites/xx/pdf/2025/05/trust-attitudes-and-use-of-ai-israel-snapshot.pdf" TargetMode="External"/><Relationship Id="rId10" Type="http://schemas.openxmlformats.org/officeDocument/2006/relationships/hyperlink" Target="https://kpmg.co.il/technologyconsulting/our-offerings/ai" TargetMode="External"/><Relationship Id="rId11" Type="http://schemas.openxmlformats.org/officeDocument/2006/relationships/hyperlink" Target="https://kpmg.co.il/technologyconsulting/careers/jobs/ai-cyber-security-manager" TargetMode="External"/><Relationship Id="rId12" Type="http://schemas.openxmlformats.org/officeDocument/2006/relationships/hyperlink" Target="https://kpmg.com/il/en/home/about/overview.html" TargetMode="External"/><Relationship Id="rId13" Type="http://schemas.openxmlformats.org/officeDocument/2006/relationships/hyperlink" Target="https://kpmg.co.il/technologyconsulting/careers/jobs/generative-ai-engineer" TargetMode="External"/><Relationship Id="rId14" Type="http://schemas.openxmlformats.org/officeDocument/2006/relationships/hyperlink" Target="https://kpmg.co.il/technologyconsulting/our-offerings/data" TargetMode="External"/><Relationship Id="rId15" Type="http://schemas.openxmlformats.org/officeDocument/2006/relationships/hyperlink" Target="https://kpmg.com/us/en/media/news/kpmg-google-cloud-alliance-expansion-agentspace-adoption.html" TargetMode="External"/><Relationship Id="rId16" Type="http://schemas.openxmlformats.org/officeDocument/2006/relationships/hyperlink" Target="https://kpmg.com/us/en/media/news/kpmg-microsoft-collaboration-2024.html" TargetMode="External"/><Relationship Id="rId17" Type="http://schemas.openxmlformats.org/officeDocument/2006/relationships/hyperlink" Target="https://www.crn.com/news/cloud/israel-taps-aws-google-cloud-for-1b-state-cloud-infrastructure-project" TargetMode="External"/><Relationship Id="rId18" Type="http://schemas.openxmlformats.org/officeDocument/2006/relationships/hyperlink" Target="https://kpmg.com/us/en/media/news/kpmg-google-cloud-partnership-expansion-2024.html" TargetMode="External"/><Relationship Id="rId19" Type="http://schemas.openxmlformats.org/officeDocument/2006/relationships/hyperlink" Target="https://kpmg.co.il/en/media-center/microsoft-s-partner-of-the-year-in-israel" TargetMode="External"/><Relationship Id="rId20" Type="http://schemas.openxmlformats.org/officeDocument/2006/relationships/hyperlink" Target="https://www.govconwire.com/articles/aws-google-win-1b-israeli-government-cloud-migration-project" TargetMode="External"/><Relationship Id="rId21" Type="http://schemas.openxmlformats.org/officeDocument/2006/relationships/hyperlink" Target="https://kpmg.com/dk/en/ai/you-can-ease-your-esg-reporting-with-ai.html" TargetMode="External"/><Relationship Id="rId22" Type="http://schemas.openxmlformats.org/officeDocument/2006/relationships/hyperlink" Target="https://kpmg.com/us/en/articles/2024/ai-for-supply-chain.html" TargetMode="External"/><Relationship Id="rId23" Type="http://schemas.openxmlformats.org/officeDocument/2006/relationships/hyperlink" Target="https://www.calcalistech.com/ctechnews/article/bjoooe8dge" TargetMode="External"/><Relationship Id="rId24" Type="http://schemas.openxmlformats.org/officeDocument/2006/relationships/hyperlink" Target="https://kpmg.co.il/technologyconsulting/careers/jobs/genai-data-project-manager-1" TargetMode="External"/><Relationship Id="rId25" Type="http://schemas.openxmlformats.org/officeDocument/2006/relationships/hyperlink" Target="https://www.calcalistech.com/tags/Dina_Pasca-Raz" TargetMode="External"/><Relationship Id="rId26" Type="http://schemas.openxmlformats.org/officeDocument/2006/relationships/hyperlink" Target="https://kpmg.com/ae/en/media/press-releases/2025/11/kpmg-middle-east-to-power-the-regions-ai-and-cloud-growth.html" TargetMode="External"/><Relationship Id="rId27" Type="http://schemas.openxmlformats.org/officeDocument/2006/relationships/hyperlink" Target="https://kpmg.co.il/technologyconsulting/our-offerings/cloud" TargetMode="External"/><Relationship Id="rId28" Type="http://schemas.openxmlformats.org/officeDocument/2006/relationships/hyperlink" Target="https://assets.kpmg.com/content/dam/kpmg/ng/pdf/2025/intelligent-industries/Intelligent%20insurance%20-%20Report.pdf" TargetMode="External"/><Relationship Id="rId29" Type="http://schemas.openxmlformats.org/officeDocument/2006/relationships/hyperlink" Target="https://kpmg.co.il/technologyconsulting/blog/inside-cloud-for-financial-services" TargetMode="External"/><Relationship Id="rId30" Type="http://schemas.openxmlformats.org/officeDocument/2006/relationships/hyperlink" Target="https://kpmg.com/xx/en/our-insights/ai-and-technology/ai-in-insurance-a-catalyst-for-change.html" TargetMode="External"/><Relationship Id="rId31" Type="http://schemas.openxmlformats.org/officeDocument/2006/relationships/hyperlink" Target="https://kpmg.com/xx/en/what-we-do/services/ai/intelligent-insurance.html" TargetMode="External"/><Relationship Id="rId32" Type="http://schemas.openxmlformats.org/officeDocument/2006/relationships/hyperlink" Target="https://kpmg.co.il/en/services/consulting-division/risk-management-and-internal-audit-consulting-grcs" TargetMode="External"/><Relationship Id="rId33" Type="http://schemas.openxmlformats.org/officeDocument/2006/relationships/hyperlink" Target="https://www.insurancethoughtleadership.com/ai-machine-learning/how-ai-improves-insurance-efficiency-control" TargetMode="External"/><Relationship Id="rId34" Type="http://schemas.openxmlformats.org/officeDocument/2006/relationships/hyperlink" Target="https://kpmg.co.il/en/teams/communications-and-energy-team" TargetMode="External"/><Relationship Id="rId35" Type="http://schemas.openxmlformats.org/officeDocument/2006/relationships/hyperlink" Target="https://kpmg.co.il/en/teams/government-team" TargetMode="External"/><Relationship Id="rId36" Type="http://schemas.openxmlformats.org/officeDocument/2006/relationships/hyperlink" Target="https://kpmg.com/xx/en/what-we-do/services/ai/trusted-ai-framework.html" TargetMode="External"/><Relationship Id="rId37" Type="http://schemas.openxmlformats.org/officeDocument/2006/relationships/hyperlink" Target="https://drasticnews.com/kpmg-australia-achieves-iso-420001-ai-certification/" TargetMode="External"/><Relationship Id="rId38" Type="http://schemas.openxmlformats.org/officeDocument/2006/relationships/hyperlink" Target="https://kpmg.com/us/en/articles/ai-risk-and-control-guide-gated.html" TargetMode="External"/><Relationship Id="rId39" Type="http://schemas.openxmlformats.org/officeDocument/2006/relationships/hyperlink" Target="https://assets.kpmg.com/content/dam/kpmgsites/xx/pdf/2025/05/trust-attitudes-and-use-of-ai-israel-snapshot.pdf.coredownload.inline.pdf" TargetMode="External"/><Relationship Id="rId40" Type="http://schemas.openxmlformats.org/officeDocument/2006/relationships/hyperlink" Target="https://assets.kpmg.com/content/dam/kpmg/my/pdf/ai-in-the-insurance-industry.pdf" TargetMode="External"/><Relationship Id="rId41" Type="http://schemas.openxmlformats.org/officeDocument/2006/relationships/hyperlink" Target="https://kpmg.com/il/en/home/about/overview.html" TargetMode="External"/><Relationship Id="rId42" Type="http://schemas.openxmlformats.org/officeDocument/2006/relationships/hyperlink" Target="https://ourcoders.com/news/show/47348/" TargetMode="External"/><Relationship Id="rId43" Type="http://schemas.openxmlformats.org/officeDocument/2006/relationships/hyperlink" Target="https://kpmg.co.il/technologyconsulting/careers/jobs/generative-ai-engineer" TargetMode="External"/><Relationship Id="rId44" Type="http://schemas.openxmlformats.org/officeDocument/2006/relationships/hyperlink" Target="https://kpmg.co.il/technologyconsulting/careers/jobs/ai-cyber-security-manager" TargetMode="External"/><Relationship Id="rId45" Type="http://schemas.openxmlformats.org/officeDocument/2006/relationships/hyperlink" Target="https://kpmg.co.il/technologyconsulting/he/vacancies/technology-consulting/genai-data-project-manager-1" TargetMode="External"/><Relationship Id="rId46" Type="http://schemas.openxmlformats.org/officeDocument/2006/relationships/hyperlink" Target="https://kpmg.com/ae/en/services/advisory/digital-and-innovation/kpmg-lighthouse.html" TargetMode="External"/><Relationship Id="rId47" Type="http://schemas.openxmlformats.org/officeDocument/2006/relationships/hyperlink" Target="https://kpmg.co.il/technologyconsulting/our-offerings/data" TargetMode="External"/><Relationship Id="rId48" Type="http://schemas.openxmlformats.org/officeDocument/2006/relationships/hyperlink" Target="https://kpmg.co.il/technologyconsulting/our-offerings/cloud" TargetMode="External"/><Relationship Id="rId49" Type="http://schemas.openxmlformats.org/officeDocument/2006/relationships/hyperlink" Target="https://kpmg.co.il/en/media-center/microsoft-s-partner-of-the-year-in-israel" TargetMode="External"/><Relationship Id="rId50" Type="http://schemas.openxmlformats.org/officeDocument/2006/relationships/hyperlink" Target="https://kpmg.co.il/technologyconsulting/our-offerings/ai" TargetMode="External"/><Relationship Id="rId51" Type="http://schemas.openxmlformats.org/officeDocument/2006/relationships/hyperlink" Target="https://kpmg.com/us/en/media/news/kpmg-microsoft-collaboration-2024.html" TargetMode="External"/><Relationship Id="rId52" Type="http://schemas.openxmlformats.org/officeDocument/2006/relationships/hyperlink" Target="https://kpmg.co.il/technologyconsulting/blog/inside-cloud-for-financial-services" TargetMode="External"/><Relationship Id="rId53" Type="http://schemas.openxmlformats.org/officeDocument/2006/relationships/hyperlink" Target="https://kpmg.com/us/en/media/news/kpmg-google-cloud-partnership-expansion-2024.html" TargetMode="External"/><Relationship Id="rId54" Type="http://schemas.openxmlformats.org/officeDocument/2006/relationships/hyperlink" Target="https://kpmg.com/us/en/media/news/kpmg-google-cloud-alliance-expansion-agentspace-adoption.html" TargetMode="External"/><Relationship Id="rId55" Type="http://schemas.openxmlformats.org/officeDocument/2006/relationships/hyperlink" Target="https://kpmg.com/ae/en/media/press-releases/2025/11/kpmg-middle-east-to-power-the-regions-ai-and-cloud-growth.html" TargetMode="External"/><Relationship Id="rId56" Type="http://schemas.openxmlformats.org/officeDocument/2006/relationships/hyperlink" Target="https://www.crn.com/news/cloud/israel-taps-aws-google-cloud-for-1b-state-cloud-infrastructure-project" TargetMode="External"/><Relationship Id="rId57" Type="http://schemas.openxmlformats.org/officeDocument/2006/relationships/hyperlink" Target="https://www.govconwire.com/articles/aws-google-win-1b-israeli-government-cloud-migration-project" TargetMode="External"/><Relationship Id="rId58" Type="http://schemas.openxmlformats.org/officeDocument/2006/relationships/hyperlink" Target="https://kpmg.com/xx/en/our-insights/ai-and-technology/ai-in-insurance-a-catalyst-for-change.html" TargetMode="External"/><Relationship Id="rId59" Type="http://schemas.openxmlformats.org/officeDocument/2006/relationships/hyperlink" Target="https://assets.kpmg.com/content/dam/kpmg/ng/pdf/2025/intelligent-industries/Intelligent%20insurance%20-%20Report.pdf" TargetMode="External"/><Relationship Id="rId60" Type="http://schemas.openxmlformats.org/officeDocument/2006/relationships/hyperlink" Target="https://kpmg.co.il/en/services/consulting-division/risk-management-and-internal-audit-consulting-grcs" TargetMode="External"/><Relationship Id="rId61" Type="http://schemas.openxmlformats.org/officeDocument/2006/relationships/hyperlink" Target="https://kpmg.co.il/en/teams/communications-and-energy-team" TargetMode="External"/><Relationship Id="rId62" Type="http://schemas.openxmlformats.org/officeDocument/2006/relationships/hyperlink" Target="https://kpmg.com/dk/en/ai/you-can-ease-your-esg-reporting-with-ai.html" TargetMode="External"/><Relationship Id="rId63" Type="http://schemas.openxmlformats.org/officeDocument/2006/relationships/hyperlink" Target="https://kpmg.com/us/en/articles/2024/ai-for-supply-chain.html" TargetMode="External"/><Relationship Id="rId64" Type="http://schemas.openxmlformats.org/officeDocument/2006/relationships/hyperlink" Target="https://kpmg.com/us/en/articles/2024/ai-enabled-supply-chain-planning.html" TargetMode="External"/><Relationship Id="rId65" Type="http://schemas.openxmlformats.org/officeDocument/2006/relationships/hyperlink" Target="https://www.jpost.com/business-and-innovation/article-881246" TargetMode="External"/><Relationship Id="rId66" Type="http://schemas.openxmlformats.org/officeDocument/2006/relationships/hyperlink" Target="https://www.insurancethoughtleadership.com/ai-machine-learning/how-ai-improves-insurance-efficiency-control" TargetMode="External"/><Relationship Id="rId67" Type="http://schemas.openxmlformats.org/officeDocument/2006/relationships/hyperlink" Target="https://kpmg.co.il/en/teams/government-team" TargetMode="External"/><Relationship Id="rId68" Type="http://schemas.openxmlformats.org/officeDocument/2006/relationships/hyperlink" Target="https://www.mdpi.com/2076-3417/12/16/7965/pdf?version=1660125077" TargetMode="External"/><Relationship Id="rId69" Type="http://schemas.openxmlformats.org/officeDocument/2006/relationships/hyperlink" Target="https://www.mdpi.com/2076-3417/12/12/6258/pdf?version=1655719112" TargetMode="External"/><Relationship Id="rId70" Type="http://schemas.openxmlformats.org/officeDocument/2006/relationships/hyperlink" Target="https://www.mdpi.com/2571-5577/7/2/24/pdf?version=1710582977" TargetMode="External"/><Relationship Id="rId71" Type="http://schemas.openxmlformats.org/officeDocument/2006/relationships/hyperlink" Target="https://linkinghub.elsevier.com/retrieve/pii/S2095809917307130" TargetMode="External"/><Relationship Id="rId72" Type="http://schemas.openxmlformats.org/officeDocument/2006/relationships/hyperlink" Target="https://www.mdpi.com/2076-3417/10/22/8300/pdf" TargetMode="External"/><Relationship Id="rId73" Type="http://schemas.openxmlformats.org/officeDocument/2006/relationships/hyperlink" Target="https://www.mdpi.com/2071-1050/13/12/6659/pdf" TargetMode="External"/><Relationship Id="rId74" Type="http://schemas.openxmlformats.org/officeDocument/2006/relationships/hyperlink" Target="https://www.mdpi.com/2079-8954/11/10/494/pdf?version=1695863824" TargetMode="External"/><Relationship Id="rId75" Type="http://schemas.openxmlformats.org/officeDocument/2006/relationships/hyperlink" Target="https://www.mdpi.com/1424-8220/22/12/4501/pdf?version=1655212625" TargetMode="External"/><Relationship Id="rId76" Type="http://schemas.openxmlformats.org/officeDocument/2006/relationships/hyperlink" Target="https://assets.kpmg.com/content/dam/kpmg/xx/pdf/2018/10/industry-4-0-investment-dont-leave-government-incentives-on-the-table.pdf" TargetMode="External"/><Relationship Id="rId77" Type="http://schemas.openxmlformats.org/officeDocument/2006/relationships/hyperlink" Target="https://assets.kpmg.com/content/dam/kpmgsites/in/pdf/2024/08/esg-in-the-age-of-ai.pdf.coredownload.inline.pdf" TargetMode="External"/><Relationship Id="rId78" Type="http://schemas.openxmlformats.org/officeDocument/2006/relationships/hyperlink" Target="https://kpmg.co.il/lp/ai-imp-result" TargetMode="External"/><Relationship Id="rId79" Type="http://schemas.openxmlformats.org/officeDocument/2006/relationships/hyperlink" Target="https://kpmg.com/xx/en/what-we-do/services/ESG/technology-data-and-artificial-intelligence.html" TargetMode="External"/><Relationship Id="rId80" Type="http://schemas.openxmlformats.org/officeDocument/2006/relationships/hyperlink" Target="https://arxiv.org/pdf/2404.04101.pdf" TargetMode="External"/><Relationship Id="rId81" Type="http://schemas.openxmlformats.org/officeDocument/2006/relationships/hyperlink" Target="https://linkinghub.elsevier.com/retrieve/pii/S0148296324000468" TargetMode="External"/><Relationship Id="rId82" Type="http://schemas.openxmlformats.org/officeDocument/2006/relationships/hyperlink" Target="https://arxiv.org/pdf/2312.00087.pdf" TargetMode="External"/><Relationship Id="rId83" Type="http://schemas.openxmlformats.org/officeDocument/2006/relationships/hyperlink" Target="http://arxiv.org/pdf/2411.14437.pdf" TargetMode="External"/><Relationship Id="rId84" Type="http://schemas.openxmlformats.org/officeDocument/2006/relationships/hyperlink" Target="http://arxiv.org/pdf/2502.09479.pdf" TargetMode="External"/><Relationship Id="rId85" Type="http://schemas.openxmlformats.org/officeDocument/2006/relationships/hyperlink" Target="https://arxiv.org/pdf/2410.18357.pdf" TargetMode="External"/><Relationship Id="rId86" Type="http://schemas.openxmlformats.org/officeDocument/2006/relationships/hyperlink" Target="http://arxiv.org/pdf/2408.16771.pdf" TargetMode="External"/><Relationship Id="rId87" Type="http://schemas.openxmlformats.org/officeDocument/2006/relationships/hyperlink" Target="https://kpmg.com/xx/en/what-we-do/services/ai/intelligent-banking.html" TargetMode="External"/><Relationship Id="rId88" Type="http://schemas.openxmlformats.org/officeDocument/2006/relationships/hyperlink" Target="https://kpmg.com/xx/en/what-we-do/services/audit/ai-and-technology.html" TargetMode="External"/><Relationship Id="rId89" Type="http://schemas.openxmlformats.org/officeDocument/2006/relationships/hyperlink" Target="https://kpmg.com/us/en/webcasts/2025/gen-ai-ma-tax.html" TargetMode="External"/><Relationship Id="rId90" Type="http://schemas.openxmlformats.org/officeDocument/2006/relationships/hyperlink" Target="https://kpmg.com/content/dam/kpmgsites/xx/pdf/2026/01/kpmg-and-sap-banking-accelerating-banking-transformation-data-and-ai.pdf.coredownload.inline.pdf" TargetMode="External"/><Relationship Id="rId91" Type="http://schemas.openxmlformats.org/officeDocument/2006/relationships/hyperlink" Target="https://assets.kpmg.com/content/dam/kpmgsites/ch/pdf/audit-with-ai-en.pdf" TargetMode="External"/><Relationship Id="rId92" Type="http://schemas.openxmlformats.org/officeDocument/2006/relationships/hyperlink" Target="https://assets.kpmg.com/content/dam/kpmgsites/kw/pdf/insights/2025/04/Intelligent-banking---Report--High-res-.pdf.coredownload.inline.pdf" TargetMode="External"/><Relationship Id="rId93" Type="http://schemas.openxmlformats.org/officeDocument/2006/relationships/hyperlink" Target="https://www.mdpi.com/1424-8220/25/6/1666" TargetMode="External"/><Relationship Id="rId94" Type="http://schemas.openxmlformats.org/officeDocument/2006/relationships/hyperlink" Target="https://www.mdpi.com/2071-1050/16/3/1166/pdf?version=1706610296" TargetMode="External"/><Relationship Id="rId95" Type="http://schemas.openxmlformats.org/officeDocument/2006/relationships/hyperlink" Target="http://arxiv.org/pdf/2412.12107.pdf" TargetMode="External"/><Relationship Id="rId96" Type="http://schemas.openxmlformats.org/officeDocument/2006/relationships/hyperlink" Target="https://www.emerald.com/insight/content/doi/10.1108/IJOPM-05-2022-0282/full/pdf?title=the-mediating-role-of-knowledge-management-processes-in-the-effective-use-of-artificial-intelligence-in-manufacturing-firms" TargetMode="External"/><Relationship Id="rId97" Type="http://schemas.openxmlformats.org/officeDocument/2006/relationships/hyperlink" Target="https://peerj.com/articles/cs-661.pdf" TargetMode="External"/><Relationship Id="rId98" Type="http://schemas.openxmlformats.org/officeDocument/2006/relationships/hyperlink" Target="https://www.mdpi.com/2078-2489/14/12/645/pdf?version=1701439764" TargetMode="External"/><Relationship Id="rId99" Type="http://schemas.openxmlformats.org/officeDocument/2006/relationships/hyperlink" Target="https://il.linkedin.com/in/eyal-gafni-04b47655" TargetMode="External"/><Relationship Id="rId100" Type="http://schemas.openxmlformats.org/officeDocument/2006/relationships/hyperlink" Target="https://en.globes.co.il/en/article-digital-bank-one-zero-replaces-three-top-executives-1001521656" TargetMode="External"/><Relationship Id="rId101" Type="http://schemas.openxmlformats.org/officeDocument/2006/relationships/hyperlink" Target="https://www.jpost.com/business-and-innovation/article-864029" TargetMode="External"/><Relationship Id="rId102" Type="http://schemas.openxmlformats.org/officeDocument/2006/relationships/hyperlink" Target="https://www.calcalistech.com/tags/Digital_Banking" TargetMode="External"/><Relationship Id="rId103" Type="http://schemas.openxmlformats.org/officeDocument/2006/relationships/hyperlink" Target="https://ieeexplore.ieee.org/document/11283779/" TargetMode="External"/><Relationship Id="rId104" Type="http://schemas.openxmlformats.org/officeDocument/2006/relationships/hyperlink" Target="https://journal.ilmudata.co.id/index.php/RIGGS/article/view/2451" TargetMode="External"/><Relationship Id="rId105" Type="http://schemas.openxmlformats.org/officeDocument/2006/relationships/hyperlink" Target="https://innovapath.us/index.php/IN/article/view/121" TargetMode="External"/><Relationship Id="rId106" Type="http://schemas.openxmlformats.org/officeDocument/2006/relationships/hyperlink" Target="https://onlinelibrary.wiley.com/doi/10.1002/nau.70186" TargetMode="External"/><Relationship Id="rId107" Type="http://schemas.openxmlformats.org/officeDocument/2006/relationships/hyperlink" Target="https://journal.whioce.com/index.php/csa/article/view/918" TargetMode="External"/><Relationship Id="rId108" Type="http://schemas.openxmlformats.org/officeDocument/2006/relationships/hyperlink" Target="https://www.emerald.com/idd/article/doi/10.1108/IDD-05-2025-0125/1271372/The-impact-of-generative-AI-on-critical-thinking" TargetMode="External"/><Relationship Id="rId109" Type="http://schemas.openxmlformats.org/officeDocument/2006/relationships/hyperlink" Target="https://www.mdpi.com/2075-4418/15/22/2890" TargetMode="External"/><Relationship Id="rId110" Type="http://schemas.openxmlformats.org/officeDocument/2006/relationships/hyperlink" Target="https://www.semanticscholar.org/paper/44a1dda54446f7b7023888a67f1543e960496ec9" TargetMode="External"/><Relationship Id="rId111" Type="http://schemas.openxmlformats.org/officeDocument/2006/relationships/hyperlink" Target="https://ejournal.unimap.edu.my/index.php/aset/article/view/2095" TargetMode="External"/><Relationship Id="rId112" Type="http://schemas.openxmlformats.org/officeDocument/2006/relationships/hyperlink" Target="http://medrxiv.org/lookup/doi/10.1101/2025.06.19.25329916" TargetMode="External"/><Relationship Id="rId113" Type="http://schemas.openxmlformats.org/officeDocument/2006/relationships/hyperlink" Target="https://www.mdpi.com/1099-4300/25/10/1429/pdf?version=1696854810" TargetMode="External"/><Relationship Id="rId114" Type="http://schemas.openxmlformats.org/officeDocument/2006/relationships/hyperlink" Target="https://www.mdpi.com/2077-0383/14/5/1605" TargetMode="External"/><Relationship Id="rId115" Type="http://schemas.openxmlformats.org/officeDocument/2006/relationships/hyperlink" Target="https://arxiv.org/pdf/2305.02231.pdf" TargetMode="External"/><Relationship Id="rId116" Type="http://schemas.openxmlformats.org/officeDocument/2006/relationships/hyperlink" Target="https://arxiv.org/pdf/2303.11196.pdf" TargetMode="External"/><Relationship Id="rId117" Type="http://schemas.openxmlformats.org/officeDocument/2006/relationships/hyperlink" Target="https://arxiv.org/html/2502.08650v2" TargetMode="External"/><Relationship Id="rId118" Type="http://schemas.openxmlformats.org/officeDocument/2006/relationships/hyperlink" Target="https://arxiv.org/pdf/2503.04739.pdf" TargetMode="External"/><Relationship Id="rId119" Type="http://schemas.openxmlformats.org/officeDocument/2006/relationships/hyperlink" Target="http://arxiv.org/pdf/2501.00959.pdf" TargetMode="External"/><Relationship Id="rId120" Type="http://schemas.openxmlformats.org/officeDocument/2006/relationships/hyperlink" Target="https://arxiv.org/html/2403.15457v1" TargetMode="External"/><Relationship Id="rId121" Type="http://schemas.openxmlformats.org/officeDocument/2006/relationships/hyperlink" Target="https://www.facebook.com/KPMG.IL/posts/%F0%9D%90%88%F0%9D%90%AC%F0%9D%90%AB%F0%9D%90%9A%F0%9D%90%9E%F0%9D%90%A5%F0%9D%90%A2-%F0%9D%90%AD%F0%9D%90%9E%F0%9D%90%9C%F0%9D%90%A1-%F0%9D%90%A2%F0%9D%90%AC-%F0%9D%90%A6%F0%9D%90%9A%F0%9D%90%A4%F0%9D%90%A2%F0%9D%90%A7%F0%9D%90%A0-%F0%9D%90%A2%F0%9D%90%AD%F0%9D%90%AC-%F0%9D%90%A6%F0%9D%90%9A%F0%9D%90%AB%F0%9D%90%A4-%F0%9D%90%9A%F0%9D%90%9C%F0%9D%90%AB%F0%9D%90%A8%F0%9D%90%AC%F0%9D%90%AC-%F0%9D%90%84%F0%9D%90%AE%F0%9D%90%AB%F0%9D%90%A8%F0%9D%90%A9%F0%9D%90%9E-%F0%9D%90%9A%F0%9D%90%A7%F0%9D%90%9D-%F0%9D%90%A7%F0%9D%90%A8%F0%9D%90%AD-%F0%9D%90%A3%F0%9D%90%AE%F0%9D%90%AC%F0%9D%90%AD-%F0%9D%90%AD%F0%9D%90%A1%F0%9D%90%AB%F0%9D%90%A8%F0%9D%90%AE%F0%9D%90%A0%F0%9D%90%A1-%F0%9D%90%9E%F0%9D%90%9A%F0%9D%90%AB%F0%9D%90%A5%F0%9D%90%B2-%F0%9D%90%AC%F0%9D%90%AD%F0%9D%90%9A%F0%9D%90%A0%F0%9D%90%9E-%F0%9D%90%AC/1447717680690183/" TargetMode="External"/><Relationship Id="rId122" Type="http://schemas.openxmlformats.org/officeDocument/2006/relationships/hyperlink" Target="https://kpmg.com/il/en/home/industries/technology.html" TargetMode="External"/><Relationship Id="rId123" Type="http://schemas.openxmlformats.org/officeDocument/2006/relationships/hyperlink" Target="https://barlaw.co.il/key-issues-shaping-israels-technology-sector-in-2025-and-insights-for-2026/" TargetMode="External"/><Relationship Id="rId124" Type="http://schemas.openxmlformats.org/officeDocument/2006/relationships/hyperlink" Target="https://innovationisrael.org.il/en/wp-content/uploads/sites/3/2025/09/Israeli-Deep-Tech-report-2025_Dealroom.pdf" TargetMode="External"/><Relationship Id="rId125" Type="http://schemas.openxmlformats.org/officeDocument/2006/relationships/hyperlink" Target="https://assets.kpmg.com/content/dam/kpmg/ng/pdf/2025/intelligent-industries/Intelligent%20tech%20-%20Report.pdf" TargetMode="External"/><Relationship Id="rId126" Type="http://schemas.openxmlformats.org/officeDocument/2006/relationships/hyperlink" Target="https://kpmg.com/us/en/articles/2025/ai-revolutionizing-risk-management.html" TargetMode="External"/><Relationship Id="rId127" Type="http://schemas.openxmlformats.org/officeDocument/2006/relationships/hyperlink" Target="https://assets.kpmg.com/content/dam/kpmgsites/au/pdf/2025/trusted-ai-iso-certification-factsheet.pdf.coredownload.inline.pdf" TargetMode="External"/><Relationship Id="rId128" Type="http://schemas.openxmlformats.org/officeDocument/2006/relationships/hyperlink" Target="https://assets.kpmg.com/content/dam/kpmg/ng/pdf/2025/intelligent-industries/Intelligent%20manufacturing%20-%20Report.pdf" TargetMode="External"/><Relationship Id="rId129" Type="http://schemas.openxmlformats.org/officeDocument/2006/relationships/hyperlink" Target="https://innovationisrael.org.il/wp-content/uploads/2025/05/AI-National-Program-en-14.5.25.pdf" TargetMode="External"/><Relationship Id="rId130" Type="http://schemas.openxmlformats.org/officeDocument/2006/relationships/hyperlink" Target="https://www.semanticscholar.org/paper/8895b5aa36723f8d470eebd9ffb539187f863679" TargetMode="External"/><Relationship Id="rId131" Type="http://schemas.openxmlformats.org/officeDocument/2006/relationships/hyperlink" Target="https://dspace.library.uu.nl/handle/1874/455469" TargetMode="External"/><Relationship Id="rId132" Type="http://schemas.openxmlformats.org/officeDocument/2006/relationships/hyperlink" Target="https://arxiv.org/abs/2409.05919" TargetMode="External"/><Relationship Id="rId133" Type="http://schemas.openxmlformats.org/officeDocument/2006/relationships/hyperlink" Target="https://www.aanda.org/10.1051/0004-6361/202450810" TargetMode="External"/><Relationship Id="rId134" Type="http://schemas.openxmlformats.org/officeDocument/2006/relationships/hyperlink" Target="http://medrxiv.org/lookup/doi/10.1101/2022.06.19.22276350" TargetMode="External"/><Relationship Id="rId135" Type="http://schemas.openxmlformats.org/officeDocument/2006/relationships/hyperlink" Target="https://journals.uic.edu/ojs/index.php/spir/article/view/12235" TargetMode="External"/><Relationship Id="rId136" Type="http://schemas.openxmlformats.org/officeDocument/2006/relationships/hyperlink" Target="https://www.tandfonline.com/doi/full/10.1080/17483107.2020.1817163" TargetMode="External"/><Relationship Id="rId137" Type="http://schemas.openxmlformats.org/officeDocument/2006/relationships/hyperlink" Target="https://ashpublications.org/blood/article/128/22/1778/91533/Incidence-of-Infectious-Complications-Associated" TargetMode="External"/><Relationship Id="rId138" Type="http://schemas.openxmlformats.org/officeDocument/2006/relationships/hyperlink" Target="https://academic.oup.com/bioscience/article/68/10/828/5079872" TargetMode="External"/><Relationship Id="rId139" Type="http://schemas.openxmlformats.org/officeDocument/2006/relationships/hyperlink" Target="https://www.semanticscholar.org/paper/cbb89a552e94978662b05e2e3aba73e7167bbab8" TargetMode="External"/><Relationship Id="rId140" Type="http://schemas.openxmlformats.org/officeDocument/2006/relationships/hyperlink" Target="https://arxiv.org/html/2406.19256v1" TargetMode="External"/><Relationship Id="rId141" Type="http://schemas.openxmlformats.org/officeDocument/2006/relationships/hyperlink" Target="https://www.mdpi.com/2071-1050/16/5/1790/pdf?version=1708581624" TargetMode="External"/><Relationship Id="rId142" Type="http://schemas.openxmlformats.org/officeDocument/2006/relationships/hyperlink" Target="https://arxiv.org/html/2412.00224v1" TargetMode="External"/><Relationship Id="rId143" Type="http://schemas.openxmlformats.org/officeDocument/2006/relationships/hyperlink" Target="https://arxiv.org/pdf/2108.13068.pdf" TargetMode="External"/><Relationship Id="rId144" Type="http://schemas.openxmlformats.org/officeDocument/2006/relationships/hyperlink" Target="https://journals.sagepub.com/doi/pdf/10.1177/00081256231190430" TargetMode="External"/><Relationship Id="rId145" Type="http://schemas.openxmlformats.org/officeDocument/2006/relationships/hyperlink" Target="https://arxiv.org/pdf/2207.10062.pdf" TargetMode="External"/><Relationship Id="rId146" Type="http://schemas.openxmlformats.org/officeDocument/2006/relationships/hyperlink" Target="http://ejournal.aibpm.org/index.php/IJAFAP/article/download/1117/1015" TargetMode="External"/><Relationship Id="rId147" Type="http://schemas.openxmlformats.org/officeDocument/2006/relationships/hyperlink" Target="https://arxiv.org/pdf/2407.15100.pdf" TargetMode="External"/><Relationship Id="rId148" Type="http://schemas.openxmlformats.org/officeDocument/2006/relationships/hyperlink" Target="https://www.calcalistech.com/ctechnews/article/bjoooe8dge" TargetMode="External"/><Relationship Id="rId149" Type="http://schemas.openxmlformats.org/officeDocument/2006/relationships/hyperlink" Target="https://kpmg.co.il/technologyconsulting/our-offerings/qv" TargetMode="External"/><Relationship Id="rId150" Type="http://schemas.openxmlformats.org/officeDocument/2006/relationships/hyperlink" Target="https://kpmg.co.il/technologyconsulting/careers/jobs/genai-data-project-manager-1" TargetMode="External"/><Relationship Id="rId151" Type="http://schemas.openxmlformats.org/officeDocument/2006/relationships/hyperlink" Target="https://www.aijmr.com/papers/2024/2/1036.pdf" TargetMode="External"/><Relationship Id="rId152" Type="http://schemas.openxmlformats.org/officeDocument/2006/relationships/hyperlink" Target="http://arxiv.org/pdf/2312.11805.pdf" TargetMode="External"/><Relationship Id="rId153" Type="http://schemas.openxmlformats.org/officeDocument/2006/relationships/hyperlink" Target="https://arxiv.org/pdf/2401.01753.pdf" TargetMode="External"/><Relationship Id="rId154" Type="http://schemas.openxmlformats.org/officeDocument/2006/relationships/hyperlink" Target="https://www.aijmr.com/papers/2024/2/1037.pdf" TargetMode="External"/><Relationship Id="rId155" Type="http://schemas.openxmlformats.org/officeDocument/2006/relationships/hyperlink" Target="https://www.mdpi.com/2306-5354/10/8/891/pdf?version=1690454649" TargetMode="External"/><Relationship Id="rId156" Type="http://schemas.openxmlformats.org/officeDocument/2006/relationships/hyperlink" Target="https://linkinghub.elsevier.com/retrieve/pii/S2666776223000960" TargetMode="External"/><Relationship Id="rId157" Type="http://schemas.openxmlformats.org/officeDocument/2006/relationships/hyperlink" Target="https://arxiv.org/pdf/2410.15960.pdf" TargetMode="External"/><Relationship Id="rId158" Type="http://schemas.openxmlformats.org/officeDocument/2006/relationships/hyperlink" Target="https://www.mdpi.com/2076-3417/12/1/91/pdf" TargetMode="External"/><Relationship Id="rId159" Type="http://schemas.openxmlformats.org/officeDocument/2006/relationships/hyperlink" Target="https://www.microsoft.com/en/customers/story/24959-kpmg-microsoft-defender-for-cloud" TargetMode="External"/><Relationship Id="rId160" Type="http://schemas.openxmlformats.org/officeDocument/2006/relationships/hyperlink" Target="https://wjaets.com/node/448" TargetMode="External"/><Relationship Id="rId161" Type="http://schemas.openxmlformats.org/officeDocument/2006/relationships/hyperlink" Target="https://link.springer.com/10.1007/s00170-025-17111-4" TargetMode="External"/><Relationship Id="rId162" Type="http://schemas.openxmlformats.org/officeDocument/2006/relationships/hyperlink" Target="https://www.mdpi.com/1999-5903/17/9/430" TargetMode="External"/><Relationship Id="rId163" Type="http://schemas.openxmlformats.org/officeDocument/2006/relationships/hyperlink" Target="https://link.springer.com/10.1007/s43069-025-00554-6" TargetMode="External"/><Relationship Id="rId164" Type="http://schemas.openxmlformats.org/officeDocument/2006/relationships/hyperlink" Target="https://link.springer.com/10.1007/s44163-025-00363-0" TargetMode="External"/><Relationship Id="rId165" Type="http://schemas.openxmlformats.org/officeDocument/2006/relationships/hyperlink" Target="https://rast-journal.org/index.php/RAST/article/view/50" TargetMode="External"/><Relationship Id="rId166" Type="http://schemas.openxmlformats.org/officeDocument/2006/relationships/hyperlink" Target="https://www.mdpi.com/2078-2489/16/9/737" TargetMode="External"/><Relationship Id="rId167" Type="http://schemas.openxmlformats.org/officeDocument/2006/relationships/hyperlink" Target="https://www.e3s-conferences.org/10.1051/e3sconf/202568000104" TargetMode="External"/><Relationship Id="rId168" Type="http://schemas.openxmlformats.org/officeDocument/2006/relationships/hyperlink" Target="https://www.mdpi.com/2075-1702/12/10/681" TargetMode="External"/><Relationship Id="rId169" Type="http://schemas.openxmlformats.org/officeDocument/2006/relationships/hyperlink" Target="https://link.springer.com/10.1007/s40962-024-01338-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2026-01-19T11:11:28.252Z</dcterms:created>
  <dcterms:modified xsi:type="dcterms:W3CDTF">2026-01-19T11:11:28.252Z</dcterms:modified>
</cp:coreProperties>
</file>