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ca90180b4d1f41101c639b8c9d23eb8fff6344ee.png"/>
            <a:graphic>
              <a:graphicData uri="http://schemas.openxmlformats.org/drawingml/2006/picture">
                <pic:pic>
                  <pic:nvPicPr>
                    <pic:cNvPr id="1" name="image-ca90180b4d1f41101c639b8c9d23eb8fff6344ee.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strategic_deep_dive_pwc_israel_in_65c42d"/>
      <w:r>
        <w:rPr>
          <w:rFonts w:eastAsia="inter" w:cs="inter" w:ascii="inter" w:hAnsi="inter"/>
          <w:b/>
          <w:color w:val="000000"/>
          <w:sz w:val="39"/>
        </w:rPr>
        <w:t xml:space="preserve">Strategic Deep-Dive: PwC Israel in the Organizational‑Productivity AI Niche (2025–2026)</w:t>
      </w:r>
      <w:bookmarkEnd w:id="0"/>
    </w:p>
    <w:p>
      <w:pPr>
        <w:spacing w:line="360" w:before="315" w:after="105" w:lineRule="auto"/>
        <w:ind w:left="-30"/>
        <w:jc w:val="left"/>
      </w:pPr>
      <w:bookmarkStart w:id="1" w:name="bm_1_executive_summary"/>
      <w:r>
        <w:rPr>
          <w:rFonts w:eastAsia="inter" w:cs="inter" w:ascii="inter" w:hAnsi="inter"/>
          <w:b/>
          <w:color w:val="000000"/>
          <w:sz w:val="24"/>
        </w:rPr>
        <w:t xml:space="preserve">1. Executive Summary</w:t>
      </w:r>
      <w:bookmarkEnd w:id="1"/>
    </w:p>
    <w:p>
      <w:pPr>
        <w:spacing w:line="360" w:after="210" w:lineRule="auto"/>
      </w:pPr>
      <w:r>
        <w:rPr>
          <w:rFonts w:eastAsia="inter" w:cs="inter" w:ascii="inter" w:hAnsi="inter"/>
          <w:color w:val="000000"/>
        </w:rPr>
        <w:t xml:space="preserve">Evidence from Israeli market research, PwC Israel’s own technology subsidiary (“PwC NEXT”), regional OpenAI/Microsoft alliances, and public client engagements indicates that PwC Israel is positioning itself as a leading—arguably the leading—player at the intersection of AI and organizational productivity in the local market.</w:t>
      </w:r>
    </w:p>
    <w:p>
      <w:pPr>
        <w:spacing w:line="360" w:after="210" w:lineRule="auto"/>
      </w:pPr>
      <w:r>
        <w:rPr>
          <w:rFonts w:eastAsia="inter" w:cs="inter" w:ascii="inter" w:hAnsi="inter"/>
          <w:color w:val="000000"/>
        </w:rPr>
        <w:t xml:space="preserve">Key conclusions:</w:t>
      </w:r>
    </w:p>
    <w:p>
      <w:pPr>
        <w:numPr>
          <w:ilvl w:val="0"/>
          <w:numId w:val="1"/>
        </w:numPr>
        <w:spacing w:line="360" w:before="105" w:after="105" w:lineRule="auto"/>
      </w:pPr>
      <w:r>
        <w:rPr>
          <w:rFonts w:eastAsia="inter" w:cs="inter" w:ascii="inter" w:hAnsi="inter"/>
          <w:b/>
          <w:color w:val="000000"/>
          <w:sz w:val="21"/>
        </w:rPr>
        <w:t xml:space="preserve">Market dominance signal:</w:t>
      </w:r>
      <w:r>
        <w:rPr>
          <w:rFonts w:eastAsia="inter" w:cs="inter" w:ascii="inter" w:hAnsi="inter"/>
          <w:color w:val="000000"/>
          <w:sz w:val="21"/>
        </w:rPr>
        <w:t xml:space="preserve"> Independent Israeli IT analyst STKI ranks PwC Israel’s advisory arm as the market leader in IT consulting for 2024, with Tier‑1 positions in Application Projects Consulting, Data &amp; Analytics, and Generative AI, and a new category for Customer &amp; Employee Experience Strategy. This is precisely the stack that underpins “organizational productivity” projects.</w:t>
      </w:r>
      <w:bookmarkStart w:id="2" w:name="fnref1"/>
      <w:bookmarkEnd w:id="2"/>
      <w:hyperlink w:anchor="fn1">
        <w:r>
          <w:rPr>
            <w:rFonts w:eastAsia="inter" w:cs="inter" w:ascii="inter" w:hAnsi="inter"/>
            <w:color w:val="#000"/>
            <w:sz w:val="21"/>
            <w:u w:val="single"/>
            <w:vertAlign w:val="superscript"/>
          </w:rPr>
          <w:t xml:space="preserve">[1]</w:t>
        </w:r>
      </w:hyperlink>
    </w:p>
    <w:p>
      <w:pPr>
        <w:numPr>
          <w:ilvl w:val="0"/>
          <w:numId w:val="1"/>
        </w:numPr>
        <w:spacing w:line="360" w:before="105" w:after="105" w:lineRule="auto"/>
      </w:pPr>
      <w:r>
        <w:rPr>
          <w:rFonts w:eastAsia="inter" w:cs="inter" w:ascii="inter" w:hAnsi="inter"/>
          <w:b/>
          <w:color w:val="000000"/>
          <w:sz w:val="21"/>
        </w:rPr>
        <w:t xml:space="preserve">AI Factory asset, locally implemented:</w:t>
      </w:r>
      <w:r>
        <w:rPr>
          <w:rFonts w:eastAsia="inter" w:cs="inter" w:ascii="inter" w:hAnsi="inter"/>
          <w:color w:val="000000"/>
          <w:sz w:val="21"/>
        </w:rPr>
        <w:t xml:space="preserve"> PwC’s global “AI Factory” construct is localized in Israel through </w:t>
      </w:r>
      <w:r>
        <w:rPr>
          <w:rFonts w:eastAsia="inter" w:cs="inter" w:ascii="inter" w:hAnsi="inter"/>
          <w:b/>
          <w:color w:val="000000"/>
          <w:sz w:val="21"/>
        </w:rPr>
        <w:t xml:space="preserve">PwC NEXT Technology Solutions</w:t>
      </w:r>
      <w:r>
        <w:rPr>
          <w:rFonts w:eastAsia="inter" w:cs="inter" w:ascii="inter" w:hAnsi="inter"/>
          <w:color w:val="000000"/>
          <w:sz w:val="21"/>
        </w:rPr>
        <w:t xml:space="preserve">, which explicitly offers an </w:t>
      </w:r>
      <w:r>
        <w:rPr>
          <w:rFonts w:eastAsia="inter" w:cs="inter" w:ascii="inter" w:hAnsi="inter"/>
          <w:b/>
          <w:color w:val="000000"/>
          <w:sz w:val="21"/>
        </w:rPr>
        <w:t xml:space="preserve">“AI Factory Methodology”</w:t>
      </w:r>
      <w:r>
        <w:rPr>
          <w:rFonts w:eastAsia="inter" w:cs="inter" w:ascii="inter" w:hAnsi="inter"/>
          <w:color w:val="000000"/>
          <w:sz w:val="21"/>
        </w:rPr>
        <w:t xml:space="preserve"> alongside GenAI strategy, model development, UX, trust &amp; security, and cloud/AI engineering led by a dedicated CTO for Cloud &amp; AI. This is not just slideware; they operate a hands‑on engineering shop in Tel Aviv.</w:t>
      </w:r>
      <w:bookmarkStart w:id="3" w:name="fnref2"/>
      <w:bookmarkEnd w:id="3"/>
      <w:hyperlink w:anchor="fn2">
        <w:r>
          <w:rPr>
            <w:rFonts w:eastAsia="inter" w:cs="inter" w:ascii="inter" w:hAnsi="inter"/>
            <w:color w:val="#000"/>
            <w:sz w:val="21"/>
            <w:u w:val="single"/>
            <w:vertAlign w:val="superscript"/>
          </w:rPr>
          <w:t xml:space="preserve">[2]</w:t>
        </w:r>
      </w:hyperlink>
      <w:bookmarkStart w:id="4" w:name="fnref3"/>
      <w:bookmarkEnd w:id="4"/>
      <w:hyperlink w:anchor="fn3">
        <w:r>
          <w:rPr>
            <w:rFonts w:eastAsia="inter" w:cs="inter" w:ascii="inter" w:hAnsi="inter"/>
            <w:color w:val="#000"/>
            <w:sz w:val="21"/>
            <w:u w:val="single"/>
            <w:vertAlign w:val="superscript"/>
          </w:rPr>
          <w:t xml:space="preserve">[3]</w:t>
        </w:r>
      </w:hyperlink>
      <w:bookmarkStart w:id="5" w:name="fnref4"/>
      <w:bookmarkEnd w:id="5"/>
      <w:hyperlink w:anchor="fn4">
        <w:r>
          <w:rPr>
            <w:rFonts w:eastAsia="inter" w:cs="inter" w:ascii="inter" w:hAnsi="inter"/>
            <w:color w:val="#000"/>
            <w:sz w:val="21"/>
            <w:u w:val="single"/>
            <w:vertAlign w:val="superscript"/>
          </w:rPr>
          <w:t xml:space="preserve">[4]</w:t>
        </w:r>
      </w:hyperlink>
    </w:p>
    <w:p>
      <w:pPr>
        <w:numPr>
          <w:ilvl w:val="0"/>
          <w:numId w:val="1"/>
        </w:numPr>
        <w:spacing w:line="360" w:before="105" w:after="105" w:lineRule="auto"/>
      </w:pPr>
      <w:r>
        <w:rPr>
          <w:rFonts w:eastAsia="inter" w:cs="inter" w:ascii="inter" w:hAnsi="inter"/>
          <w:b/>
          <w:color w:val="000000"/>
          <w:sz w:val="21"/>
        </w:rPr>
        <w:t xml:space="preserve">Gold Use Case (Israel):</w:t>
      </w:r>
      <w:r>
        <w:rPr>
          <w:rFonts w:eastAsia="inter" w:cs="inter" w:ascii="inter" w:hAnsi="inter"/>
          <w:color w:val="000000"/>
          <w:sz w:val="21"/>
        </w:rPr>
        <w:t xml:space="preserve"> Public profiles of PwC Israel’s CTO describe a project with leading law firm </w:t>
      </w:r>
      <w:r>
        <w:rPr>
          <w:rFonts w:eastAsia="inter" w:cs="inter" w:ascii="inter" w:hAnsi="inter"/>
          <w:b/>
          <w:color w:val="000000"/>
          <w:sz w:val="21"/>
        </w:rPr>
        <w:t xml:space="preserve">Fischer Behar Chen</w:t>
      </w:r>
      <w:r>
        <w:rPr>
          <w:rFonts w:eastAsia="inter" w:cs="inter" w:ascii="inter" w:hAnsi="inter"/>
          <w:color w:val="000000"/>
          <w:sz w:val="21"/>
        </w:rPr>
        <w:t xml:space="preserve"> in which AI‑enabled tools cut the time required for legal research and document drafting by </w:t>
      </w:r>
      <w:r>
        <w:rPr>
          <w:rFonts w:eastAsia="inter" w:cs="inter" w:ascii="inter" w:hAnsi="inter"/>
          <w:b/>
          <w:color w:val="000000"/>
          <w:sz w:val="21"/>
        </w:rPr>
        <w:t xml:space="preserve">approximately 50%</w:t>
      </w:r>
      <w:r>
        <w:rPr>
          <w:rFonts w:eastAsia="inter" w:cs="inter" w:ascii="inter" w:hAnsi="inter"/>
          <w:color w:val="000000"/>
          <w:sz w:val="21"/>
        </w:rPr>
        <w:t xml:space="preserve">, materially improving white‑collar productivity in a high‑value professional‑services environment.</w:t>
      </w:r>
      <w:bookmarkStart w:id="6" w:name="fnref5"/>
      <w:bookmarkEnd w:id="6"/>
      <w:hyperlink w:anchor="fn5">
        <w:r>
          <w:rPr>
            <w:rFonts w:eastAsia="inter" w:cs="inter" w:ascii="inter" w:hAnsi="inter"/>
            <w:color w:val="#000"/>
            <w:sz w:val="21"/>
            <w:u w:val="single"/>
            <w:vertAlign w:val="superscript"/>
          </w:rPr>
          <w:t xml:space="preserve">[5]</w:t>
        </w:r>
      </w:hyperlink>
    </w:p>
    <w:p>
      <w:pPr>
        <w:numPr>
          <w:ilvl w:val="0"/>
          <w:numId w:val="1"/>
        </w:numPr>
        <w:spacing w:line="360" w:before="105" w:after="105" w:lineRule="auto"/>
      </w:pPr>
      <w:r>
        <w:rPr>
          <w:rFonts w:eastAsia="inter" w:cs="inter" w:ascii="inter" w:hAnsi="inter"/>
          <w:b/>
          <w:color w:val="000000"/>
          <w:sz w:val="21"/>
        </w:rPr>
        <w:t xml:space="preserve">Internal productivity proof points (network‑level but operational in Israel):</w:t>
      </w:r>
      <w:r>
        <w:rPr>
          <w:rFonts w:eastAsia="inter" w:cs="inter" w:ascii="inter" w:hAnsi="inter"/>
          <w:color w:val="000000"/>
          <w:sz w:val="21"/>
        </w:rPr>
        <w:t xml:space="preserve"> PwC globally reports </w:t>
      </w:r>
      <w:r>
        <w:rPr>
          <w:rFonts w:eastAsia="inter" w:cs="inter" w:ascii="inter" w:hAnsi="inter"/>
          <w:b/>
          <w:color w:val="000000"/>
          <w:sz w:val="21"/>
        </w:rPr>
        <w:t xml:space="preserve">5 million+ hours saved</w:t>
      </w:r>
      <w:r>
        <w:rPr>
          <w:rFonts w:eastAsia="inter" w:cs="inter" w:ascii="inter" w:hAnsi="inter"/>
          <w:color w:val="000000"/>
          <w:sz w:val="21"/>
        </w:rPr>
        <w:t xml:space="preserve"> (≈16% reduction in time) in tax‑notice processing via internal AI automation, and ~20–30% self‑reported efficiency gains from GenAI “prompting parties” around its internal ChatPwC and Microsoft Copilot deployment. Israel, as part of the network and of the US sub‑cluster, is explicitly embedding “NextGen assurance” and AI‑driven tools in its audit and risk practices.</w:t>
      </w:r>
      <w:bookmarkStart w:id="7" w:name="fnref6"/>
      <w:bookmarkEnd w:id="7"/>
      <w:hyperlink w:anchor="fn6">
        <w:r>
          <w:rPr>
            <w:rFonts w:eastAsia="inter" w:cs="inter" w:ascii="inter" w:hAnsi="inter"/>
            <w:color w:val="#000"/>
            <w:sz w:val="21"/>
            <w:u w:val="single"/>
            <w:vertAlign w:val="superscript"/>
          </w:rPr>
          <w:t xml:space="preserve">[6]</w:t>
        </w:r>
      </w:hyperlink>
      <w:bookmarkStart w:id="8" w:name="fnref7"/>
      <w:bookmarkEnd w:id="8"/>
      <w:hyperlink w:anchor="fn7">
        <w:r>
          <w:rPr>
            <w:rFonts w:eastAsia="inter" w:cs="inter" w:ascii="inter" w:hAnsi="inter"/>
            <w:color w:val="#000"/>
            <w:sz w:val="21"/>
            <w:u w:val="single"/>
            <w:vertAlign w:val="superscript"/>
          </w:rPr>
          <w:t xml:space="preserve">[7]</w:t>
        </w:r>
      </w:hyperlink>
      <w:bookmarkStart w:id="9" w:name="fnref8"/>
      <w:bookmarkEnd w:id="9"/>
      <w:hyperlink w:anchor="fn8">
        <w:r>
          <w:rPr>
            <w:rFonts w:eastAsia="inter" w:cs="inter" w:ascii="inter" w:hAnsi="inter"/>
            <w:color w:val="#000"/>
            <w:sz w:val="21"/>
            <w:u w:val="single"/>
            <w:vertAlign w:val="superscript"/>
          </w:rPr>
          <w:t xml:space="preserve">[8]</w:t>
        </w:r>
      </w:hyperlink>
      <w:bookmarkStart w:id="10" w:name="fnref9"/>
      <w:bookmarkEnd w:id="10"/>
      <w:hyperlink w:anchor="fn9">
        <w:r>
          <w:rPr>
            <w:rFonts w:eastAsia="inter" w:cs="inter" w:ascii="inter" w:hAnsi="inter"/>
            <w:color w:val="#000"/>
            <w:sz w:val="21"/>
            <w:u w:val="single"/>
            <w:vertAlign w:val="superscript"/>
          </w:rPr>
          <w:t xml:space="preserve">[9]</w:t>
        </w:r>
      </w:hyperlink>
      <w:bookmarkStart w:id="11" w:name="fnref10"/>
      <w:bookmarkEnd w:id="11"/>
      <w:hyperlink w:anchor="fn10">
        <w:r>
          <w:rPr>
            <w:rFonts w:eastAsia="inter" w:cs="inter" w:ascii="inter" w:hAnsi="inter"/>
            <w:color w:val="#000"/>
            <w:sz w:val="21"/>
            <w:u w:val="single"/>
            <w:vertAlign w:val="superscript"/>
          </w:rPr>
          <w:t xml:space="preserve">[10]</w:t>
        </w:r>
      </w:hyperlink>
      <w:bookmarkStart w:id="12" w:name="fnref11"/>
      <w:bookmarkEnd w:id="12"/>
      <w:hyperlink w:anchor="fn11">
        <w:r>
          <w:rPr>
            <w:rFonts w:eastAsia="inter" w:cs="inter" w:ascii="inter" w:hAnsi="inter"/>
            <w:color w:val="#000"/>
            <w:sz w:val="21"/>
            <w:u w:val="single"/>
            <w:vertAlign w:val="superscript"/>
          </w:rPr>
          <w:t xml:space="preserve">[11]</w:t>
        </w:r>
      </w:hyperlink>
    </w:p>
    <w:p>
      <w:pPr>
        <w:numPr>
          <w:ilvl w:val="0"/>
          <w:numId w:val="1"/>
        </w:numPr>
        <w:spacing w:line="360" w:before="105" w:after="105" w:lineRule="auto"/>
      </w:pPr>
      <w:r>
        <w:rPr>
          <w:rFonts w:eastAsia="inter" w:cs="inter" w:ascii="inter" w:hAnsi="inter"/>
          <w:b/>
          <w:color w:val="000000"/>
          <w:sz w:val="21"/>
        </w:rPr>
        <w:t xml:space="preserve">OpenAI &amp; Microsoft power play:</w:t>
      </w:r>
    </w:p>
    <w:p>
      <w:pPr>
        <w:numPr>
          <w:ilvl w:val="1"/>
          <w:numId w:val="1"/>
        </w:numPr>
        <w:spacing w:line="360" w:before="105" w:after="105" w:lineRule="auto"/>
      </w:pPr>
      <w:r>
        <w:rPr>
          <w:rFonts w:eastAsia="inter" w:cs="inter" w:ascii="inter" w:hAnsi="inter"/>
          <w:color w:val="000000"/>
          <w:sz w:val="21"/>
        </w:rPr>
        <w:t xml:space="preserve">PwC US/UK are OpenAI’s </w:t>
      </w:r>
      <w:r>
        <w:rPr>
          <w:rFonts w:eastAsia="inter" w:cs="inter" w:ascii="inter" w:hAnsi="inter"/>
          <w:b/>
          <w:color w:val="000000"/>
          <w:sz w:val="21"/>
        </w:rPr>
        <w:t xml:space="preserve">first global reseller and largest enterprise customer</w:t>
      </w:r>
      <w:r>
        <w:rPr>
          <w:rFonts w:eastAsia="inter" w:cs="inter" w:ascii="inter" w:hAnsi="inter"/>
          <w:color w:val="000000"/>
          <w:sz w:val="21"/>
        </w:rPr>
        <w:t xml:space="preserve"> for ChatGPT Enterprise.</w:t>
      </w:r>
      <w:bookmarkStart w:id="13" w:name="fnref12"/>
      <w:bookmarkEnd w:id="13"/>
      <w:hyperlink w:anchor="fn12">
        <w:r>
          <w:rPr>
            <w:rFonts w:eastAsia="inter" w:cs="inter" w:ascii="inter" w:hAnsi="inter"/>
            <w:color w:val="#000"/>
            <w:sz w:val="21"/>
            <w:u w:val="single"/>
            <w:vertAlign w:val="superscript"/>
          </w:rPr>
          <w:t xml:space="preserve">[12]</w:t>
        </w:r>
      </w:hyperlink>
      <w:bookmarkStart w:id="14" w:name="fnref13"/>
      <w:bookmarkEnd w:id="14"/>
      <w:hyperlink w:anchor="fn13">
        <w:r>
          <w:rPr>
            <w:rFonts w:eastAsia="inter" w:cs="inter" w:ascii="inter" w:hAnsi="inter"/>
            <w:color w:val="#000"/>
            <w:sz w:val="21"/>
            <w:u w:val="single"/>
            <w:vertAlign w:val="superscript"/>
          </w:rPr>
          <w:t xml:space="preserve">[13]</w:t>
        </w:r>
      </w:hyperlink>
      <w:bookmarkStart w:id="15" w:name="fnref14"/>
      <w:bookmarkEnd w:id="15"/>
      <w:hyperlink w:anchor="fn14">
        <w:r>
          <w:rPr>
            <w:rFonts w:eastAsia="inter" w:cs="inter" w:ascii="inter" w:hAnsi="inter"/>
            <w:color w:val="#000"/>
            <w:sz w:val="21"/>
            <w:u w:val="single"/>
            <w:vertAlign w:val="superscript"/>
          </w:rPr>
          <w:t xml:space="preserve">[14]</w:t>
        </w:r>
      </w:hyperlink>
      <w:bookmarkStart w:id="16" w:name="fnref8_1"/>
      <w:bookmarkEnd w:id="16"/>
      <w:hyperlink w:anchor="fn8">
        <w:r>
          <w:rPr>
            <w:rFonts w:eastAsia="inter" w:cs="inter" w:ascii="inter" w:hAnsi="inter"/>
            <w:color w:val="#000"/>
            <w:sz w:val="21"/>
            <w:u w:val="single"/>
            <w:vertAlign w:val="superscript"/>
          </w:rPr>
          <w:t xml:space="preserve">[8]</w:t>
        </w:r>
      </w:hyperlink>
    </w:p>
    <w:p>
      <w:pPr>
        <w:numPr>
          <w:ilvl w:val="1"/>
          <w:numId w:val="1"/>
        </w:numPr>
        <w:spacing w:line="360" w:before="105" w:after="105" w:lineRule="auto"/>
      </w:pPr>
      <w:r>
        <w:rPr>
          <w:rFonts w:eastAsia="inter" w:cs="inter" w:ascii="inter" w:hAnsi="inter"/>
          <w:color w:val="000000"/>
          <w:sz w:val="21"/>
        </w:rPr>
        <w:t xml:space="preserve">PwC Middle East has a </w:t>
      </w:r>
      <w:r>
        <w:rPr>
          <w:rFonts w:eastAsia="inter" w:cs="inter" w:ascii="inter" w:hAnsi="inter"/>
          <w:b/>
          <w:color w:val="000000"/>
          <w:sz w:val="21"/>
        </w:rPr>
        <w:t xml:space="preserve">regional agreement with OpenAI</w:t>
      </w:r>
      <w:r>
        <w:rPr>
          <w:rFonts w:eastAsia="inter" w:cs="inter" w:ascii="inter" w:hAnsi="inter"/>
          <w:color w:val="000000"/>
          <w:sz w:val="21"/>
        </w:rPr>
        <w:t xml:space="preserve"> as </w:t>
      </w:r>
      <w:r>
        <w:rPr>
          <w:rFonts w:eastAsia="inter" w:cs="inter" w:ascii="inter" w:hAnsi="inter"/>
          <w:b/>
          <w:color w:val="000000"/>
          <w:sz w:val="21"/>
        </w:rPr>
        <w:t xml:space="preserve">first reseller in the Middle East</w:t>
      </w:r>
      <w:r>
        <w:rPr>
          <w:rFonts w:eastAsia="inter" w:cs="inter" w:ascii="inter" w:hAnsi="inter"/>
          <w:color w:val="000000"/>
          <w:sz w:val="21"/>
        </w:rPr>
        <w:t xml:space="preserve">, explicitly framed around scaling ChatGPT Enterprise and other OpenAI capabilities for clients.</w:t>
      </w:r>
      <w:bookmarkStart w:id="17" w:name="fnref15"/>
      <w:bookmarkEnd w:id="17"/>
      <w:hyperlink w:anchor="fn15">
        <w:r>
          <w:rPr>
            <w:rFonts w:eastAsia="inter" w:cs="inter" w:ascii="inter" w:hAnsi="inter"/>
            <w:color w:val="#000"/>
            <w:sz w:val="21"/>
            <w:u w:val="single"/>
            <w:vertAlign w:val="superscript"/>
          </w:rPr>
          <w:t xml:space="preserve">[15]</w:t>
        </w:r>
      </w:hyperlink>
      <w:bookmarkStart w:id="18" w:name="fnref16"/>
      <w:bookmarkEnd w:id="18"/>
      <w:hyperlink w:anchor="fn16">
        <w:r>
          <w:rPr>
            <w:rFonts w:eastAsia="inter" w:cs="inter" w:ascii="inter" w:hAnsi="inter"/>
            <w:color w:val="#000"/>
            <w:sz w:val="21"/>
            <w:u w:val="single"/>
            <w:vertAlign w:val="superscript"/>
          </w:rPr>
          <w:t xml:space="preserve">[16]</w:t>
        </w:r>
      </w:hyperlink>
      <w:bookmarkStart w:id="19" w:name="fnref17"/>
      <w:bookmarkEnd w:id="19"/>
      <w:hyperlink w:anchor="fn17">
        <w:r>
          <w:rPr>
            <w:rFonts w:eastAsia="inter" w:cs="inter" w:ascii="inter" w:hAnsi="inter"/>
            <w:color w:val="#000"/>
            <w:sz w:val="21"/>
            <w:u w:val="single"/>
            <w:vertAlign w:val="superscript"/>
          </w:rPr>
          <w:t xml:space="preserve">[17]</w:t>
        </w:r>
      </w:hyperlink>
      <w:bookmarkStart w:id="20" w:name="fnref18"/>
      <w:bookmarkEnd w:id="20"/>
      <w:hyperlink w:anchor="fn18">
        <w:r>
          <w:rPr>
            <w:rFonts w:eastAsia="inter" w:cs="inter" w:ascii="inter" w:hAnsi="inter"/>
            <w:color w:val="#000"/>
            <w:sz w:val="21"/>
            <w:u w:val="single"/>
            <w:vertAlign w:val="superscript"/>
          </w:rPr>
          <w:t xml:space="preserve">[18]</w:t>
        </w:r>
      </w:hyperlink>
    </w:p>
    <w:p>
      <w:pPr>
        <w:numPr>
          <w:ilvl w:val="1"/>
          <w:numId w:val="1"/>
        </w:numPr>
        <w:spacing w:line="360" w:before="105" w:after="105" w:lineRule="auto"/>
      </w:pPr>
      <w:r>
        <w:rPr>
          <w:rFonts w:eastAsia="inter" w:cs="inter" w:ascii="inter" w:hAnsi="inter"/>
          <w:color w:val="000000"/>
          <w:sz w:val="21"/>
        </w:rPr>
        <w:t xml:space="preserve">PwC also runs </w:t>
      </w:r>
      <w:r>
        <w:rPr>
          <w:rFonts w:eastAsia="inter" w:cs="inter" w:ascii="inter" w:hAnsi="inter"/>
          <w:b/>
          <w:color w:val="000000"/>
          <w:sz w:val="21"/>
        </w:rPr>
        <w:t xml:space="preserve">one of the largest Azure OpenAI implementations globally</w:t>
      </w:r>
      <w:r>
        <w:rPr>
          <w:rFonts w:eastAsia="inter" w:cs="inter" w:ascii="inter" w:hAnsi="inter"/>
          <w:color w:val="000000"/>
          <w:sz w:val="21"/>
        </w:rPr>
        <w:t xml:space="preserve">, with an AI “factory” operating model jointly marketed with Microsoft.</w:t>
      </w:r>
      <w:bookmarkStart w:id="21" w:name="fnref19"/>
      <w:bookmarkEnd w:id="21"/>
      <w:hyperlink w:anchor="fn19">
        <w:r>
          <w:rPr>
            <w:rFonts w:eastAsia="inter" w:cs="inter" w:ascii="inter" w:hAnsi="inter"/>
            <w:color w:val="#000"/>
            <w:sz w:val="21"/>
            <w:u w:val="single"/>
            <w:vertAlign w:val="superscript"/>
          </w:rPr>
          <w:t xml:space="preserve">[19]</w:t>
        </w:r>
      </w:hyperlink>
      <w:r>
        <w:rPr>
          <w:rFonts w:eastAsia="inter" w:cs="inter" w:ascii="inter" w:hAnsi="inter"/>
          <w:color w:val="000000"/>
          <w:sz w:val="21"/>
        </w:rPr>
        <w:br w:type="textWrapping"/>
      </w:r>
      <w:r>
        <w:rPr>
          <w:rFonts w:eastAsia="inter" w:cs="inter" w:ascii="inter" w:hAnsi="inter"/>
          <w:color w:val="000000"/>
          <w:sz w:val="21"/>
        </w:rPr>
        <w:t xml:space="preserve">Together this gives PwC Israel preferential access to tooling, pricing models, and implementation playbooks that other local integrators do not match.</w:t>
      </w:r>
    </w:p>
    <w:p>
      <w:pPr>
        <w:numPr>
          <w:ilvl w:val="0"/>
          <w:numId w:val="1"/>
        </w:numPr>
        <w:spacing w:line="360" w:before="105" w:after="105" w:lineRule="auto"/>
      </w:pPr>
      <w:r>
        <w:rPr>
          <w:rFonts w:eastAsia="inter" w:cs="inter" w:ascii="inter" w:hAnsi="inter"/>
          <w:b/>
          <w:color w:val="000000"/>
          <w:sz w:val="21"/>
        </w:rPr>
        <w:t xml:space="preserve">Local ecosystem position:</w:t>
      </w:r>
      <w:r>
        <w:rPr>
          <w:rFonts w:eastAsia="inter" w:cs="inter" w:ascii="inter" w:hAnsi="inter"/>
          <w:color w:val="000000"/>
          <w:sz w:val="21"/>
        </w:rPr>
        <w:t xml:space="preserve"> PwC Israel runs a dedicated technology subsidiary (PwC NEXT) focused on cloud, cybersecurity, AI and business‑innovation projects, partners with AI startups such as </w:t>
      </w:r>
      <w:r>
        <w:rPr>
          <w:rFonts w:eastAsia="inter" w:cs="inter" w:ascii="inter" w:hAnsi="inter"/>
          <w:b/>
          <w:color w:val="000000"/>
          <w:sz w:val="21"/>
        </w:rPr>
        <w:t xml:space="preserve">Hear</w:t>
      </w:r>
      <w:r>
        <w:rPr>
          <w:rFonts w:eastAsia="inter" w:cs="inter" w:ascii="inter" w:hAnsi="inter"/>
          <w:color w:val="000000"/>
          <w:sz w:val="21"/>
        </w:rPr>
        <w:t xml:space="preserve"> (contact‑center AI analytics), and is a structured ecosystem partner to </w:t>
      </w:r>
      <w:r>
        <w:rPr>
          <w:rFonts w:eastAsia="inter" w:cs="inter" w:ascii="inter" w:hAnsi="inter"/>
          <w:b/>
          <w:color w:val="000000"/>
          <w:sz w:val="21"/>
        </w:rPr>
        <w:t xml:space="preserve">OurCrowd’s Israel Resilience Fund</w:t>
      </w:r>
      <w:r>
        <w:rPr>
          <w:rFonts w:eastAsia="inter" w:cs="inter" w:ascii="inter" w:hAnsi="inter"/>
          <w:color w:val="000000"/>
          <w:sz w:val="21"/>
        </w:rPr>
        <w:t xml:space="preserve">, mentoring and supporting deep‑tech startups, many AI‑native.</w:t>
      </w:r>
      <w:bookmarkStart w:id="22" w:name="fnref20"/>
      <w:bookmarkEnd w:id="22"/>
      <w:hyperlink w:anchor="fn20">
        <w:r>
          <w:rPr>
            <w:rFonts w:eastAsia="inter" w:cs="inter" w:ascii="inter" w:hAnsi="inter"/>
            <w:color w:val="#000"/>
            <w:sz w:val="21"/>
            <w:u w:val="single"/>
            <w:vertAlign w:val="superscript"/>
          </w:rPr>
          <w:t xml:space="preserve">[20]</w:t>
        </w:r>
      </w:hyperlink>
      <w:bookmarkStart w:id="23" w:name="fnref21"/>
      <w:bookmarkEnd w:id="23"/>
      <w:hyperlink w:anchor="fn21">
        <w:r>
          <w:rPr>
            <w:rFonts w:eastAsia="inter" w:cs="inter" w:ascii="inter" w:hAnsi="inter"/>
            <w:color w:val="#000"/>
            <w:sz w:val="21"/>
            <w:u w:val="single"/>
            <w:vertAlign w:val="superscript"/>
          </w:rPr>
          <w:t xml:space="preserve">[21]</w:t>
        </w:r>
      </w:hyperlink>
      <w:bookmarkStart w:id="24" w:name="fnref4_1"/>
      <w:bookmarkEnd w:id="24"/>
      <w:hyperlink w:anchor="fn4">
        <w:r>
          <w:rPr>
            <w:rFonts w:eastAsia="inter" w:cs="inter" w:ascii="inter" w:hAnsi="inter"/>
            <w:color w:val="#000"/>
            <w:sz w:val="21"/>
            <w:u w:val="single"/>
            <w:vertAlign w:val="superscript"/>
          </w:rPr>
          <w:t xml:space="preserve">[4]</w:t>
        </w:r>
      </w:hyperlink>
      <w:bookmarkStart w:id="25" w:name="fnref22"/>
      <w:bookmarkEnd w:id="25"/>
      <w:hyperlink w:anchor="fn22">
        <w:r>
          <w:rPr>
            <w:rFonts w:eastAsia="inter" w:cs="inter" w:ascii="inter" w:hAnsi="inter"/>
            <w:color w:val="#000"/>
            <w:sz w:val="21"/>
            <w:u w:val="single"/>
            <w:vertAlign w:val="superscript"/>
          </w:rPr>
          <w:t xml:space="preserve">[22]</w:t>
        </w:r>
      </w:hyperlink>
    </w:p>
    <w:p>
      <w:pPr>
        <w:spacing w:line="360" w:after="210" w:lineRule="auto"/>
      </w:pPr>
      <w:r>
        <w:rPr>
          <w:rFonts w:eastAsia="inter" w:cs="inter" w:ascii="inter" w:hAnsi="inter"/>
          <w:color w:val="000000"/>
        </w:rPr>
        <w:t xml:space="preserve">The caveat: while qualitative and directional evidence is strong, </w:t>
      </w:r>
      <w:r>
        <w:rPr>
          <w:rFonts w:eastAsia="inter" w:cs="inter" w:ascii="inter" w:hAnsi="inter"/>
          <w:b/>
          <w:color w:val="000000"/>
        </w:rPr>
        <w:t xml:space="preserve">public, quantified GenAI ROI case studies in Israel are still sparse</w:t>
      </w:r>
      <w:r>
        <w:rPr>
          <w:rFonts w:eastAsia="inter" w:cs="inter" w:ascii="inter" w:hAnsi="inter"/>
          <w:color w:val="000000"/>
        </w:rPr>
        <w:t xml:space="preserve">. The dominant narrative is assembled from:</w:t>
      </w:r>
    </w:p>
    <w:p>
      <w:pPr>
        <w:numPr>
          <w:ilvl w:val="0"/>
          <w:numId w:val="2"/>
        </w:numPr>
        <w:spacing w:line="360" w:before="105" w:after="105" w:lineRule="auto"/>
      </w:pPr>
      <w:r>
        <w:rPr>
          <w:rFonts w:eastAsia="inter" w:cs="inter" w:ascii="inter" w:hAnsi="inter"/>
          <w:color w:val="000000"/>
          <w:sz w:val="21"/>
        </w:rPr>
        <w:t xml:space="preserve">Independent rankings (STKI, BDi)</w:t>
      </w:r>
      <w:bookmarkStart w:id="26" w:name="fnref7_1"/>
      <w:bookmarkEnd w:id="26"/>
      <w:hyperlink w:anchor="fn7">
        <w:r>
          <w:rPr>
            <w:rFonts w:eastAsia="inter" w:cs="inter" w:ascii="inter" w:hAnsi="inter"/>
            <w:color w:val="#000"/>
            <w:sz w:val="21"/>
            <w:u w:val="single"/>
            <w:vertAlign w:val="superscript"/>
          </w:rPr>
          <w:t xml:space="preserve">[7]</w:t>
        </w:r>
      </w:hyperlink>
      <w:bookmarkStart w:id="27" w:name="fnref1_1"/>
      <w:bookmarkEnd w:id="27"/>
      <w:hyperlink w:anchor="fn1">
        <w:r>
          <w:rPr>
            <w:rFonts w:eastAsia="inter" w:cs="inter" w:ascii="inter" w:hAnsi="inter"/>
            <w:color w:val="#000"/>
            <w:sz w:val="21"/>
            <w:u w:val="single"/>
            <w:vertAlign w:val="superscript"/>
          </w:rPr>
          <w:t xml:space="preserve">[1]</w:t>
        </w:r>
      </w:hyperlink>
    </w:p>
    <w:p>
      <w:pPr>
        <w:numPr>
          <w:ilvl w:val="0"/>
          <w:numId w:val="2"/>
        </w:numPr>
        <w:spacing w:line="360" w:before="105" w:after="105" w:lineRule="auto"/>
      </w:pPr>
      <w:r>
        <w:rPr>
          <w:rFonts w:eastAsia="inter" w:cs="inter" w:ascii="inter" w:hAnsi="inter"/>
          <w:color w:val="000000"/>
          <w:sz w:val="21"/>
        </w:rPr>
        <w:t xml:space="preserve">PwC NEXT’s explicit AI Factory/GenAI offering</w:t>
      </w:r>
      <w:bookmarkStart w:id="28" w:name="fnref4_2"/>
      <w:bookmarkEnd w:id="28"/>
      <w:hyperlink w:anchor="fn4">
        <w:r>
          <w:rPr>
            <w:rFonts w:eastAsia="inter" w:cs="inter" w:ascii="inter" w:hAnsi="inter"/>
            <w:color w:val="#000"/>
            <w:sz w:val="21"/>
            <w:u w:val="single"/>
            <w:vertAlign w:val="superscript"/>
          </w:rPr>
          <w:t xml:space="preserve">[4]</w:t>
        </w:r>
      </w:hyperlink>
      <w:bookmarkStart w:id="29" w:name="fnref2_1"/>
      <w:bookmarkEnd w:id="29"/>
      <w:hyperlink w:anchor="fn2">
        <w:r>
          <w:rPr>
            <w:rFonts w:eastAsia="inter" w:cs="inter" w:ascii="inter" w:hAnsi="inter"/>
            <w:color w:val="#000"/>
            <w:sz w:val="21"/>
            <w:u w:val="single"/>
            <w:vertAlign w:val="superscript"/>
          </w:rPr>
          <w:t xml:space="preserve">[2]</w:t>
        </w:r>
      </w:hyperlink>
    </w:p>
    <w:p>
      <w:pPr>
        <w:numPr>
          <w:ilvl w:val="0"/>
          <w:numId w:val="2"/>
        </w:numPr>
        <w:spacing w:line="360" w:before="105" w:after="105" w:lineRule="auto"/>
      </w:pPr>
      <w:r>
        <w:rPr>
          <w:rFonts w:eastAsia="inter" w:cs="inter" w:ascii="inter" w:hAnsi="inter"/>
          <w:color w:val="000000"/>
          <w:sz w:val="21"/>
        </w:rPr>
        <w:t xml:space="preserve">Select named clients (Bank Hapoalim, Migdal Insurance, EL AL, major law firms) with qualitative impact metrics</w:t>
      </w:r>
      <w:bookmarkStart w:id="30" w:name="fnref23"/>
      <w:bookmarkEnd w:id="30"/>
      <w:hyperlink w:anchor="fn23">
        <w:r>
          <w:rPr>
            <w:rFonts w:eastAsia="inter" w:cs="inter" w:ascii="inter" w:hAnsi="inter"/>
            <w:color w:val="#000"/>
            <w:sz w:val="21"/>
            <w:u w:val="single"/>
            <w:vertAlign w:val="superscript"/>
          </w:rPr>
          <w:t xml:space="preserve">[23]</w:t>
        </w:r>
      </w:hyperlink>
      <w:bookmarkStart w:id="31" w:name="fnref5_1"/>
      <w:bookmarkEnd w:id="31"/>
      <w:hyperlink w:anchor="fn5">
        <w:r>
          <w:rPr>
            <w:rFonts w:eastAsia="inter" w:cs="inter" w:ascii="inter" w:hAnsi="inter"/>
            <w:color w:val="#000"/>
            <w:sz w:val="21"/>
            <w:u w:val="single"/>
            <w:vertAlign w:val="superscript"/>
          </w:rPr>
          <w:t xml:space="preserve">[5]</w:t>
        </w:r>
      </w:hyperlink>
    </w:p>
    <w:p>
      <w:pPr>
        <w:numPr>
          <w:ilvl w:val="0"/>
          <w:numId w:val="2"/>
        </w:numPr>
        <w:spacing w:line="360" w:before="105" w:after="105" w:lineRule="auto"/>
      </w:pPr>
      <w:r>
        <w:rPr>
          <w:rFonts w:eastAsia="inter" w:cs="inter" w:ascii="inter" w:hAnsi="inter"/>
          <w:color w:val="000000"/>
          <w:sz w:val="21"/>
        </w:rPr>
        <w:t xml:space="preserve">Regional OpenAI/Microsoft alliances.</w:t>
      </w:r>
    </w:p>
    <w:p>
      <w:pPr>
        <w:spacing w:line="360" w:after="210" w:lineRule="auto"/>
      </w:pPr>
      <w:r>
        <w:rPr>
          <w:rFonts w:eastAsia="inter" w:cs="inter" w:ascii="inter" w:hAnsi="inter"/>
          <w:color w:val="000000"/>
        </w:rPr>
        <w:t xml:space="preserve">On balance, PwC Israel can credibly be regarded as </w:t>
      </w:r>
      <w:r>
        <w:rPr>
          <w:rFonts w:eastAsia="inter" w:cs="inter" w:ascii="inter" w:hAnsi="inter"/>
          <w:i/>
          <w:color w:val="000000"/>
        </w:rPr>
        <w:t xml:space="preserve">one of</w:t>
      </w:r>
      <w:r>
        <w:rPr>
          <w:rFonts w:eastAsia="inter" w:cs="inter" w:ascii="inter" w:hAnsi="inter"/>
          <w:color w:val="000000"/>
        </w:rPr>
        <w:t xml:space="preserve"> the top players—and likely the </w:t>
      </w:r>
      <w:r>
        <w:rPr>
          <w:rFonts w:eastAsia="inter" w:cs="inter" w:ascii="inter" w:hAnsi="inter"/>
          <w:b/>
          <w:color w:val="000000"/>
        </w:rPr>
        <w:t xml:space="preserve">default Tier‑1 option</w:t>
      </w:r>
      <w:r>
        <w:rPr>
          <w:rFonts w:eastAsia="inter" w:cs="inter" w:ascii="inter" w:hAnsi="inter"/>
          <w:color w:val="000000"/>
        </w:rPr>
        <w:t xml:space="preserve">—for organizational‑productivity AI programs in Israel, particularly where Microsoft/OpenAI are strategic vendors. The evidence for an unambiguous </w:t>
      </w:r>
      <w:r>
        <w:rPr>
          <w:rFonts w:eastAsia="inter" w:cs="inter" w:ascii="inter" w:hAnsi="inter"/>
          <w:b/>
          <w:color w:val="000000"/>
        </w:rPr>
        <w:t xml:space="preserve">monopoly</w:t>
      </w:r>
      <w:r>
        <w:rPr>
          <w:rFonts w:eastAsia="inter" w:cs="inter" w:ascii="inter" w:hAnsi="inter"/>
          <w:color w:val="000000"/>
        </w:rPr>
        <w:t xml:space="preserve"> on this niche, however, is not yet public.</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2" w:name="bm_2_market_position_in_israel_s_ed5c9f"/>
      <w:r>
        <w:rPr>
          <w:rFonts w:eastAsia="inter" w:cs="inter" w:ascii="inter" w:hAnsi="inter"/>
          <w:b/>
          <w:color w:val="000000"/>
          <w:sz w:val="24"/>
        </w:rPr>
        <w:t xml:space="preserve">2. Market Position in Israel’s Organizational‑Productivity AI Niche</w:t>
      </w:r>
      <w:bookmarkEnd w:id="32"/>
    </w:p>
    <w:p>
      <w:pPr>
        <w:spacing w:line="360" w:before="315" w:after="105" w:lineRule="auto"/>
        <w:ind w:left="-30"/>
        <w:jc w:val="left"/>
      </w:pPr>
      <w:bookmarkStart w:id="33" w:name="bm_2_1_independent_market_rankings"/>
      <w:r>
        <w:rPr>
          <w:rFonts w:eastAsia="inter" w:cs="inter" w:ascii="inter" w:hAnsi="inter"/>
          <w:b/>
          <w:color w:val="000000"/>
          <w:sz w:val="24"/>
        </w:rPr>
        <w:t xml:space="preserve">2.1 Independent market rankings</w:t>
      </w:r>
      <w:bookmarkEnd w:id="33"/>
    </w:p>
    <w:p>
      <w:pPr>
        <w:spacing w:line="360" w:after="210" w:lineRule="auto"/>
      </w:pPr>
      <w:r>
        <w:rPr>
          <w:rFonts w:eastAsia="inter" w:cs="inter" w:ascii="inter" w:hAnsi="inter"/>
          <w:color w:val="000000"/>
        </w:rPr>
        <w:t xml:space="preserve">The most concrete signal of market leadership is the 2024 </w:t>
      </w:r>
      <w:r>
        <w:rPr>
          <w:rFonts w:eastAsia="inter" w:cs="inter" w:ascii="inter" w:hAnsi="inter"/>
          <w:b/>
          <w:color w:val="000000"/>
        </w:rPr>
        <w:t xml:space="preserve">STKI</w:t>
      </w:r>
      <w:r>
        <w:rPr>
          <w:rFonts w:eastAsia="inter" w:cs="inter" w:ascii="inter" w:hAnsi="inter"/>
          <w:color w:val="000000"/>
        </w:rPr>
        <w:t xml:space="preserve"> ranking of IT consulting providers in Israel:</w:t>
      </w:r>
    </w:p>
    <w:p>
      <w:pPr>
        <w:numPr>
          <w:ilvl w:val="0"/>
          <w:numId w:val="3"/>
        </w:numPr>
        <w:spacing w:line="360" w:before="105" w:after="105" w:lineRule="auto"/>
      </w:pPr>
      <w:r>
        <w:rPr>
          <w:rFonts w:eastAsia="inter" w:cs="inter" w:ascii="inter" w:hAnsi="inter"/>
          <w:color w:val="000000"/>
          <w:sz w:val="21"/>
        </w:rPr>
        <w:t xml:space="preserve">PwC Israel’s advisory unit is ranked </w:t>
      </w:r>
      <w:r>
        <w:rPr>
          <w:rFonts w:eastAsia="inter" w:cs="inter" w:ascii="inter" w:hAnsi="inter"/>
          <w:b/>
          <w:color w:val="000000"/>
          <w:sz w:val="21"/>
        </w:rPr>
        <w:t xml:space="preserve">Tier‑1 in 7 of 13 core categories</w:t>
      </w:r>
      <w:r>
        <w:rPr>
          <w:rFonts w:eastAsia="inter" w:cs="inter" w:ascii="inter" w:hAnsi="inter"/>
          <w:color w:val="000000"/>
          <w:sz w:val="21"/>
        </w:rPr>
        <w:t xml:space="preserve">, including:</w:t>
      </w:r>
    </w:p>
    <w:p>
      <w:pPr>
        <w:numPr>
          <w:ilvl w:val="1"/>
          <w:numId w:val="3"/>
        </w:numPr>
        <w:spacing w:line="360" w:before="105" w:after="105" w:lineRule="auto"/>
      </w:pPr>
      <w:r>
        <w:rPr>
          <w:rFonts w:eastAsia="inter" w:cs="inter" w:ascii="inter" w:hAnsi="inter"/>
          <w:b/>
          <w:color w:val="000000"/>
          <w:sz w:val="21"/>
        </w:rPr>
        <w:t xml:space="preserve">Application Projects Consulting</w:t>
      </w:r>
      <w:r>
        <w:rPr>
          <w:rFonts w:eastAsia="inter" w:cs="inter" w:ascii="inter" w:hAnsi="inter"/>
          <w:color w:val="000000"/>
          <w:sz w:val="21"/>
        </w:rPr>
        <w:t xml:space="preserve"> – where PwC is explicitly described as </w:t>
      </w:r>
      <w:r>
        <w:rPr>
          <w:rFonts w:eastAsia="inter" w:cs="inter" w:ascii="inter" w:hAnsi="inter"/>
          <w:i/>
          <w:color w:val="000000"/>
          <w:sz w:val="21"/>
        </w:rPr>
        <w:t xml:space="preserve">“the largest consulting group in the market.”</w:t>
      </w:r>
      <w:bookmarkStart w:id="34" w:name="fnref1_2"/>
      <w:bookmarkEnd w:id="34"/>
      <w:hyperlink w:anchor="fn1">
        <w:r>
          <w:rPr>
            <w:rFonts w:eastAsia="inter" w:cs="inter" w:ascii="inter" w:hAnsi="inter"/>
            <w:color w:val="#000"/>
            <w:sz w:val="21"/>
            <w:u w:val="single"/>
            <w:vertAlign w:val="superscript"/>
          </w:rPr>
          <w:t xml:space="preserve">[1]</w:t>
        </w:r>
      </w:hyperlink>
    </w:p>
    <w:p>
      <w:pPr>
        <w:numPr>
          <w:ilvl w:val="1"/>
          <w:numId w:val="3"/>
        </w:numPr>
        <w:spacing w:line="360" w:before="105" w:after="105" w:lineRule="auto"/>
      </w:pPr>
      <w:r>
        <w:rPr>
          <w:rFonts w:eastAsia="inter" w:cs="inter" w:ascii="inter" w:hAnsi="inter"/>
          <w:b/>
          <w:color w:val="000000"/>
          <w:sz w:val="21"/>
        </w:rPr>
        <w:t xml:space="preserve">Data &amp; Analytics</w:t>
      </w:r>
      <w:r>
        <w:rPr>
          <w:rFonts w:eastAsia="inter" w:cs="inter" w:ascii="inter" w:hAnsi="inter"/>
          <w:color w:val="000000"/>
          <w:sz w:val="21"/>
        </w:rPr>
        <w:t xml:space="preserve"> and </w:t>
      </w:r>
      <w:r>
        <w:rPr>
          <w:rFonts w:eastAsia="inter" w:cs="inter" w:ascii="inter" w:hAnsi="inter"/>
          <w:b/>
          <w:color w:val="000000"/>
          <w:sz w:val="21"/>
        </w:rPr>
        <w:t xml:space="preserve">Generative AI</w:t>
      </w:r>
      <w:r>
        <w:rPr>
          <w:rFonts w:eastAsia="inter" w:cs="inter" w:ascii="inter" w:hAnsi="inter"/>
          <w:color w:val="000000"/>
          <w:sz w:val="21"/>
        </w:rPr>
        <w:t xml:space="preserve"> – first‑time entries for PwC Israel into these tech categories.</w:t>
      </w:r>
      <w:bookmarkStart w:id="35" w:name="fnref1_3"/>
      <w:bookmarkEnd w:id="35"/>
      <w:hyperlink w:anchor="fn1">
        <w:r>
          <w:rPr>
            <w:rFonts w:eastAsia="inter" w:cs="inter" w:ascii="inter" w:hAnsi="inter"/>
            <w:color w:val="#000"/>
            <w:sz w:val="21"/>
            <w:u w:val="single"/>
            <w:vertAlign w:val="superscript"/>
          </w:rPr>
          <w:t xml:space="preserve">[1]</w:t>
        </w:r>
      </w:hyperlink>
    </w:p>
    <w:p>
      <w:pPr>
        <w:numPr>
          <w:ilvl w:val="1"/>
          <w:numId w:val="3"/>
        </w:numPr>
        <w:spacing w:line="360" w:before="105" w:after="105" w:lineRule="auto"/>
      </w:pPr>
      <w:r>
        <w:rPr>
          <w:rFonts w:eastAsia="inter" w:cs="inter" w:ascii="inter" w:hAnsi="inter"/>
          <w:b/>
          <w:color w:val="000000"/>
          <w:sz w:val="21"/>
        </w:rPr>
        <w:t xml:space="preserve">Customer &amp; Employee Experience Strategy</w:t>
      </w:r>
      <w:r>
        <w:rPr>
          <w:rFonts w:eastAsia="inter" w:cs="inter" w:ascii="inter" w:hAnsi="inter"/>
          <w:color w:val="000000"/>
          <w:sz w:val="21"/>
        </w:rPr>
        <w:t xml:space="preserve"> – a new category focused on productivity and experience, which PwC Israel enters from inception.</w:t>
      </w:r>
      <w:bookmarkStart w:id="36" w:name="fnref1_4"/>
      <w:bookmarkEnd w:id="36"/>
      <w:hyperlink w:anchor="fn1">
        <w:r>
          <w:rPr>
            <w:rFonts w:eastAsia="inter" w:cs="inter" w:ascii="inter" w:hAnsi="inter"/>
            <w:color w:val="#000"/>
            <w:sz w:val="21"/>
            <w:u w:val="single"/>
            <w:vertAlign w:val="superscript"/>
          </w:rPr>
          <w:t xml:space="preserve">[1]</w:t>
        </w:r>
      </w:hyperlink>
    </w:p>
    <w:p>
      <w:pPr>
        <w:numPr>
          <w:ilvl w:val="0"/>
          <w:numId w:val="3"/>
        </w:numPr>
        <w:spacing w:line="360" w:before="105" w:after="105" w:lineRule="auto"/>
      </w:pPr>
      <w:r>
        <w:rPr>
          <w:rFonts w:eastAsia="inter" w:cs="inter" w:ascii="inter" w:hAnsi="inter"/>
          <w:color w:val="000000"/>
          <w:sz w:val="21"/>
        </w:rPr>
        <w:t xml:space="preserve">Additional Tier‑1 or strong positions include </w:t>
      </w:r>
      <w:r>
        <w:rPr>
          <w:rFonts w:eastAsia="inter" w:cs="inter" w:ascii="inter" w:hAnsi="inter"/>
          <w:b/>
          <w:color w:val="000000"/>
          <w:sz w:val="21"/>
        </w:rPr>
        <w:t xml:space="preserve">IT Infrastructure &amp; Cloud Consulting</w:t>
      </w:r>
      <w:r>
        <w:rPr>
          <w:rFonts w:eastAsia="inter" w:cs="inter" w:ascii="inter" w:hAnsi="inter"/>
          <w:color w:val="000000"/>
          <w:sz w:val="21"/>
        </w:rPr>
        <w:t xml:space="preserve">, </w:t>
      </w:r>
      <w:r>
        <w:rPr>
          <w:rFonts w:eastAsia="inter" w:cs="inter" w:ascii="inter" w:hAnsi="inter"/>
          <w:b/>
          <w:color w:val="000000"/>
          <w:sz w:val="21"/>
        </w:rPr>
        <w:t xml:space="preserve">IT Strategy Consulting</w:t>
      </w:r>
      <w:r>
        <w:rPr>
          <w:rFonts w:eastAsia="inter" w:cs="inter" w:ascii="inter" w:hAnsi="inter"/>
          <w:color w:val="000000"/>
          <w:sz w:val="21"/>
        </w:rPr>
        <w:t xml:space="preserve">, </w:t>
      </w:r>
      <w:r>
        <w:rPr>
          <w:rFonts w:eastAsia="inter" w:cs="inter" w:ascii="inter" w:hAnsi="inter"/>
          <w:b/>
          <w:color w:val="000000"/>
          <w:sz w:val="21"/>
        </w:rPr>
        <w:t xml:space="preserve">Organizational Transformation Consulting</w:t>
      </w:r>
      <w:r>
        <w:rPr>
          <w:rFonts w:eastAsia="inter" w:cs="inter" w:ascii="inter" w:hAnsi="inter"/>
          <w:color w:val="000000"/>
          <w:sz w:val="21"/>
        </w:rPr>
        <w:t xml:space="preserve">, </w:t>
      </w:r>
      <w:r>
        <w:rPr>
          <w:rFonts w:eastAsia="inter" w:cs="inter" w:ascii="inter" w:hAnsi="inter"/>
          <w:b/>
          <w:color w:val="000000"/>
          <w:sz w:val="21"/>
        </w:rPr>
        <w:t xml:space="preserve">Advanced Analytics, Data Science, Data &amp; Analytics Cloud Migration, Cyber Security, and CRM Applications</w:t>
      </w:r>
      <w:r>
        <w:rPr>
          <w:rFonts w:eastAsia="inter" w:cs="inter" w:ascii="inter" w:hAnsi="inter"/>
          <w:color w:val="000000"/>
          <w:sz w:val="21"/>
        </w:rPr>
        <w:t xml:space="preserve">.</w:t>
      </w:r>
      <w:bookmarkStart w:id="37" w:name="fnref1_5"/>
      <w:bookmarkEnd w:id="37"/>
      <w:hyperlink w:anchor="fn1">
        <w:r>
          <w:rPr>
            <w:rFonts w:eastAsia="inter" w:cs="inter" w:ascii="inter" w:hAnsi="inter"/>
            <w:color w:val="#000"/>
            <w:sz w:val="21"/>
            <w:u w:val="single"/>
            <w:vertAlign w:val="superscript"/>
          </w:rPr>
          <w:t xml:space="preserve">[1]</w:t>
        </w:r>
      </w:hyperlink>
    </w:p>
    <w:p>
      <w:pPr>
        <w:spacing w:line="360" w:after="210" w:lineRule="auto"/>
      </w:pPr>
      <w:r>
        <w:rPr>
          <w:rFonts w:eastAsia="inter" w:cs="inter" w:ascii="inter" w:hAnsi="inter"/>
          <w:color w:val="000000"/>
        </w:rPr>
        <w:t xml:space="preserve">This combination—Application Projects, GenAI, Data &amp; Analytics, CX/EX—is exactly the stack required to deliver organizational‑productivity AI programs (automation, knowledge‑worker assist, experience transformation).</w:t>
      </w:r>
    </w:p>
    <w:p>
      <w:pPr>
        <w:spacing w:line="360" w:after="210" w:lineRule="auto"/>
      </w:pPr>
      <w:r>
        <w:rPr>
          <w:rFonts w:eastAsia="inter" w:cs="inter" w:ascii="inter" w:hAnsi="inter"/>
          <w:color w:val="000000"/>
        </w:rPr>
        <w:t xml:space="preserve">The </w:t>
      </w:r>
      <w:r>
        <w:rPr>
          <w:rFonts w:eastAsia="inter" w:cs="inter" w:ascii="inter" w:hAnsi="inter"/>
          <w:b/>
          <w:color w:val="000000"/>
        </w:rPr>
        <w:t xml:space="preserve">BDi profile</w:t>
      </w:r>
      <w:r>
        <w:rPr>
          <w:rFonts w:eastAsia="inter" w:cs="inter" w:ascii="inter" w:hAnsi="inter"/>
          <w:color w:val="000000"/>
        </w:rPr>
        <w:t xml:space="preserve"> of PwC Israel reinforces this picture:</w:t>
      </w:r>
    </w:p>
    <w:p>
      <w:pPr>
        <w:numPr>
          <w:ilvl w:val="0"/>
          <w:numId w:val="4"/>
        </w:numPr>
        <w:spacing w:line="360" w:before="105" w:after="105" w:lineRule="auto"/>
      </w:pPr>
      <w:r>
        <w:rPr>
          <w:rFonts w:eastAsia="inter" w:cs="inter" w:ascii="inter" w:hAnsi="inter"/>
          <w:color w:val="000000"/>
          <w:sz w:val="21"/>
        </w:rPr>
        <w:t xml:space="preserve">Describes PwC Israel as a </w:t>
      </w:r>
      <w:r>
        <w:rPr>
          <w:rFonts w:eastAsia="inter" w:cs="inter" w:ascii="inter" w:hAnsi="inter"/>
          <w:b/>
          <w:color w:val="000000"/>
          <w:sz w:val="21"/>
        </w:rPr>
        <w:t xml:space="preserve">“leading financial, business, and technology consulting firm”</w:t>
      </w:r>
      <w:r>
        <w:rPr>
          <w:rFonts w:eastAsia="inter" w:cs="inter" w:ascii="inter" w:hAnsi="inter"/>
          <w:color w:val="000000"/>
          <w:sz w:val="21"/>
        </w:rPr>
        <w:t xml:space="preserve"> serving Israel’s largest organizations.</w:t>
      </w:r>
      <w:bookmarkStart w:id="38" w:name="fnref7_2"/>
      <w:bookmarkEnd w:id="38"/>
      <w:hyperlink w:anchor="fn7">
        <w:r>
          <w:rPr>
            <w:rFonts w:eastAsia="inter" w:cs="inter" w:ascii="inter" w:hAnsi="inter"/>
            <w:color w:val="#000"/>
            <w:sz w:val="21"/>
            <w:u w:val="single"/>
            <w:vertAlign w:val="superscript"/>
          </w:rPr>
          <w:t xml:space="preserve">[7]</w:t>
        </w:r>
      </w:hyperlink>
    </w:p>
    <w:p>
      <w:pPr>
        <w:numPr>
          <w:ilvl w:val="0"/>
          <w:numId w:val="4"/>
        </w:numPr>
        <w:spacing w:line="360" w:before="105" w:after="105" w:lineRule="auto"/>
      </w:pPr>
      <w:r>
        <w:rPr>
          <w:rFonts w:eastAsia="inter" w:cs="inter" w:ascii="inter" w:hAnsi="inter"/>
          <w:color w:val="000000"/>
          <w:sz w:val="21"/>
        </w:rPr>
        <w:t xml:space="preserve">Highlights a dedicated </w:t>
      </w:r>
      <w:r>
        <w:rPr>
          <w:rFonts w:eastAsia="inter" w:cs="inter" w:ascii="inter" w:hAnsi="inter"/>
          <w:b/>
          <w:color w:val="000000"/>
          <w:sz w:val="21"/>
        </w:rPr>
        <w:t xml:space="preserve">technology consulting division</w:t>
      </w:r>
      <w:r>
        <w:rPr>
          <w:rFonts w:eastAsia="inter" w:cs="inter" w:ascii="inter" w:hAnsi="inter"/>
          <w:color w:val="000000"/>
          <w:sz w:val="21"/>
        </w:rPr>
        <w:t xml:space="preserve"> delivering </w:t>
      </w:r>
      <w:r>
        <w:rPr>
          <w:rFonts w:eastAsia="inter" w:cs="inter" w:ascii="inter" w:hAnsi="inter"/>
          <w:b/>
          <w:color w:val="000000"/>
          <w:sz w:val="21"/>
        </w:rPr>
        <w:t xml:space="preserve">AI, scalable cloud, cybersecurity, and digital transformation initiatives</w:t>
      </w:r>
      <w:r>
        <w:rPr>
          <w:rFonts w:eastAsia="inter" w:cs="inter" w:ascii="inter" w:hAnsi="inter"/>
          <w:color w:val="000000"/>
          <w:sz w:val="21"/>
        </w:rPr>
        <w:t xml:space="preserve">, along with implementation of Oracle, Salesforce, NetSuite, and SAP.</w:t>
      </w:r>
      <w:bookmarkStart w:id="39" w:name="fnref7_3"/>
      <w:bookmarkEnd w:id="39"/>
      <w:hyperlink w:anchor="fn7">
        <w:r>
          <w:rPr>
            <w:rFonts w:eastAsia="inter" w:cs="inter" w:ascii="inter" w:hAnsi="inter"/>
            <w:color w:val="#000"/>
            <w:sz w:val="21"/>
            <w:u w:val="single"/>
            <w:vertAlign w:val="superscript"/>
          </w:rPr>
          <w:t xml:space="preserve">[7]</w:t>
        </w:r>
      </w:hyperlink>
    </w:p>
    <w:p>
      <w:pPr>
        <w:numPr>
          <w:ilvl w:val="0"/>
          <w:numId w:val="4"/>
        </w:numPr>
        <w:spacing w:line="360" w:before="105" w:after="105" w:lineRule="auto"/>
      </w:pPr>
      <w:r>
        <w:rPr>
          <w:rFonts w:eastAsia="inter" w:cs="inter" w:ascii="inter" w:hAnsi="inter"/>
          <w:color w:val="000000"/>
          <w:sz w:val="21"/>
        </w:rPr>
        <w:t xml:space="preserve">Notes that PwC Israel is part of the </w:t>
      </w:r>
      <w:r>
        <w:rPr>
          <w:rFonts w:eastAsia="inter" w:cs="inter" w:ascii="inter" w:hAnsi="inter"/>
          <w:b/>
          <w:color w:val="000000"/>
          <w:sz w:val="21"/>
        </w:rPr>
        <w:t xml:space="preserve">US Sub‑Cluster</w:t>
      </w:r>
      <w:r>
        <w:rPr>
          <w:rFonts w:eastAsia="inter" w:cs="inter" w:ascii="inter" w:hAnsi="inter"/>
          <w:color w:val="000000"/>
          <w:sz w:val="21"/>
        </w:rPr>
        <w:t xml:space="preserve">, creating unusually tight ties to US PwC practices and tools.</w:t>
      </w:r>
      <w:bookmarkStart w:id="40" w:name="fnref7_4"/>
      <w:bookmarkEnd w:id="40"/>
      <w:hyperlink w:anchor="fn7">
        <w:r>
          <w:rPr>
            <w:rFonts w:eastAsia="inter" w:cs="inter" w:ascii="inter" w:hAnsi="inter"/>
            <w:color w:val="#000"/>
            <w:sz w:val="21"/>
            <w:u w:val="single"/>
            <w:vertAlign w:val="superscript"/>
          </w:rPr>
          <w:t xml:space="preserve">[7]</w:t>
        </w:r>
      </w:hyperlink>
    </w:p>
    <w:p>
      <w:pPr>
        <w:spacing w:line="360" w:before="315" w:after="105" w:lineRule="auto"/>
        <w:ind w:left="-30"/>
        <w:jc w:val="left"/>
      </w:pPr>
      <w:bookmarkStart w:id="41" w:name="bm_2_2_the_new_equation_and_human_11c506"/>
      <w:r>
        <w:rPr>
          <w:rFonts w:eastAsia="inter" w:cs="inter" w:ascii="inter" w:hAnsi="inter"/>
          <w:b/>
          <w:color w:val="000000"/>
          <w:sz w:val="24"/>
        </w:rPr>
        <w:t xml:space="preserve">2.2 The New Equation and human‑led, tech‑powered positioning</w:t>
      </w:r>
      <w:bookmarkEnd w:id="41"/>
    </w:p>
    <w:p>
      <w:pPr>
        <w:spacing w:line="360" w:after="210" w:lineRule="auto"/>
      </w:pPr>
      <w:r>
        <w:rPr>
          <w:rFonts w:eastAsia="inter" w:cs="inter" w:ascii="inter" w:hAnsi="inter"/>
          <w:color w:val="000000"/>
        </w:rPr>
        <w:t xml:space="preserve">PwC Israel’s transparency reports (2021–2023) explicitly align the local firm with PwC’s global </w:t>
      </w:r>
      <w:r>
        <w:rPr>
          <w:rFonts w:eastAsia="inter" w:cs="inter" w:ascii="inter" w:hAnsi="inter"/>
          <w:b/>
          <w:color w:val="000000"/>
        </w:rPr>
        <w:t xml:space="preserve">“The New Equation”</w:t>
      </w:r>
      <w:r>
        <w:rPr>
          <w:rFonts w:eastAsia="inter" w:cs="inter" w:ascii="inter" w:hAnsi="inter"/>
          <w:color w:val="000000"/>
        </w:rPr>
        <w:t xml:space="preserve"> strategy, emphasizing:</w:t>
      </w:r>
    </w:p>
    <w:p>
      <w:pPr>
        <w:numPr>
          <w:ilvl w:val="0"/>
          <w:numId w:val="5"/>
        </w:numPr>
        <w:spacing w:line="360" w:before="105" w:after="105" w:lineRule="auto"/>
      </w:pPr>
      <w:r>
        <w:rPr>
          <w:rFonts w:eastAsia="inter" w:cs="inter" w:ascii="inter" w:hAnsi="inter"/>
          <w:color w:val="000000"/>
          <w:sz w:val="21"/>
        </w:rPr>
        <w:t xml:space="preserve">Dual focus on </w:t>
      </w:r>
      <w:r>
        <w:rPr>
          <w:rFonts w:eastAsia="inter" w:cs="inter" w:ascii="inter" w:hAnsi="inter"/>
          <w:b/>
          <w:color w:val="000000"/>
          <w:sz w:val="21"/>
        </w:rPr>
        <w:t xml:space="preserve">building trust</w:t>
      </w:r>
      <w:r>
        <w:rPr>
          <w:rFonts w:eastAsia="inter" w:cs="inter" w:ascii="inter" w:hAnsi="inter"/>
          <w:color w:val="000000"/>
          <w:sz w:val="21"/>
        </w:rPr>
        <w:t xml:space="preserve"> and </w:t>
      </w:r>
      <w:r>
        <w:rPr>
          <w:rFonts w:eastAsia="inter" w:cs="inter" w:ascii="inter" w:hAnsi="inter"/>
          <w:b/>
          <w:color w:val="000000"/>
          <w:sz w:val="21"/>
        </w:rPr>
        <w:t xml:space="preserve">delivering sustained outcomes</w:t>
      </w:r>
      <w:r>
        <w:rPr>
          <w:rFonts w:eastAsia="inter" w:cs="inter" w:ascii="inter" w:hAnsi="inter"/>
          <w:color w:val="000000"/>
          <w:sz w:val="21"/>
        </w:rPr>
        <w:t xml:space="preserve"> amid technological disruption.</w:t>
      </w:r>
      <w:bookmarkStart w:id="42" w:name="fnref24"/>
      <w:bookmarkEnd w:id="42"/>
      <w:hyperlink w:anchor="fn24">
        <w:r>
          <w:rPr>
            <w:rFonts w:eastAsia="inter" w:cs="inter" w:ascii="inter" w:hAnsi="inter"/>
            <w:color w:val="#000"/>
            <w:sz w:val="21"/>
            <w:u w:val="single"/>
            <w:vertAlign w:val="superscript"/>
          </w:rPr>
          <w:t xml:space="preserve">[24]</w:t>
        </w:r>
      </w:hyperlink>
      <w:bookmarkStart w:id="43" w:name="fnref25"/>
      <w:bookmarkEnd w:id="43"/>
      <w:hyperlink w:anchor="fn25">
        <w:r>
          <w:rPr>
            <w:rFonts w:eastAsia="inter" w:cs="inter" w:ascii="inter" w:hAnsi="inter"/>
            <w:color w:val="#000"/>
            <w:sz w:val="21"/>
            <w:u w:val="single"/>
            <w:vertAlign w:val="superscript"/>
          </w:rPr>
          <w:t xml:space="preserve">[25]</w:t>
        </w:r>
      </w:hyperlink>
    </w:p>
    <w:p>
      <w:pPr>
        <w:numPr>
          <w:ilvl w:val="0"/>
          <w:numId w:val="5"/>
        </w:numPr>
        <w:spacing w:line="360" w:before="105" w:after="105" w:lineRule="auto"/>
      </w:pPr>
      <w:r>
        <w:rPr>
          <w:rFonts w:eastAsia="inter" w:cs="inter" w:ascii="inter" w:hAnsi="inter"/>
          <w:color w:val="000000"/>
          <w:sz w:val="21"/>
        </w:rPr>
        <w:t xml:space="preserve">A multi‑year, US$3bn global investment, including </w:t>
      </w:r>
      <w:r>
        <w:rPr>
          <w:rFonts w:eastAsia="inter" w:cs="inter" w:ascii="inter" w:hAnsi="inter"/>
          <w:b/>
          <w:color w:val="000000"/>
          <w:sz w:val="21"/>
        </w:rPr>
        <w:t xml:space="preserve">US$1bn</w:t>
      </w:r>
      <w:r>
        <w:rPr>
          <w:rFonts w:eastAsia="inter" w:cs="inter" w:ascii="inter" w:hAnsi="inter"/>
          <w:color w:val="000000"/>
          <w:sz w:val="21"/>
        </w:rPr>
        <w:t xml:space="preserve"> in a next‑generation, </w:t>
      </w:r>
      <w:r>
        <w:rPr>
          <w:rFonts w:eastAsia="inter" w:cs="inter" w:ascii="inter" w:hAnsi="inter"/>
          <w:b/>
          <w:color w:val="000000"/>
          <w:sz w:val="21"/>
        </w:rPr>
        <w:t xml:space="preserve">“human‑led, tech‑powered and data‑driven”</w:t>
      </w:r>
      <w:r>
        <w:rPr>
          <w:rFonts w:eastAsia="inter" w:cs="inter" w:ascii="inter" w:hAnsi="inter"/>
          <w:color w:val="000000"/>
          <w:sz w:val="21"/>
        </w:rPr>
        <w:t xml:space="preserve"> audit ecosystem—standardising, automating and centralising work.</w:t>
      </w:r>
      <w:bookmarkStart w:id="44" w:name="fnref25_1"/>
      <w:bookmarkEnd w:id="44"/>
      <w:hyperlink w:anchor="fn25">
        <w:r>
          <w:rPr>
            <w:rFonts w:eastAsia="inter" w:cs="inter" w:ascii="inter" w:hAnsi="inter"/>
            <w:color w:val="#000"/>
            <w:sz w:val="21"/>
            <w:u w:val="single"/>
            <w:vertAlign w:val="superscript"/>
          </w:rPr>
          <w:t xml:space="preserve">[25]</w:t>
        </w:r>
      </w:hyperlink>
      <w:bookmarkStart w:id="45" w:name="fnref6_1"/>
      <w:bookmarkEnd w:id="45"/>
      <w:hyperlink w:anchor="fn6">
        <w:r>
          <w:rPr>
            <w:rFonts w:eastAsia="inter" w:cs="inter" w:ascii="inter" w:hAnsi="inter"/>
            <w:color w:val="#000"/>
            <w:sz w:val="21"/>
            <w:u w:val="single"/>
            <w:vertAlign w:val="superscript"/>
          </w:rPr>
          <w:t xml:space="preserve">[6]</w:t>
        </w:r>
      </w:hyperlink>
    </w:p>
    <w:p>
      <w:pPr>
        <w:spacing w:line="360" w:after="210" w:lineRule="auto"/>
      </w:pPr>
      <w:r>
        <w:rPr>
          <w:rFonts w:eastAsia="inter" w:cs="inter" w:ascii="inter" w:hAnsi="inter"/>
          <w:color w:val="000000"/>
        </w:rPr>
        <w:t xml:space="preserve">This framing is consistently reused in PwC’s global AI narratives—</w:t>
      </w:r>
      <w:r>
        <w:rPr>
          <w:rFonts w:eastAsia="inter" w:cs="inter" w:ascii="inter" w:hAnsi="inter"/>
          <w:b/>
          <w:color w:val="000000"/>
        </w:rPr>
        <w:t xml:space="preserve">“human‑led, tech‑powered”</w:t>
      </w:r>
      <w:r>
        <w:rPr>
          <w:rFonts w:eastAsia="inter" w:cs="inter" w:ascii="inter" w:hAnsi="inter"/>
          <w:color w:val="000000"/>
        </w:rPr>
        <w:t xml:space="preserve"> and “client zero” AI adoption—creating a unified story that PwC Israel can sell around organizational productivity.</w:t>
      </w:r>
      <w:bookmarkStart w:id="46" w:name="fnref26"/>
      <w:bookmarkEnd w:id="46"/>
      <w:hyperlink w:anchor="fn26">
        <w:r>
          <w:rPr>
            <w:rFonts w:eastAsia="inter" w:cs="inter" w:ascii="inter" w:hAnsi="inter"/>
            <w:color w:val="#000"/>
            <w:u w:val="single"/>
            <w:vertAlign w:val="superscript"/>
          </w:rPr>
          <w:t xml:space="preserve">[26]</w:t>
        </w:r>
      </w:hyperlink>
      <w:bookmarkStart w:id="47" w:name="fnref27"/>
      <w:bookmarkEnd w:id="47"/>
      <w:hyperlink w:anchor="fn27">
        <w:r>
          <w:rPr>
            <w:rFonts w:eastAsia="inter" w:cs="inter" w:ascii="inter" w:hAnsi="inter"/>
            <w:color w:val="#000"/>
            <w:u w:val="single"/>
            <w:vertAlign w:val="superscript"/>
          </w:rPr>
          <w:t xml:space="preserve">[27]</w:t>
        </w:r>
      </w:hyperlink>
      <w:bookmarkStart w:id="48" w:name="fnref8_2"/>
      <w:bookmarkEnd w:id="48"/>
      <w:hyperlink w:anchor="fn8">
        <w:r>
          <w:rPr>
            <w:rFonts w:eastAsia="inter" w:cs="inter" w:ascii="inter" w:hAnsi="inter"/>
            <w:color w:val="#000"/>
            <w:u w:val="single"/>
            <w:vertAlign w:val="superscript"/>
          </w:rPr>
          <w:t xml:space="preserve">[8]</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9" w:name="bm_3_the_ai_factory_local_deliver_56e224"/>
      <w:r>
        <w:rPr>
          <w:rFonts w:eastAsia="inter" w:cs="inter" w:ascii="inter" w:hAnsi="inter"/>
          <w:b/>
          <w:color w:val="000000"/>
          <w:sz w:val="24"/>
        </w:rPr>
        <w:t xml:space="preserve">3. The AI Factory &amp; Local Delivery Capabilities</w:t>
      </w:r>
      <w:bookmarkEnd w:id="49"/>
    </w:p>
    <w:p>
      <w:pPr>
        <w:spacing w:line="360" w:before="315" w:after="105" w:lineRule="auto"/>
        <w:ind w:left="-30"/>
        <w:jc w:val="left"/>
      </w:pPr>
      <w:bookmarkStart w:id="50" w:name="bm_3_1_pwc_next_and_the_israeli_a_af0614"/>
      <w:r>
        <w:rPr>
          <w:rFonts w:eastAsia="inter" w:cs="inter" w:ascii="inter" w:hAnsi="inter"/>
          <w:b/>
          <w:color w:val="000000"/>
          <w:sz w:val="24"/>
        </w:rPr>
        <w:t xml:space="preserve">3.1 PwC NEXT and the Israeli “AI Factory”</w:t>
      </w:r>
      <w:bookmarkEnd w:id="50"/>
    </w:p>
    <w:p>
      <w:pPr>
        <w:spacing w:line="360" w:after="210" w:lineRule="auto"/>
      </w:pPr>
      <w:r>
        <w:rPr>
          <w:rFonts w:eastAsia="inter" w:cs="inter" w:ascii="inter" w:hAnsi="inter"/>
          <w:color w:val="000000"/>
        </w:rPr>
        <w:t xml:space="preserve">The clearest evidence of a local AI Factory–style asset is </w:t>
      </w:r>
      <w:r>
        <w:rPr>
          <w:rFonts w:eastAsia="inter" w:cs="inter" w:ascii="inter" w:hAnsi="inter"/>
          <w:b/>
          <w:color w:val="000000"/>
        </w:rPr>
        <w:t xml:space="preserve">PwC NEXT Technology Solutions</w:t>
      </w:r>
      <w:r>
        <w:rPr>
          <w:rFonts w:eastAsia="inter" w:cs="inter" w:ascii="inter" w:hAnsi="inter"/>
          <w:color w:val="000000"/>
        </w:rPr>
        <w:t xml:space="preserve">, a dedicated technology subsidiary of PwC advisory Israel:</w:t>
      </w:r>
    </w:p>
    <w:p>
      <w:pPr>
        <w:numPr>
          <w:ilvl w:val="0"/>
          <w:numId w:val="6"/>
        </w:numPr>
        <w:spacing w:line="360" w:before="105" w:after="105" w:lineRule="auto"/>
      </w:pPr>
      <w:r>
        <w:rPr>
          <w:rFonts w:eastAsia="inter" w:cs="inter" w:ascii="inter" w:hAnsi="inter"/>
          <w:color w:val="000000"/>
          <w:sz w:val="21"/>
        </w:rPr>
        <w:t xml:space="preserve">NEXT describes itself as a </w:t>
      </w:r>
      <w:r>
        <w:rPr>
          <w:rFonts w:eastAsia="inter" w:cs="inter" w:ascii="inter" w:hAnsi="inter"/>
          <w:b/>
          <w:color w:val="000000"/>
          <w:sz w:val="21"/>
        </w:rPr>
        <w:t xml:space="preserve">technology solutions consulting</w:t>
      </w:r>
      <w:r>
        <w:rPr>
          <w:rFonts w:eastAsia="inter" w:cs="inter" w:ascii="inter" w:hAnsi="inter"/>
          <w:color w:val="000000"/>
          <w:sz w:val="21"/>
        </w:rPr>
        <w:t xml:space="preserve"> firm that provides </w:t>
      </w:r>
      <w:r>
        <w:rPr>
          <w:rFonts w:eastAsia="inter" w:cs="inter" w:ascii="inter" w:hAnsi="inter"/>
          <w:b/>
          <w:color w:val="000000"/>
          <w:sz w:val="21"/>
        </w:rPr>
        <w:t xml:space="preserve">end‑to‑end solutions from tech consulting and design through to implementation</w:t>
      </w:r>
      <w:r>
        <w:rPr>
          <w:rFonts w:eastAsia="inter" w:cs="inter" w:ascii="inter" w:hAnsi="inter"/>
          <w:color w:val="000000"/>
          <w:sz w:val="21"/>
        </w:rPr>
        <w:t xml:space="preserve">.</w:t>
      </w:r>
      <w:bookmarkStart w:id="51" w:name="fnref4_3"/>
      <w:bookmarkEnd w:id="51"/>
      <w:hyperlink w:anchor="fn4">
        <w:r>
          <w:rPr>
            <w:rFonts w:eastAsia="inter" w:cs="inter" w:ascii="inter" w:hAnsi="inter"/>
            <w:color w:val="#000"/>
            <w:sz w:val="21"/>
            <w:u w:val="single"/>
            <w:vertAlign w:val="superscript"/>
          </w:rPr>
          <w:t xml:space="preserve">[4]</w:t>
        </w:r>
      </w:hyperlink>
    </w:p>
    <w:p>
      <w:pPr>
        <w:numPr>
          <w:ilvl w:val="0"/>
          <w:numId w:val="6"/>
        </w:numPr>
        <w:spacing w:line="360" w:before="105" w:after="105" w:lineRule="auto"/>
      </w:pPr>
      <w:r>
        <w:rPr>
          <w:rFonts w:eastAsia="inter" w:cs="inter" w:ascii="inter" w:hAnsi="inter"/>
          <w:color w:val="000000"/>
          <w:sz w:val="21"/>
        </w:rPr>
        <w:t xml:space="preserve">Its AI page lists concrete offerings:</w:t>
      </w:r>
    </w:p>
    <w:p>
      <w:pPr>
        <w:numPr>
          <w:ilvl w:val="1"/>
          <w:numId w:val="6"/>
        </w:numPr>
        <w:spacing w:line="360" w:before="105" w:after="105" w:lineRule="auto"/>
      </w:pPr>
      <w:r>
        <w:rPr>
          <w:rFonts w:eastAsia="inter" w:cs="inter" w:ascii="inter" w:hAnsi="inter"/>
          <w:b/>
          <w:color w:val="000000"/>
          <w:sz w:val="21"/>
        </w:rPr>
        <w:t xml:space="preserve">GenAI Strategy Workshop</w:t>
      </w:r>
    </w:p>
    <w:p>
      <w:pPr>
        <w:numPr>
          <w:ilvl w:val="1"/>
          <w:numId w:val="6"/>
        </w:numPr>
        <w:spacing w:line="360" w:before="105" w:after="105" w:lineRule="auto"/>
      </w:pPr>
      <w:r>
        <w:rPr>
          <w:rFonts w:eastAsia="inter" w:cs="inter" w:ascii="inter" w:hAnsi="inter"/>
          <w:b/>
          <w:color w:val="000000"/>
          <w:sz w:val="21"/>
        </w:rPr>
        <w:t xml:space="preserve">AI Product Design &amp; Management</w:t>
      </w:r>
    </w:p>
    <w:p>
      <w:pPr>
        <w:numPr>
          <w:ilvl w:val="1"/>
          <w:numId w:val="6"/>
        </w:numPr>
        <w:spacing w:line="360" w:before="105" w:after="105" w:lineRule="auto"/>
      </w:pPr>
      <w:r>
        <w:rPr>
          <w:rFonts w:eastAsia="inter" w:cs="inter" w:ascii="inter" w:hAnsi="inter"/>
          <w:b/>
          <w:color w:val="000000"/>
          <w:sz w:val="21"/>
        </w:rPr>
        <w:t xml:space="preserve">GenAI Model Development</w:t>
      </w:r>
    </w:p>
    <w:p>
      <w:pPr>
        <w:numPr>
          <w:ilvl w:val="1"/>
          <w:numId w:val="6"/>
        </w:numPr>
        <w:spacing w:line="360" w:before="105" w:after="105" w:lineRule="auto"/>
      </w:pPr>
      <w:r>
        <w:rPr>
          <w:rFonts w:eastAsia="inter" w:cs="inter" w:ascii="inter" w:hAnsi="inter"/>
          <w:b/>
          <w:color w:val="000000"/>
          <w:sz w:val="21"/>
        </w:rPr>
        <w:t xml:space="preserve">GenAI UX</w:t>
      </w:r>
    </w:p>
    <w:p>
      <w:pPr>
        <w:numPr>
          <w:ilvl w:val="1"/>
          <w:numId w:val="6"/>
        </w:numPr>
        <w:spacing w:line="360" w:before="105" w:after="105" w:lineRule="auto"/>
      </w:pPr>
      <w:r>
        <w:rPr>
          <w:rFonts w:eastAsia="inter" w:cs="inter" w:ascii="inter" w:hAnsi="inter"/>
          <w:b/>
          <w:color w:val="000000"/>
          <w:sz w:val="21"/>
        </w:rPr>
        <w:t xml:space="preserve">GenAI Trust &amp; Security</w:t>
      </w:r>
    </w:p>
    <w:p>
      <w:pPr>
        <w:numPr>
          <w:ilvl w:val="1"/>
          <w:numId w:val="6"/>
        </w:numPr>
        <w:spacing w:line="360" w:before="105" w:after="105" w:lineRule="auto"/>
      </w:pPr>
      <w:r>
        <w:rPr>
          <w:rFonts w:eastAsia="inter" w:cs="inter" w:ascii="inter" w:hAnsi="inter"/>
          <w:b/>
          <w:color w:val="000000"/>
          <w:sz w:val="21"/>
        </w:rPr>
        <w:t xml:space="preserve">Global Benchmarks</w:t>
      </w:r>
    </w:p>
    <w:p>
      <w:pPr>
        <w:numPr>
          <w:ilvl w:val="1"/>
          <w:numId w:val="6"/>
        </w:numPr>
        <w:spacing w:line="360" w:before="105" w:after="105" w:lineRule="auto"/>
      </w:pPr>
      <w:r>
        <w:rPr>
          <w:rFonts w:eastAsia="inter" w:cs="inter" w:ascii="inter" w:hAnsi="inter"/>
          <w:b/>
          <w:color w:val="000000"/>
          <w:sz w:val="21"/>
        </w:rPr>
        <w:t xml:space="preserve">AI Responsibility</w:t>
      </w:r>
    </w:p>
    <w:p>
      <w:pPr>
        <w:numPr>
          <w:ilvl w:val="1"/>
          <w:numId w:val="6"/>
        </w:numPr>
        <w:spacing w:line="360" w:before="105" w:after="105" w:lineRule="auto"/>
      </w:pPr>
      <w:r>
        <w:rPr>
          <w:rFonts w:eastAsia="inter" w:cs="inter" w:ascii="inter" w:hAnsi="inter"/>
          <w:color w:val="000000"/>
          <w:sz w:val="21"/>
        </w:rPr>
        <w:t xml:space="preserve">Critically: </w:t>
      </w:r>
      <w:r>
        <w:rPr>
          <w:rFonts w:eastAsia="inter" w:cs="inter" w:ascii="inter" w:hAnsi="inter"/>
          <w:b/>
          <w:color w:val="000000"/>
          <w:sz w:val="21"/>
        </w:rPr>
        <w:t xml:space="preserve">“AI Factory Methodology”</w:t>
      </w:r>
      <w:bookmarkStart w:id="52" w:name="fnref2_2"/>
      <w:bookmarkEnd w:id="52"/>
      <w:hyperlink w:anchor="fn2">
        <w:r>
          <w:rPr>
            <w:rFonts w:eastAsia="inter" w:cs="inter" w:ascii="inter" w:hAnsi="inter"/>
            <w:color w:val="#000"/>
            <w:sz w:val="21"/>
            <w:u w:val="single"/>
            <w:vertAlign w:val="superscript"/>
          </w:rPr>
          <w:t xml:space="preserve">[2]</w:t>
        </w:r>
      </w:hyperlink>
    </w:p>
    <w:p>
      <w:pPr>
        <w:spacing w:line="360" w:after="210" w:lineRule="auto"/>
      </w:pPr>
      <w:r>
        <w:rPr>
          <w:rFonts w:eastAsia="inter" w:cs="inter" w:ascii="inter" w:hAnsi="inter"/>
          <w:color w:val="000000"/>
        </w:rPr>
        <w:t xml:space="preserve">The AI Factory Methodology is led by </w:t>
      </w:r>
      <w:r>
        <w:rPr>
          <w:rFonts w:eastAsia="inter" w:cs="inter" w:ascii="inter" w:hAnsi="inter"/>
          <w:b/>
          <w:color w:val="000000"/>
        </w:rPr>
        <w:t xml:space="preserve">Pavel Sheynkman</w:t>
      </w:r>
      <w:r>
        <w:rPr>
          <w:rFonts w:eastAsia="inter" w:cs="inter" w:ascii="inter" w:hAnsi="inter"/>
          <w:color w:val="000000"/>
        </w:rPr>
        <w:t xml:space="preserve">, CTO and Head of Cloud &amp; AI Solutions, with 17+ years in software engineering, architecture and SRE. His background includes:</w:t>
      </w:r>
      <w:bookmarkStart w:id="53" w:name="fnref2_3"/>
      <w:bookmarkEnd w:id="53"/>
      <w:hyperlink w:anchor="fn2">
        <w:r>
          <w:rPr>
            <w:rFonts w:eastAsia="inter" w:cs="inter" w:ascii="inter" w:hAnsi="inter"/>
            <w:color w:val="#000"/>
            <w:u w:val="single"/>
            <w:vertAlign w:val="superscript"/>
          </w:rPr>
          <w:t xml:space="preserve">[2]</w:t>
        </w:r>
      </w:hyperlink>
    </w:p>
    <w:p>
      <w:pPr>
        <w:numPr>
          <w:ilvl w:val="0"/>
          <w:numId w:val="7"/>
        </w:numPr>
        <w:spacing w:line="360" w:before="105" w:after="105" w:lineRule="auto"/>
      </w:pPr>
      <w:r>
        <w:rPr>
          <w:rFonts w:eastAsia="inter" w:cs="inter" w:ascii="inter" w:hAnsi="inter"/>
          <w:color w:val="000000"/>
          <w:sz w:val="21"/>
        </w:rPr>
        <w:t xml:space="preserve">Leading </w:t>
      </w:r>
      <w:r>
        <w:rPr>
          <w:rFonts w:eastAsia="inter" w:cs="inter" w:ascii="inter" w:hAnsi="inter"/>
          <w:b/>
          <w:color w:val="000000"/>
          <w:sz w:val="21"/>
        </w:rPr>
        <w:t xml:space="preserve">60 software developers and architects</w:t>
      </w:r>
      <w:r>
        <w:rPr>
          <w:rFonts w:eastAsia="inter" w:cs="inter" w:ascii="inter" w:hAnsi="inter"/>
          <w:color w:val="000000"/>
          <w:sz w:val="21"/>
        </w:rPr>
        <w:t xml:space="preserve"> in a major IDF program to modernize a mission‑critical system from monolith to microservices, containerize it, and migrate it to the cloud.</w:t>
      </w:r>
      <w:bookmarkStart w:id="54" w:name="fnref2_4"/>
      <w:bookmarkEnd w:id="54"/>
      <w:hyperlink w:anchor="fn2">
        <w:r>
          <w:rPr>
            <w:rFonts w:eastAsia="inter" w:cs="inter" w:ascii="inter" w:hAnsi="inter"/>
            <w:color w:val="#000"/>
            <w:sz w:val="21"/>
            <w:u w:val="single"/>
            <w:vertAlign w:val="superscript"/>
          </w:rPr>
          <w:t xml:space="preserve">[2]</w:t>
        </w:r>
      </w:hyperlink>
    </w:p>
    <w:p>
      <w:pPr>
        <w:numPr>
          <w:ilvl w:val="0"/>
          <w:numId w:val="7"/>
        </w:numPr>
        <w:spacing w:line="360" w:before="105" w:after="105" w:lineRule="auto"/>
      </w:pPr>
      <w:r>
        <w:rPr>
          <w:rFonts w:eastAsia="inter" w:cs="inter" w:ascii="inter" w:hAnsi="inter"/>
          <w:color w:val="000000"/>
          <w:sz w:val="21"/>
        </w:rPr>
        <w:t xml:space="preserve">Subsequent commercial work in airline, banking and insurance sectors, covered below.</w:t>
      </w:r>
      <w:bookmarkStart w:id="55" w:name="fnref5_2"/>
      <w:bookmarkEnd w:id="55"/>
      <w:hyperlink w:anchor="fn5">
        <w:r>
          <w:rPr>
            <w:rFonts w:eastAsia="inter" w:cs="inter" w:ascii="inter" w:hAnsi="inter"/>
            <w:color w:val="#000"/>
            <w:sz w:val="21"/>
            <w:u w:val="single"/>
            <w:vertAlign w:val="superscript"/>
          </w:rPr>
          <w:t xml:space="preserve">[5]</w:t>
        </w:r>
      </w:hyperlink>
    </w:p>
    <w:p>
      <w:pPr>
        <w:spacing w:line="360" w:after="210" w:lineRule="auto"/>
      </w:pPr>
      <w:r>
        <w:rPr>
          <w:rFonts w:eastAsia="inter" w:cs="inter" w:ascii="inter" w:hAnsi="inter"/>
          <w:color w:val="000000"/>
        </w:rPr>
        <w:t xml:space="preserve">This looks structurally similar to Deloitte Digital or Accenture’s “delivery centers”: a </w:t>
      </w:r>
      <w:r>
        <w:rPr>
          <w:rFonts w:eastAsia="inter" w:cs="inter" w:ascii="inter" w:hAnsi="inter"/>
          <w:b/>
          <w:color w:val="000000"/>
        </w:rPr>
        <w:t xml:space="preserve">co‑located engineering and architecture team</w:t>
      </w:r>
      <w:r>
        <w:rPr>
          <w:rFonts w:eastAsia="inter" w:cs="inter" w:ascii="inter" w:hAnsi="inter"/>
          <w:color w:val="000000"/>
        </w:rPr>
        <w:t xml:space="preserve"> inside the firm, explicitly focused on </w:t>
      </w:r>
      <w:r>
        <w:rPr>
          <w:rFonts w:eastAsia="inter" w:cs="inter" w:ascii="inter" w:hAnsi="inter"/>
          <w:b/>
          <w:color w:val="000000"/>
        </w:rPr>
        <w:t xml:space="preserve">designing, building and operating GenAI and cloud solutions</w:t>
      </w:r>
      <w:r>
        <w:rPr>
          <w:rFonts w:eastAsia="inter" w:cs="inter" w:ascii="inter" w:hAnsi="inter"/>
          <w:color w:val="000000"/>
        </w:rPr>
        <w:t xml:space="preserve">.</w:t>
      </w:r>
    </w:p>
    <w:p>
      <w:pPr>
        <w:spacing w:line="360" w:before="315" w:after="105" w:lineRule="auto"/>
        <w:ind w:left="-30"/>
        <w:jc w:val="left"/>
      </w:pPr>
      <w:bookmarkStart w:id="56" w:name="bm_3_2_evidence_of_hands_on_appli_6662cb"/>
      <w:r>
        <w:rPr>
          <w:rFonts w:eastAsia="inter" w:cs="inter" w:ascii="inter" w:hAnsi="inter"/>
          <w:b/>
          <w:color w:val="000000"/>
          <w:sz w:val="24"/>
        </w:rPr>
        <w:t xml:space="preserve">3.2 Evidence of hands‑on application delivery</w:t>
      </w:r>
      <w:bookmarkEnd w:id="56"/>
    </w:p>
    <w:p>
      <w:pPr>
        <w:spacing w:line="360" w:after="210" w:lineRule="auto"/>
      </w:pPr>
      <w:r>
        <w:rPr>
          <w:rFonts w:eastAsia="inter" w:cs="inter" w:ascii="inter" w:hAnsi="inter"/>
          <w:color w:val="000000"/>
        </w:rPr>
        <w:t xml:space="preserve">Several data points show PwC Israel is not just a strategy shop:</w:t>
      </w:r>
    </w:p>
    <w:p>
      <w:pPr>
        <w:numPr>
          <w:ilvl w:val="0"/>
          <w:numId w:val="8"/>
        </w:numPr>
        <w:spacing w:line="360" w:after="210" w:lineRule="auto"/>
      </w:pPr>
      <w:r>
        <w:rPr>
          <w:rFonts w:eastAsia="inter" w:cs="inter" w:ascii="inter" w:hAnsi="inter"/>
          <w:b/>
          <w:color w:val="000000"/>
          <w:sz w:val="21"/>
        </w:rPr>
        <w:t xml:space="preserve">PwC NEXT LinkedIn profile</w:t>
      </w:r>
      <w:r>
        <w:rPr>
          <w:rFonts w:eastAsia="inter" w:cs="inter" w:ascii="inter" w:hAnsi="inter"/>
          <w:color w:val="000000"/>
          <w:sz w:val="21"/>
        </w:rPr>
        <w:t xml:space="preserve"> (Tel Aviv):</w:t>
      </w:r>
    </w:p>
    <w:p>
      <w:pPr>
        <w:numPr>
          <w:ilvl w:val="1"/>
          <w:numId w:val="8"/>
        </w:numPr>
        <w:spacing w:line="360" w:before="105" w:after="105" w:lineRule="auto"/>
      </w:pPr>
      <w:r>
        <w:rPr>
          <w:rFonts w:eastAsia="inter" w:cs="inter" w:ascii="inter" w:hAnsi="inter"/>
          <w:color w:val="000000"/>
          <w:sz w:val="21"/>
        </w:rPr>
        <w:t xml:space="preserve">Describes </w:t>
      </w:r>
      <w:r>
        <w:rPr>
          <w:rFonts w:eastAsia="inter" w:cs="inter" w:ascii="inter" w:hAnsi="inter"/>
          <w:b/>
          <w:color w:val="000000"/>
          <w:sz w:val="21"/>
        </w:rPr>
        <w:t xml:space="preserve">PwC Digital Technology Service</w:t>
      </w:r>
      <w:r>
        <w:rPr>
          <w:rFonts w:eastAsia="inter" w:cs="inter" w:ascii="inter" w:hAnsi="inter"/>
          <w:color w:val="000000"/>
          <w:sz w:val="21"/>
        </w:rPr>
        <w:t xml:space="preserve"> (NEXT) as a </w:t>
      </w:r>
      <w:r>
        <w:rPr>
          <w:rFonts w:eastAsia="inter" w:cs="inter" w:ascii="inter" w:hAnsi="inter"/>
          <w:b/>
          <w:color w:val="000000"/>
          <w:sz w:val="21"/>
        </w:rPr>
        <w:t xml:space="preserve">subsidiary of PwC Advisory Israel</w:t>
      </w:r>
      <w:r>
        <w:rPr>
          <w:rFonts w:eastAsia="inter" w:cs="inter" w:ascii="inter" w:hAnsi="inter"/>
          <w:color w:val="000000"/>
          <w:sz w:val="21"/>
        </w:rPr>
        <w:t xml:space="preserve">, specialising in </w:t>
      </w:r>
      <w:r>
        <w:rPr>
          <w:rFonts w:eastAsia="inter" w:cs="inter" w:ascii="inter" w:hAnsi="inter"/>
          <w:b/>
          <w:color w:val="000000"/>
          <w:sz w:val="21"/>
        </w:rPr>
        <w:t xml:space="preserve">cybersecurity, cloud services and business innovation processes</w:t>
      </w:r>
      <w:r>
        <w:rPr>
          <w:rFonts w:eastAsia="inter" w:cs="inter" w:ascii="inter" w:hAnsi="inter"/>
          <w:color w:val="000000"/>
          <w:sz w:val="21"/>
        </w:rPr>
        <w:t xml:space="preserve">.</w:t>
      </w:r>
      <w:bookmarkStart w:id="57" w:name="fnref21_1"/>
      <w:bookmarkEnd w:id="57"/>
      <w:hyperlink w:anchor="fn21">
        <w:r>
          <w:rPr>
            <w:rFonts w:eastAsia="inter" w:cs="inter" w:ascii="inter" w:hAnsi="inter"/>
            <w:color w:val="#000"/>
            <w:sz w:val="21"/>
            <w:u w:val="single"/>
            <w:vertAlign w:val="superscript"/>
          </w:rPr>
          <w:t xml:space="preserve">[21]</w:t>
        </w:r>
      </w:hyperlink>
    </w:p>
    <w:p>
      <w:pPr>
        <w:numPr>
          <w:ilvl w:val="1"/>
          <w:numId w:val="8"/>
        </w:numPr>
        <w:spacing w:line="360" w:before="105" w:after="105" w:lineRule="auto"/>
      </w:pPr>
      <w:r>
        <w:rPr>
          <w:rFonts w:eastAsia="inter" w:cs="inter" w:ascii="inter" w:hAnsi="inter"/>
          <w:color w:val="000000"/>
          <w:sz w:val="21"/>
        </w:rPr>
        <w:t xml:space="preserve">Highlights a </w:t>
      </w:r>
      <w:r>
        <w:rPr>
          <w:rFonts w:eastAsia="inter" w:cs="inter" w:ascii="inter" w:hAnsi="inter"/>
          <w:b/>
          <w:color w:val="000000"/>
          <w:sz w:val="21"/>
        </w:rPr>
        <w:t xml:space="preserve">technology delivery role</w:t>
      </w:r>
      <w:r>
        <w:rPr>
          <w:rFonts w:eastAsia="inter" w:cs="inter" w:ascii="inter" w:hAnsi="inter"/>
          <w:color w:val="000000"/>
          <w:sz w:val="21"/>
        </w:rPr>
        <w:t xml:space="preserve">, including major projects such as migrating </w:t>
      </w:r>
      <w:r>
        <w:rPr>
          <w:rFonts w:eastAsia="inter" w:cs="inter" w:ascii="inter" w:hAnsi="inter"/>
          <w:b/>
          <w:color w:val="000000"/>
          <w:sz w:val="21"/>
        </w:rPr>
        <w:t xml:space="preserve">1.2 million lines of COBOL to Java</w:t>
      </w:r>
      <w:r>
        <w:rPr>
          <w:rFonts w:eastAsia="inter" w:cs="inter" w:ascii="inter" w:hAnsi="inter"/>
          <w:color w:val="000000"/>
          <w:sz w:val="21"/>
        </w:rPr>
        <w:t xml:space="preserve"> for a large bank’s mainframe customer‑data domain in an 18‑month project, indicating deep engineering capacity (though the bank is global rather than explicitly Israeli).</w:t>
      </w:r>
      <w:bookmarkStart w:id="58" w:name="fnref21_2"/>
      <w:bookmarkEnd w:id="58"/>
      <w:hyperlink w:anchor="fn21">
        <w:r>
          <w:rPr>
            <w:rFonts w:eastAsia="inter" w:cs="inter" w:ascii="inter" w:hAnsi="inter"/>
            <w:color w:val="#000"/>
            <w:sz w:val="21"/>
            <w:u w:val="single"/>
            <w:vertAlign w:val="superscript"/>
          </w:rPr>
          <w:t xml:space="preserve">[21]</w:t>
        </w:r>
      </w:hyperlink>
    </w:p>
    <w:p>
      <w:pPr>
        <w:numPr>
          <w:ilvl w:val="1"/>
          <w:numId w:val="8"/>
        </w:numPr>
        <w:spacing w:line="360" w:before="105" w:after="105" w:lineRule="auto"/>
      </w:pPr>
      <w:r>
        <w:rPr>
          <w:rFonts w:eastAsia="inter" w:cs="inter" w:ascii="inter" w:hAnsi="inter"/>
          <w:color w:val="000000"/>
          <w:sz w:val="21"/>
        </w:rPr>
        <w:t xml:space="preserve">Lists roles like </w:t>
      </w:r>
      <w:r>
        <w:rPr>
          <w:rFonts w:eastAsia="inter" w:cs="inter" w:ascii="inter" w:hAnsi="inter"/>
          <w:b/>
          <w:color w:val="000000"/>
          <w:sz w:val="21"/>
        </w:rPr>
        <w:t xml:space="preserve">GenAI &amp; LLMOps Engineer</w:t>
      </w:r>
      <w:r>
        <w:rPr>
          <w:rFonts w:eastAsia="inter" w:cs="inter" w:ascii="inter" w:hAnsi="inter"/>
          <w:color w:val="000000"/>
          <w:sz w:val="21"/>
        </w:rPr>
        <w:t xml:space="preserve">, integration designers, Android developers—again underscoring a full software‑delivery stack.</w:t>
      </w:r>
      <w:bookmarkStart w:id="59" w:name="fnref28"/>
      <w:bookmarkEnd w:id="59"/>
      <w:hyperlink w:anchor="fn28">
        <w:r>
          <w:rPr>
            <w:rFonts w:eastAsia="inter" w:cs="inter" w:ascii="inter" w:hAnsi="inter"/>
            <w:color w:val="#000"/>
            <w:sz w:val="21"/>
            <w:u w:val="single"/>
            <w:vertAlign w:val="superscript"/>
          </w:rPr>
          <w:t xml:space="preserve">[28]</w:t>
        </w:r>
      </w:hyperlink>
      <w:bookmarkStart w:id="60" w:name="fnref21_3"/>
      <w:bookmarkEnd w:id="60"/>
      <w:hyperlink w:anchor="fn21">
        <w:r>
          <w:rPr>
            <w:rFonts w:eastAsia="inter" w:cs="inter" w:ascii="inter" w:hAnsi="inter"/>
            <w:color w:val="#000"/>
            <w:sz w:val="21"/>
            <w:u w:val="single"/>
            <w:vertAlign w:val="superscript"/>
          </w:rPr>
          <w:t xml:space="preserve">[21]</w:t>
        </w:r>
      </w:hyperlink>
    </w:p>
    <w:p>
      <w:pPr>
        <w:numPr>
          <w:ilvl w:val="0"/>
          <w:numId w:val="8"/>
        </w:numPr>
        <w:spacing w:line="360" w:after="210" w:lineRule="auto"/>
      </w:pPr>
      <w:r>
        <w:rPr>
          <w:rFonts w:eastAsia="inter" w:cs="inter" w:ascii="inter" w:hAnsi="inter"/>
          <w:b/>
          <w:color w:val="000000"/>
          <w:sz w:val="21"/>
        </w:rPr>
        <w:t xml:space="preserve">WalkMe digital adoption partnership</w:t>
      </w:r>
      <w:r>
        <w:rPr>
          <w:rFonts w:eastAsia="inter" w:cs="inter" w:ascii="inter" w:hAnsi="inter"/>
          <w:color w:val="000000"/>
          <w:sz w:val="21"/>
        </w:rPr>
        <w:t xml:space="preserve">:</w:t>
      </w:r>
    </w:p>
    <w:p>
      <w:pPr>
        <w:numPr>
          <w:ilvl w:val="1"/>
          <w:numId w:val="8"/>
        </w:numPr>
        <w:spacing w:line="360" w:before="105" w:after="105" w:lineRule="auto"/>
      </w:pPr>
      <w:r>
        <w:rPr>
          <w:rFonts w:eastAsia="inter" w:cs="inter" w:ascii="inter" w:hAnsi="inter"/>
          <w:color w:val="000000"/>
          <w:sz w:val="21"/>
        </w:rPr>
        <w:t xml:space="preserve">PwC Israel is an implementation partner for </w:t>
      </w:r>
      <w:r>
        <w:rPr>
          <w:rFonts w:eastAsia="inter" w:cs="inter" w:ascii="inter" w:hAnsi="inter"/>
          <w:b/>
          <w:color w:val="000000"/>
          <w:sz w:val="21"/>
        </w:rPr>
        <w:t xml:space="preserve">WalkMe</w:t>
      </w:r>
      <w:r>
        <w:rPr>
          <w:rFonts w:eastAsia="inter" w:cs="inter" w:ascii="inter" w:hAnsi="inter"/>
          <w:color w:val="000000"/>
          <w:sz w:val="21"/>
        </w:rPr>
        <w:t xml:space="preserve">, providing </w:t>
      </w:r>
      <w:r>
        <w:rPr>
          <w:rFonts w:eastAsia="inter" w:cs="inter" w:ascii="inter" w:hAnsi="inter"/>
          <w:b/>
          <w:color w:val="000000"/>
          <w:sz w:val="21"/>
        </w:rPr>
        <w:t xml:space="preserve">digital adoption strategy, content development and technical health scans</w:t>
      </w:r>
      <w:r>
        <w:rPr>
          <w:rFonts w:eastAsia="inter" w:cs="inter" w:ascii="inter" w:hAnsi="inter"/>
          <w:color w:val="000000"/>
          <w:sz w:val="21"/>
        </w:rPr>
        <w:t xml:space="preserve"> to drive employee productivity on enterprise systems.</w:t>
      </w:r>
      <w:bookmarkStart w:id="61" w:name="fnref29"/>
      <w:bookmarkEnd w:id="61"/>
      <w:hyperlink w:anchor="fn29">
        <w:r>
          <w:rPr>
            <w:rFonts w:eastAsia="inter" w:cs="inter" w:ascii="inter" w:hAnsi="inter"/>
            <w:color w:val="#000"/>
            <w:sz w:val="21"/>
            <w:u w:val="single"/>
            <w:vertAlign w:val="superscript"/>
          </w:rPr>
          <w:t xml:space="preserve">[29]</w:t>
        </w:r>
      </w:hyperlink>
    </w:p>
    <w:p>
      <w:pPr>
        <w:numPr>
          <w:ilvl w:val="1"/>
          <w:numId w:val="8"/>
        </w:numPr>
        <w:spacing w:line="360" w:before="105" w:after="105" w:lineRule="auto"/>
      </w:pPr>
      <w:r>
        <w:rPr>
          <w:rFonts w:eastAsia="inter" w:cs="inter" w:ascii="inter" w:hAnsi="inter"/>
          <w:color w:val="000000"/>
          <w:sz w:val="21"/>
        </w:rPr>
        <w:t xml:space="preserve">WalkMe itself engaged PwC Israel to build WalkMe content for WalkMe’s own financial ERP system—a strong signal of hands‑on platform delivery.</w:t>
      </w:r>
      <w:bookmarkStart w:id="62" w:name="fnref29_1"/>
      <w:bookmarkEnd w:id="62"/>
      <w:hyperlink w:anchor="fn29">
        <w:r>
          <w:rPr>
            <w:rFonts w:eastAsia="inter" w:cs="inter" w:ascii="inter" w:hAnsi="inter"/>
            <w:color w:val="#000"/>
            <w:sz w:val="21"/>
            <w:u w:val="single"/>
            <w:vertAlign w:val="superscript"/>
          </w:rPr>
          <w:t xml:space="preserve">[29]</w:t>
        </w:r>
      </w:hyperlink>
    </w:p>
    <w:p>
      <w:pPr>
        <w:numPr>
          <w:ilvl w:val="0"/>
          <w:numId w:val="8"/>
        </w:numPr>
        <w:spacing w:line="360" w:after="210" w:lineRule="auto"/>
      </w:pPr>
      <w:r>
        <w:rPr>
          <w:rFonts w:eastAsia="inter" w:cs="inter" w:ascii="inter" w:hAnsi="inter"/>
          <w:b/>
          <w:color w:val="000000"/>
          <w:sz w:val="21"/>
        </w:rPr>
        <w:t xml:space="preserve">STKI commentary on projects</w:t>
      </w:r>
      <w:r>
        <w:rPr>
          <w:rFonts w:eastAsia="inter" w:cs="inter" w:ascii="inter" w:hAnsi="inter"/>
          <w:color w:val="000000"/>
          <w:sz w:val="21"/>
        </w:rPr>
        <w:t xml:space="preserve">:</w:t>
      </w:r>
    </w:p>
    <w:p>
      <w:pPr>
        <w:numPr>
          <w:ilvl w:val="1"/>
          <w:numId w:val="8"/>
        </w:numPr>
        <w:spacing w:line="360" w:before="105" w:after="105" w:lineRule="auto"/>
      </w:pPr>
      <w:r>
        <w:rPr>
          <w:rFonts w:eastAsia="inter" w:cs="inter" w:ascii="inter" w:hAnsi="inter"/>
          <w:color w:val="000000"/>
          <w:sz w:val="21"/>
        </w:rPr>
        <w:t xml:space="preserve">STKI notes that, in 2024, PwC Advisory Israel and </w:t>
      </w:r>
      <w:r>
        <w:rPr>
          <w:rFonts w:eastAsia="inter" w:cs="inter" w:ascii="inter" w:hAnsi="inter"/>
          <w:b/>
          <w:color w:val="000000"/>
          <w:sz w:val="21"/>
        </w:rPr>
        <w:t xml:space="preserve">PwC NEXT</w:t>
      </w:r>
      <w:r>
        <w:rPr>
          <w:rFonts w:eastAsia="inter" w:cs="inter" w:ascii="inter" w:hAnsi="inter"/>
          <w:color w:val="000000"/>
          <w:sz w:val="21"/>
        </w:rPr>
        <w:t xml:space="preserve"> “focused significant resources on AI applications, cybersecurity and cloud migration,” delivering </w:t>
      </w:r>
      <w:r>
        <w:rPr>
          <w:rFonts w:eastAsia="inter" w:cs="inter" w:ascii="inter" w:hAnsi="inter"/>
          <w:b/>
          <w:color w:val="000000"/>
          <w:sz w:val="21"/>
        </w:rPr>
        <w:t xml:space="preserve">numerous implementation projects</w:t>
      </w:r>
      <w:r>
        <w:rPr>
          <w:rFonts w:eastAsia="inter" w:cs="inter" w:ascii="inter" w:hAnsi="inter"/>
          <w:color w:val="000000"/>
          <w:sz w:val="21"/>
        </w:rPr>
        <w:t xml:space="preserve"> on Oracle, Salesforce, SAP and NetSuite for Israeli enterprises.</w:t>
      </w:r>
      <w:bookmarkStart w:id="63" w:name="fnref1_6"/>
      <w:bookmarkEnd w:id="63"/>
      <w:hyperlink w:anchor="fn1">
        <w:r>
          <w:rPr>
            <w:rFonts w:eastAsia="inter" w:cs="inter" w:ascii="inter" w:hAnsi="inter"/>
            <w:color w:val="#000"/>
            <w:sz w:val="21"/>
            <w:u w:val="single"/>
            <w:vertAlign w:val="superscript"/>
          </w:rPr>
          <w:t xml:space="preserve">[1]</w:t>
        </w:r>
      </w:hyperlink>
    </w:p>
    <w:p>
      <w:pPr>
        <w:spacing w:line="360" w:after="210" w:lineRule="auto"/>
      </w:pPr>
      <w:r>
        <w:rPr>
          <w:rFonts w:eastAsia="inter" w:cs="inter" w:ascii="inter" w:hAnsi="inter"/>
          <w:color w:val="000000"/>
        </w:rPr>
        <w:t xml:space="preserve">Collectively, this shows that PwC Israel has </w:t>
      </w:r>
      <w:r>
        <w:rPr>
          <w:rFonts w:eastAsia="inter" w:cs="inter" w:ascii="inter" w:hAnsi="inter"/>
          <w:b/>
          <w:color w:val="000000"/>
        </w:rPr>
        <w:t xml:space="preserve">local engineering and delivery capacity</w:t>
      </w:r>
      <w:r>
        <w:rPr>
          <w:rFonts w:eastAsia="inter" w:cs="inter" w:ascii="inter" w:hAnsi="inter"/>
          <w:color w:val="000000"/>
        </w:rPr>
        <w:t xml:space="preserve"> that goes beyond slideware and workshops, spanning:</w:t>
      </w:r>
    </w:p>
    <w:p>
      <w:pPr>
        <w:numPr>
          <w:ilvl w:val="0"/>
          <w:numId w:val="9"/>
        </w:numPr>
        <w:spacing w:line="360" w:before="105" w:after="105" w:lineRule="auto"/>
      </w:pPr>
      <w:r>
        <w:rPr>
          <w:rFonts w:eastAsia="inter" w:cs="inter" w:ascii="inter" w:hAnsi="inter"/>
          <w:color w:val="000000"/>
          <w:sz w:val="21"/>
        </w:rPr>
        <w:t xml:space="preserve">Cloud re‑platforming and legacy‑system modernization</w:t>
      </w:r>
    </w:p>
    <w:p>
      <w:pPr>
        <w:numPr>
          <w:ilvl w:val="0"/>
          <w:numId w:val="9"/>
        </w:numPr>
        <w:spacing w:line="360" w:before="105" w:after="105" w:lineRule="auto"/>
      </w:pPr>
      <w:r>
        <w:rPr>
          <w:rFonts w:eastAsia="inter" w:cs="inter" w:ascii="inter" w:hAnsi="inter"/>
          <w:color w:val="000000"/>
          <w:sz w:val="21"/>
        </w:rPr>
        <w:t xml:space="preserve">AI‑enabled digital adoption (WalkMe)</w:t>
      </w:r>
    </w:p>
    <w:p>
      <w:pPr>
        <w:numPr>
          <w:ilvl w:val="0"/>
          <w:numId w:val="9"/>
        </w:numPr>
        <w:spacing w:line="360" w:before="105" w:after="105" w:lineRule="auto"/>
      </w:pPr>
      <w:r>
        <w:rPr>
          <w:rFonts w:eastAsia="inter" w:cs="inter" w:ascii="inter" w:hAnsi="inter"/>
          <w:color w:val="000000"/>
          <w:sz w:val="21"/>
        </w:rPr>
        <w:t xml:space="preserve">Enterprise application implementation and integration (ERP, CRM)</w:t>
      </w:r>
    </w:p>
    <w:p>
      <w:pPr>
        <w:numPr>
          <w:ilvl w:val="0"/>
          <w:numId w:val="9"/>
        </w:numPr>
        <w:spacing w:line="360" w:before="105" w:after="105" w:lineRule="auto"/>
      </w:pPr>
      <w:r>
        <w:rPr>
          <w:rFonts w:eastAsia="inter" w:cs="inter" w:ascii="inter" w:hAnsi="inter"/>
          <w:color w:val="000000"/>
          <w:sz w:val="21"/>
        </w:rPr>
        <w:t xml:space="preserve">Custom GenAI and AI‑powered systems through NEXT’s AI Factory.</w:t>
      </w:r>
    </w:p>
    <w:p>
      <w:pPr>
        <w:spacing w:line="360" w:before="315" w:after="105" w:lineRule="auto"/>
        <w:ind w:left="-30"/>
        <w:jc w:val="left"/>
      </w:pPr>
      <w:bookmarkStart w:id="64" w:name="bm_3_3_ai_factory_positioning_in_4af843"/>
      <w:r>
        <w:rPr>
          <w:rFonts w:eastAsia="inter" w:cs="inter" w:ascii="inter" w:hAnsi="inter"/>
          <w:b/>
          <w:color w:val="000000"/>
          <w:sz w:val="24"/>
        </w:rPr>
        <w:t xml:space="preserve">3.3 AI Factory positioning in the Israeli C‑suite</w:t>
      </w:r>
      <w:bookmarkEnd w:id="64"/>
    </w:p>
    <w:p>
      <w:pPr>
        <w:spacing w:line="360" w:after="210" w:lineRule="auto"/>
      </w:pPr>
      <w:r>
        <w:rPr>
          <w:rFonts w:eastAsia="inter" w:cs="inter" w:ascii="inter" w:hAnsi="inter"/>
          <w:color w:val="000000"/>
        </w:rPr>
        <w:t xml:space="preserve">The “AI Factory” language is being actively marketed in Israel:</w:t>
      </w:r>
    </w:p>
    <w:p>
      <w:pPr>
        <w:numPr>
          <w:ilvl w:val="0"/>
          <w:numId w:val="10"/>
        </w:numPr>
        <w:spacing w:line="360" w:before="105" w:after="105" w:lineRule="auto"/>
      </w:pPr>
      <w:r>
        <w:rPr>
          <w:rFonts w:eastAsia="inter" w:cs="inter" w:ascii="inter" w:hAnsi="inter"/>
          <w:color w:val="000000"/>
          <w:sz w:val="21"/>
        </w:rPr>
        <w:t xml:space="preserve">A CFO Forum event on “Practical Technologies: from Finance to Business and Back” lists </w:t>
      </w:r>
      <w:r>
        <w:rPr>
          <w:rFonts w:eastAsia="inter" w:cs="inter" w:ascii="inter" w:hAnsi="inter"/>
          <w:b/>
          <w:color w:val="000000"/>
          <w:sz w:val="21"/>
        </w:rPr>
        <w:t xml:space="preserve">“Pavel Sheynkman, Head of AI, PwC Israel – From Strategy to Practice: PwC AI Factory”</w:t>
      </w:r>
      <w:r>
        <w:rPr>
          <w:rFonts w:eastAsia="inter" w:cs="inter" w:ascii="inter" w:hAnsi="inter"/>
          <w:color w:val="000000"/>
          <w:sz w:val="21"/>
        </w:rPr>
        <w:t xml:space="preserve">, explicitly positioning the AI Factory as the bridge from GenAI strategy to operational delivery.</w:t>
      </w:r>
      <w:bookmarkStart w:id="65" w:name="fnref30"/>
      <w:bookmarkEnd w:id="65"/>
      <w:hyperlink w:anchor="fn30">
        <w:r>
          <w:rPr>
            <w:rFonts w:eastAsia="inter" w:cs="inter" w:ascii="inter" w:hAnsi="inter"/>
            <w:color w:val="#000"/>
            <w:sz w:val="21"/>
            <w:u w:val="single"/>
            <w:vertAlign w:val="superscript"/>
          </w:rPr>
          <w:t xml:space="preserve">[30]</w:t>
        </w:r>
      </w:hyperlink>
    </w:p>
    <w:p>
      <w:pPr>
        <w:numPr>
          <w:ilvl w:val="0"/>
          <w:numId w:val="10"/>
        </w:numPr>
        <w:spacing w:line="360" w:before="105" w:after="105" w:lineRule="auto"/>
      </w:pPr>
      <w:r>
        <w:rPr>
          <w:rFonts w:eastAsia="inter" w:cs="inter" w:ascii="inter" w:hAnsi="inter"/>
          <w:color w:val="000000"/>
          <w:sz w:val="21"/>
        </w:rPr>
        <w:t xml:space="preserve">Sheynkman’s own posts reference PwC’s global article </w:t>
      </w:r>
      <w:r>
        <w:rPr>
          <w:rFonts w:eastAsia="inter" w:cs="inter" w:ascii="inter" w:hAnsi="inter"/>
          <w:b/>
          <w:color w:val="000000"/>
          <w:sz w:val="21"/>
        </w:rPr>
        <w:t xml:space="preserve">“Why you need an AI factory: A CIO’s guide to generative AI”</w:t>
      </w:r>
      <w:r>
        <w:rPr>
          <w:rFonts w:eastAsia="inter" w:cs="inter" w:ascii="inter" w:hAnsi="inter"/>
          <w:color w:val="000000"/>
          <w:sz w:val="21"/>
        </w:rPr>
        <w:t xml:space="preserve">, which describes an operating model built around pods that repeatedly adapt a base foundation model across many use cases to drive ROI.</w:t>
      </w:r>
      <w:bookmarkStart w:id="66" w:name="fnref31"/>
      <w:bookmarkEnd w:id="66"/>
      <w:hyperlink w:anchor="fn31">
        <w:r>
          <w:rPr>
            <w:rFonts w:eastAsia="inter" w:cs="inter" w:ascii="inter" w:hAnsi="inter"/>
            <w:color w:val="#000"/>
            <w:sz w:val="21"/>
            <w:u w:val="single"/>
            <w:vertAlign w:val="superscript"/>
          </w:rPr>
          <w:t xml:space="preserve">[31]</w:t>
        </w:r>
      </w:hyperlink>
      <w:bookmarkStart w:id="67" w:name="fnref3_1"/>
      <w:bookmarkEnd w:id="67"/>
      <w:hyperlink w:anchor="fn3">
        <w:r>
          <w:rPr>
            <w:rFonts w:eastAsia="inter" w:cs="inter" w:ascii="inter" w:hAnsi="inter"/>
            <w:color w:val="#000"/>
            <w:sz w:val="21"/>
            <w:u w:val="single"/>
            <w:vertAlign w:val="superscript"/>
          </w:rPr>
          <w:t xml:space="preserve">[3]</w:t>
        </w:r>
      </w:hyperlink>
    </w:p>
    <w:p>
      <w:pPr>
        <w:spacing w:line="360" w:after="210" w:lineRule="auto"/>
      </w:pPr>
      <w:r>
        <w:rPr>
          <w:rFonts w:eastAsia="inter" w:cs="inter" w:ascii="inter" w:hAnsi="inter"/>
          <w:color w:val="000000"/>
        </w:rPr>
        <w:t xml:space="preserve">This alignment between </w:t>
      </w:r>
      <w:r>
        <w:rPr>
          <w:rFonts w:eastAsia="inter" w:cs="inter" w:ascii="inter" w:hAnsi="inter"/>
          <w:b/>
          <w:color w:val="000000"/>
        </w:rPr>
        <w:t xml:space="preserve">global conceptual asset</w:t>
      </w:r>
      <w:r>
        <w:rPr>
          <w:rFonts w:eastAsia="inter" w:cs="inter" w:ascii="inter" w:hAnsi="inter"/>
          <w:color w:val="000000"/>
        </w:rPr>
        <w:t xml:space="preserve"> (AI factory playbook and pods) and </w:t>
      </w:r>
      <w:r>
        <w:rPr>
          <w:rFonts w:eastAsia="inter" w:cs="inter" w:ascii="inter" w:hAnsi="inter"/>
          <w:b/>
          <w:color w:val="000000"/>
        </w:rPr>
        <w:t xml:space="preserve">local methodology</w:t>
      </w:r>
      <w:r>
        <w:rPr>
          <w:rFonts w:eastAsia="inter" w:cs="inter" w:ascii="inter" w:hAnsi="inter"/>
          <w:color w:val="000000"/>
        </w:rPr>
        <w:t xml:space="preserve"> (NEXT’s AI Factory) is a strong indicator that PwC Israel is not reinventing from scratch; it is </w:t>
      </w:r>
      <w:r>
        <w:rPr>
          <w:rFonts w:eastAsia="inter" w:cs="inter" w:ascii="inter" w:hAnsi="inter"/>
          <w:b/>
          <w:color w:val="000000"/>
        </w:rPr>
        <w:t xml:space="preserve">localizing a mature global operating model</w:t>
      </w:r>
      <w:r>
        <w:rPr>
          <w:rFonts w:eastAsia="inter" w:cs="inter" w:ascii="inter" w:hAnsi="inter"/>
          <w:color w:val="000000"/>
        </w:rPr>
        <w:t xml:space="preserve"> into the Israeli market.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8" w:name="bm_4_openai_microsoft_advantage_i_7740bb"/>
      <w:r>
        <w:rPr>
          <w:rFonts w:eastAsia="inter" w:cs="inter" w:ascii="inter" w:hAnsi="inter"/>
          <w:b/>
          <w:color w:val="000000"/>
          <w:sz w:val="24"/>
        </w:rPr>
        <w:t xml:space="preserve">4. OpenAI &amp; Microsoft Advantage in the Israeli Context</w:t>
      </w:r>
      <w:bookmarkEnd w:id="68"/>
    </w:p>
    <w:p>
      <w:pPr>
        <w:spacing w:line="360" w:before="315" w:after="105" w:lineRule="auto"/>
        <w:ind w:left="-30"/>
        <w:jc w:val="left"/>
      </w:pPr>
      <w:bookmarkStart w:id="69" w:name="bm_4_1_global_openai_alignment_an_4975c8"/>
      <w:r>
        <w:rPr>
          <w:rFonts w:eastAsia="inter" w:cs="inter" w:ascii="inter" w:hAnsi="inter"/>
          <w:b/>
          <w:color w:val="000000"/>
          <w:sz w:val="24"/>
        </w:rPr>
        <w:t xml:space="preserve">4.1 Global OpenAI alignment and reseller status</w:t>
      </w:r>
      <w:bookmarkEnd w:id="69"/>
    </w:p>
    <w:p>
      <w:pPr>
        <w:spacing w:line="360" w:after="210" w:lineRule="auto"/>
      </w:pPr>
      <w:r>
        <w:rPr>
          <w:rFonts w:eastAsia="inter" w:cs="inter" w:ascii="inter" w:hAnsi="inter"/>
          <w:color w:val="000000"/>
        </w:rPr>
        <w:t xml:space="preserve">PwC’s OpenAI positioning has two layers:</w:t>
      </w:r>
    </w:p>
    <w:p>
      <w:pPr>
        <w:numPr>
          <w:ilvl w:val="0"/>
          <w:numId w:val="11"/>
        </w:numPr>
        <w:spacing w:line="360" w:after="210" w:lineRule="auto"/>
      </w:pPr>
      <w:r>
        <w:rPr>
          <w:rFonts w:eastAsia="inter" w:cs="inter" w:ascii="inter" w:hAnsi="inter"/>
          <w:b/>
          <w:color w:val="000000"/>
          <w:sz w:val="21"/>
        </w:rPr>
        <w:t xml:space="preserve">US/UK alignment:</w:t>
      </w:r>
    </w:p>
    <w:p>
      <w:pPr>
        <w:numPr>
          <w:ilvl w:val="1"/>
          <w:numId w:val="11"/>
        </w:numPr>
        <w:spacing w:line="360" w:before="105" w:after="105" w:lineRule="auto"/>
      </w:pPr>
      <w:r>
        <w:rPr>
          <w:rFonts w:eastAsia="inter" w:cs="inter" w:ascii="inter" w:hAnsi="inter"/>
          <w:color w:val="000000"/>
          <w:sz w:val="21"/>
        </w:rPr>
        <w:t xml:space="preserve">PwC US and UK have signed an agreement making them </w:t>
      </w:r>
      <w:r>
        <w:rPr>
          <w:rFonts w:eastAsia="inter" w:cs="inter" w:ascii="inter" w:hAnsi="inter"/>
          <w:b/>
          <w:color w:val="000000"/>
          <w:sz w:val="21"/>
        </w:rPr>
        <w:t xml:space="preserve">OpenAI’s first reseller for ChatGPT Enterprise and the largest user of the product</w:t>
      </w:r>
      <w:r>
        <w:rPr>
          <w:rFonts w:eastAsia="inter" w:cs="inter" w:ascii="inter" w:hAnsi="inter"/>
          <w:color w:val="000000"/>
          <w:sz w:val="21"/>
        </w:rPr>
        <w:t xml:space="preserve">, with over </w:t>
      </w:r>
      <w:r>
        <w:rPr>
          <w:rFonts w:eastAsia="inter" w:cs="inter" w:ascii="inter" w:hAnsi="inter"/>
          <w:b/>
          <w:color w:val="000000"/>
          <w:sz w:val="21"/>
        </w:rPr>
        <w:t xml:space="preserve">100,000 licenses</w:t>
      </w:r>
      <w:r>
        <w:rPr>
          <w:rFonts w:eastAsia="inter" w:cs="inter" w:ascii="inter" w:hAnsi="inter"/>
          <w:color w:val="000000"/>
          <w:sz w:val="21"/>
        </w:rPr>
        <w:t xml:space="preserve"> (75,000 in the US, 26,000 in the UK).</w:t>
      </w:r>
      <w:bookmarkStart w:id="70" w:name="fnref13_1"/>
      <w:bookmarkEnd w:id="70"/>
      <w:hyperlink w:anchor="fn13">
        <w:r>
          <w:rPr>
            <w:rFonts w:eastAsia="inter" w:cs="inter" w:ascii="inter" w:hAnsi="inter"/>
            <w:color w:val="#000"/>
            <w:sz w:val="21"/>
            <w:u w:val="single"/>
            <w:vertAlign w:val="superscript"/>
          </w:rPr>
          <w:t xml:space="preserve">[13]</w:t>
        </w:r>
      </w:hyperlink>
      <w:bookmarkStart w:id="71" w:name="fnref14_1"/>
      <w:bookmarkEnd w:id="71"/>
      <w:hyperlink w:anchor="fn14">
        <w:r>
          <w:rPr>
            <w:rFonts w:eastAsia="inter" w:cs="inter" w:ascii="inter" w:hAnsi="inter"/>
            <w:color w:val="#000"/>
            <w:sz w:val="21"/>
            <w:u w:val="single"/>
            <w:vertAlign w:val="superscript"/>
          </w:rPr>
          <w:t xml:space="preserve">[14]</w:t>
        </w:r>
      </w:hyperlink>
      <w:bookmarkStart w:id="72" w:name="fnref8_3"/>
      <w:bookmarkEnd w:id="72"/>
      <w:hyperlink w:anchor="fn8">
        <w:r>
          <w:rPr>
            <w:rFonts w:eastAsia="inter" w:cs="inter" w:ascii="inter" w:hAnsi="inter"/>
            <w:color w:val="#000"/>
            <w:sz w:val="21"/>
            <w:u w:val="single"/>
            <w:vertAlign w:val="superscript"/>
          </w:rPr>
          <w:t xml:space="preserve">[8]</w:t>
        </w:r>
      </w:hyperlink>
      <w:bookmarkStart w:id="73" w:name="fnref12_1"/>
      <w:bookmarkEnd w:id="73"/>
      <w:hyperlink w:anchor="fn12">
        <w:r>
          <w:rPr>
            <w:rFonts w:eastAsia="inter" w:cs="inter" w:ascii="inter" w:hAnsi="inter"/>
            <w:color w:val="#000"/>
            <w:sz w:val="21"/>
            <w:u w:val="single"/>
            <w:vertAlign w:val="superscript"/>
          </w:rPr>
          <w:t xml:space="preserve">[12]</w:t>
        </w:r>
      </w:hyperlink>
    </w:p>
    <w:p>
      <w:pPr>
        <w:numPr>
          <w:ilvl w:val="1"/>
          <w:numId w:val="11"/>
        </w:numPr>
        <w:spacing w:line="360" w:before="105" w:after="105" w:lineRule="auto"/>
      </w:pPr>
      <w:r>
        <w:rPr>
          <w:rFonts w:eastAsia="inter" w:cs="inter" w:ascii="inter" w:hAnsi="inter"/>
          <w:color w:val="000000"/>
          <w:sz w:val="21"/>
        </w:rPr>
        <w:t xml:space="preserve">PwC presents itself as </w:t>
      </w:r>
      <w:r>
        <w:rPr>
          <w:rFonts w:eastAsia="inter" w:cs="inter" w:ascii="inter" w:hAnsi="inter"/>
          <w:b/>
          <w:color w:val="000000"/>
          <w:sz w:val="21"/>
        </w:rPr>
        <w:t xml:space="preserve">“client zero”</w:t>
      </w:r>
      <w:r>
        <w:rPr>
          <w:rFonts w:eastAsia="inter" w:cs="inter" w:ascii="inter" w:hAnsi="inter"/>
          <w:color w:val="000000"/>
          <w:sz w:val="21"/>
        </w:rPr>
        <w:t xml:space="preserve"> for GenAI internally, using ChatGPT Enterprise and custom GPTs for tax return review, proposal generation, software lifecycle assistance, and data‑analysis tasks.</w:t>
      </w:r>
      <w:bookmarkStart w:id="74" w:name="fnref8_4"/>
      <w:bookmarkEnd w:id="74"/>
      <w:hyperlink w:anchor="fn8">
        <w:r>
          <w:rPr>
            <w:rFonts w:eastAsia="inter" w:cs="inter" w:ascii="inter" w:hAnsi="inter"/>
            <w:color w:val="#000"/>
            <w:sz w:val="21"/>
            <w:u w:val="single"/>
            <w:vertAlign w:val="superscript"/>
          </w:rPr>
          <w:t xml:space="preserve">[8]</w:t>
        </w:r>
      </w:hyperlink>
      <w:bookmarkStart w:id="75" w:name="fnref12_2"/>
      <w:bookmarkEnd w:id="75"/>
      <w:hyperlink w:anchor="fn12">
        <w:r>
          <w:rPr>
            <w:rFonts w:eastAsia="inter" w:cs="inter" w:ascii="inter" w:hAnsi="inter"/>
            <w:color w:val="#000"/>
            <w:sz w:val="21"/>
            <w:u w:val="single"/>
            <w:vertAlign w:val="superscript"/>
          </w:rPr>
          <w:t xml:space="preserve">[12]</w:t>
        </w:r>
      </w:hyperlink>
    </w:p>
    <w:p>
      <w:pPr>
        <w:numPr>
          <w:ilvl w:val="0"/>
          <w:numId w:val="11"/>
        </w:numPr>
        <w:spacing w:line="360" w:after="210" w:lineRule="auto"/>
      </w:pPr>
      <w:r>
        <w:rPr>
          <w:rFonts w:eastAsia="inter" w:cs="inter" w:ascii="inter" w:hAnsi="inter"/>
          <w:b/>
          <w:color w:val="000000"/>
          <w:sz w:val="21"/>
        </w:rPr>
        <w:t xml:space="preserve">Middle East (regional) alignment:</w:t>
      </w:r>
    </w:p>
    <w:p>
      <w:pPr>
        <w:numPr>
          <w:ilvl w:val="1"/>
          <w:numId w:val="11"/>
        </w:numPr>
        <w:spacing w:line="360" w:before="105" w:after="105" w:lineRule="auto"/>
      </w:pPr>
      <w:r>
        <w:rPr>
          <w:rFonts w:eastAsia="inter" w:cs="inter" w:ascii="inter" w:hAnsi="inter"/>
          <w:color w:val="000000"/>
          <w:sz w:val="21"/>
        </w:rPr>
        <w:t xml:space="preserve">PwC Middle East has signed a </w:t>
      </w:r>
      <w:r>
        <w:rPr>
          <w:rFonts w:eastAsia="inter" w:cs="inter" w:ascii="inter" w:hAnsi="inter"/>
          <w:b/>
          <w:color w:val="000000"/>
          <w:sz w:val="21"/>
        </w:rPr>
        <w:t xml:space="preserve">regional partnership with OpenAI</w:t>
      </w:r>
      <w:r>
        <w:rPr>
          <w:rFonts w:eastAsia="inter" w:cs="inter" w:ascii="inter" w:hAnsi="inter"/>
          <w:color w:val="000000"/>
          <w:sz w:val="21"/>
        </w:rPr>
        <w:t xml:space="preserve">, becoming </w:t>
      </w:r>
      <w:r>
        <w:rPr>
          <w:rFonts w:eastAsia="inter" w:cs="inter" w:ascii="inter" w:hAnsi="inter"/>
          <w:b/>
          <w:color w:val="000000"/>
          <w:sz w:val="21"/>
        </w:rPr>
        <w:t xml:space="preserve">the first reseller of OpenAI in the Middle East</w:t>
      </w:r>
      <w:r>
        <w:rPr>
          <w:rFonts w:eastAsia="inter" w:cs="inter" w:ascii="inter" w:hAnsi="inter"/>
          <w:color w:val="000000"/>
          <w:sz w:val="21"/>
        </w:rPr>
        <w:t xml:space="preserve">, explicitly focused on helping organizations scale AI adoption and GenAI infrastructure, apps and services.</w:t>
      </w:r>
      <w:bookmarkStart w:id="76" w:name="fnref16_1"/>
      <w:bookmarkEnd w:id="76"/>
      <w:hyperlink w:anchor="fn16">
        <w:r>
          <w:rPr>
            <w:rFonts w:eastAsia="inter" w:cs="inter" w:ascii="inter" w:hAnsi="inter"/>
            <w:color w:val="#000"/>
            <w:sz w:val="21"/>
            <w:u w:val="single"/>
            <w:vertAlign w:val="superscript"/>
          </w:rPr>
          <w:t xml:space="preserve">[16]</w:t>
        </w:r>
      </w:hyperlink>
      <w:bookmarkStart w:id="77" w:name="fnref17_1"/>
      <w:bookmarkEnd w:id="77"/>
      <w:hyperlink w:anchor="fn17">
        <w:r>
          <w:rPr>
            <w:rFonts w:eastAsia="inter" w:cs="inter" w:ascii="inter" w:hAnsi="inter"/>
            <w:color w:val="#000"/>
            <w:sz w:val="21"/>
            <w:u w:val="single"/>
            <w:vertAlign w:val="superscript"/>
          </w:rPr>
          <w:t xml:space="preserve">[17]</w:t>
        </w:r>
      </w:hyperlink>
      <w:bookmarkStart w:id="78" w:name="fnref18_1"/>
      <w:bookmarkEnd w:id="78"/>
      <w:hyperlink w:anchor="fn18">
        <w:r>
          <w:rPr>
            <w:rFonts w:eastAsia="inter" w:cs="inter" w:ascii="inter" w:hAnsi="inter"/>
            <w:color w:val="#000"/>
            <w:sz w:val="21"/>
            <w:u w:val="single"/>
            <w:vertAlign w:val="superscript"/>
          </w:rPr>
          <w:t xml:space="preserve">[18]</w:t>
        </w:r>
      </w:hyperlink>
      <w:bookmarkStart w:id="79" w:name="fnref15_1"/>
      <w:bookmarkEnd w:id="79"/>
      <w:hyperlink w:anchor="fn15">
        <w:r>
          <w:rPr>
            <w:rFonts w:eastAsia="inter" w:cs="inter" w:ascii="inter" w:hAnsi="inter"/>
            <w:color w:val="#000"/>
            <w:sz w:val="21"/>
            <w:u w:val="single"/>
            <w:vertAlign w:val="superscript"/>
          </w:rPr>
          <w:t xml:space="preserve">[15]</w:t>
        </w:r>
      </w:hyperlink>
    </w:p>
    <w:p>
      <w:pPr>
        <w:numPr>
          <w:ilvl w:val="1"/>
          <w:numId w:val="11"/>
        </w:numPr>
        <w:spacing w:line="360" w:before="105" w:after="105" w:lineRule="auto"/>
      </w:pPr>
      <w:r>
        <w:rPr>
          <w:rFonts w:eastAsia="inter" w:cs="inter" w:ascii="inter" w:hAnsi="inter"/>
          <w:color w:val="000000"/>
          <w:sz w:val="21"/>
        </w:rPr>
        <w:t xml:space="preserve">PwC Middle East markets a dedicated </w:t>
      </w:r>
      <w:r>
        <w:rPr>
          <w:rFonts w:eastAsia="inter" w:cs="inter" w:ascii="inter" w:hAnsi="inter"/>
          <w:b/>
          <w:color w:val="000000"/>
          <w:sz w:val="21"/>
        </w:rPr>
        <w:t xml:space="preserve">ChatGPT Enterprise offering</w:t>
      </w:r>
      <w:r>
        <w:rPr>
          <w:rFonts w:eastAsia="inter" w:cs="inter" w:ascii="inter" w:hAnsi="inter"/>
          <w:color w:val="000000"/>
          <w:sz w:val="21"/>
        </w:rPr>
        <w:t xml:space="preserve">, combining licensing with strategic roadmapping, governance, onboarding and adoption support.</w:t>
      </w:r>
      <w:bookmarkStart w:id="80" w:name="fnref32"/>
      <w:bookmarkEnd w:id="80"/>
      <w:hyperlink w:anchor="fn32">
        <w:r>
          <w:rPr>
            <w:rFonts w:eastAsia="inter" w:cs="inter" w:ascii="inter" w:hAnsi="inter"/>
            <w:color w:val="#000"/>
            <w:sz w:val="21"/>
            <w:u w:val="single"/>
            <w:vertAlign w:val="superscript"/>
          </w:rPr>
          <w:t xml:space="preserve">[32]</w:t>
        </w:r>
      </w:hyperlink>
      <w:bookmarkStart w:id="81" w:name="fnref16_2"/>
      <w:bookmarkEnd w:id="81"/>
      <w:hyperlink w:anchor="fn16">
        <w:r>
          <w:rPr>
            <w:rFonts w:eastAsia="inter" w:cs="inter" w:ascii="inter" w:hAnsi="inter"/>
            <w:color w:val="#000"/>
            <w:sz w:val="21"/>
            <w:u w:val="single"/>
            <w:vertAlign w:val="superscript"/>
          </w:rPr>
          <w:t xml:space="preserve">[16]</w:t>
        </w:r>
      </w:hyperlink>
    </w:p>
    <w:p>
      <w:pPr>
        <w:spacing w:line="360" w:after="210" w:lineRule="auto"/>
      </w:pPr>
      <w:r>
        <w:rPr>
          <w:rFonts w:eastAsia="inter" w:cs="inter" w:ascii="inter" w:hAnsi="inter"/>
          <w:color w:val="000000"/>
        </w:rPr>
        <w:t xml:space="preserve">Although Israel is organizationally part of PwC’s </w:t>
      </w:r>
      <w:r>
        <w:rPr>
          <w:rFonts w:eastAsia="inter" w:cs="inter" w:ascii="inter" w:hAnsi="inter"/>
          <w:b/>
          <w:color w:val="000000"/>
        </w:rPr>
        <w:t xml:space="preserve">US Sub‑Cluster</w:t>
      </w:r>
      <w:r>
        <w:rPr>
          <w:rFonts w:eastAsia="inter" w:cs="inter" w:ascii="inter" w:hAnsi="inter"/>
          <w:color w:val="000000"/>
        </w:rPr>
        <w:t xml:space="preserve"> rather than the Middle East cluster, PwC Israel’s clients benefit from:</w:t>
      </w:r>
      <w:bookmarkStart w:id="82" w:name="fnref7_5"/>
      <w:bookmarkEnd w:id="82"/>
      <w:hyperlink w:anchor="fn7">
        <w:r>
          <w:rPr>
            <w:rFonts w:eastAsia="inter" w:cs="inter" w:ascii="inter" w:hAnsi="inter"/>
            <w:color w:val="#000"/>
            <w:u w:val="single"/>
            <w:vertAlign w:val="superscript"/>
          </w:rPr>
          <w:t xml:space="preserve">[7]</w:t>
        </w:r>
      </w:hyperlink>
    </w:p>
    <w:p>
      <w:pPr>
        <w:numPr>
          <w:ilvl w:val="0"/>
          <w:numId w:val="12"/>
        </w:numPr>
        <w:spacing w:line="360" w:before="105" w:after="105" w:lineRule="auto"/>
      </w:pPr>
      <w:r>
        <w:rPr>
          <w:rFonts w:eastAsia="inter" w:cs="inter" w:ascii="inter" w:hAnsi="inter"/>
          <w:color w:val="000000"/>
          <w:sz w:val="21"/>
        </w:rPr>
        <w:t xml:space="preserve">Access to </w:t>
      </w:r>
      <w:r>
        <w:rPr>
          <w:rFonts w:eastAsia="inter" w:cs="inter" w:ascii="inter" w:hAnsi="inter"/>
          <w:b/>
          <w:color w:val="000000"/>
          <w:sz w:val="21"/>
        </w:rPr>
        <w:t xml:space="preserve">global ChatGPT Enterprise playbooks and assets</w:t>
      </w:r>
      <w:r>
        <w:rPr>
          <w:rFonts w:eastAsia="inter" w:cs="inter" w:ascii="inter" w:hAnsi="inter"/>
          <w:color w:val="000000"/>
          <w:sz w:val="21"/>
        </w:rPr>
        <w:t xml:space="preserve"> (prompt libraries, governance templates, testing frameworks) built in US/UK.</w:t>
      </w:r>
    </w:p>
    <w:p>
      <w:pPr>
        <w:numPr>
          <w:ilvl w:val="0"/>
          <w:numId w:val="12"/>
        </w:numPr>
        <w:spacing w:line="360" w:before="105" w:after="105" w:lineRule="auto"/>
      </w:pPr>
      <w:r>
        <w:rPr>
          <w:rFonts w:eastAsia="inter" w:cs="inter" w:ascii="inter" w:hAnsi="inter"/>
          <w:color w:val="000000"/>
          <w:sz w:val="21"/>
        </w:rPr>
        <w:t xml:space="preserve">Regional </w:t>
      </w:r>
      <w:r>
        <w:rPr>
          <w:rFonts w:eastAsia="inter" w:cs="inter" w:ascii="inter" w:hAnsi="inter"/>
          <w:b/>
          <w:color w:val="000000"/>
          <w:sz w:val="21"/>
        </w:rPr>
        <w:t xml:space="preserve">OpenAI reseller capability</w:t>
      </w:r>
      <w:r>
        <w:rPr>
          <w:rFonts w:eastAsia="inter" w:cs="inter" w:ascii="inter" w:hAnsi="inter"/>
          <w:color w:val="000000"/>
          <w:sz w:val="21"/>
        </w:rPr>
        <w:t xml:space="preserve"> via PwC Middle East for clients with multi‑country operations in the region.</w:t>
      </w:r>
    </w:p>
    <w:p>
      <w:pPr>
        <w:spacing w:line="360" w:after="210" w:lineRule="auto"/>
      </w:pPr>
      <w:r>
        <w:rPr>
          <w:rFonts w:eastAsia="inter" w:cs="inter" w:ascii="inter" w:hAnsi="inter"/>
          <w:color w:val="000000"/>
        </w:rPr>
        <w:t xml:space="preserve">There is no public document naming PwC Israel as </w:t>
      </w:r>
      <w:r>
        <w:rPr>
          <w:rFonts w:eastAsia="inter" w:cs="inter" w:ascii="inter" w:hAnsi="inter"/>
          <w:b/>
          <w:color w:val="000000"/>
        </w:rPr>
        <w:t xml:space="preserve">“exclusive” ChatGPT Enterprise reseller</w:t>
      </w:r>
      <w:r>
        <w:rPr>
          <w:rFonts w:eastAsia="inter" w:cs="inter" w:ascii="inter" w:hAnsi="inter"/>
          <w:color w:val="000000"/>
        </w:rPr>
        <w:t xml:space="preserve"> in Israel, but the combination of </w:t>
      </w:r>
      <w:r>
        <w:rPr>
          <w:rFonts w:eastAsia="inter" w:cs="inter" w:ascii="inter" w:hAnsi="inter"/>
          <w:b/>
          <w:color w:val="000000"/>
        </w:rPr>
        <w:t xml:space="preserve">global and regional first‑reseller status</w:t>
      </w:r>
      <w:r>
        <w:rPr>
          <w:rFonts w:eastAsia="inter" w:cs="inter" w:ascii="inter" w:hAnsi="inter"/>
          <w:color w:val="000000"/>
        </w:rPr>
        <w:t xml:space="preserve"> makes PwC the most deeply integrated OpenAI partner among the big consultancies serving Israeli institutions.</w:t>
      </w:r>
    </w:p>
    <w:p>
      <w:pPr>
        <w:spacing w:line="360" w:before="315" w:after="105" w:lineRule="auto"/>
        <w:ind w:left="-30"/>
        <w:jc w:val="left"/>
      </w:pPr>
      <w:bookmarkStart w:id="83" w:name="bm_4_2_microsoft_azure_openai_and_976d49"/>
      <w:r>
        <w:rPr>
          <w:rFonts w:eastAsia="inter" w:cs="inter" w:ascii="inter" w:hAnsi="inter"/>
          <w:b/>
          <w:color w:val="000000"/>
          <w:sz w:val="24"/>
        </w:rPr>
        <w:t xml:space="preserve">4.2 Microsoft Azure OpenAI and GenAI factory with Microsoft</w:t>
      </w:r>
      <w:bookmarkEnd w:id="83"/>
    </w:p>
    <w:p>
      <w:pPr>
        <w:spacing w:line="360" w:after="210" w:lineRule="auto"/>
      </w:pPr>
      <w:r>
        <w:rPr>
          <w:rFonts w:eastAsia="inter" w:cs="inter" w:ascii="inter" w:hAnsi="inter"/>
          <w:color w:val="000000"/>
        </w:rPr>
        <w:t xml:space="preserve">PwC’s alliance with Microsoft is another important differentiator:</w:t>
      </w:r>
    </w:p>
    <w:p>
      <w:pPr>
        <w:numPr>
          <w:ilvl w:val="0"/>
          <w:numId w:val="13"/>
        </w:numPr>
        <w:spacing w:line="360" w:before="105" w:after="105" w:lineRule="auto"/>
      </w:pPr>
      <w:r>
        <w:rPr>
          <w:rFonts w:eastAsia="inter" w:cs="inter" w:ascii="inter" w:hAnsi="inter"/>
          <w:color w:val="000000"/>
          <w:sz w:val="21"/>
        </w:rPr>
        <w:t xml:space="preserve">PwC and Microsoft jointly state that PwC has </w:t>
      </w:r>
      <w:r>
        <w:rPr>
          <w:rFonts w:eastAsia="inter" w:cs="inter" w:ascii="inter" w:hAnsi="inter"/>
          <w:b/>
          <w:color w:val="000000"/>
          <w:sz w:val="21"/>
        </w:rPr>
        <w:t xml:space="preserve">one of the largest implementations of Azure OpenAI in the world</w:t>
      </w:r>
      <w:r>
        <w:rPr>
          <w:rFonts w:eastAsia="inter" w:cs="inter" w:ascii="inter" w:hAnsi="inter"/>
          <w:color w:val="000000"/>
          <w:sz w:val="21"/>
        </w:rPr>
        <w:t xml:space="preserve">, and that PwC’s </w:t>
      </w:r>
      <w:r>
        <w:rPr>
          <w:rFonts w:eastAsia="inter" w:cs="inter" w:ascii="inter" w:hAnsi="inter"/>
          <w:b/>
          <w:color w:val="000000"/>
          <w:sz w:val="21"/>
        </w:rPr>
        <w:t xml:space="preserve">AI factory operating model</w:t>
      </w:r>
      <w:r>
        <w:rPr>
          <w:rFonts w:eastAsia="inter" w:cs="inter" w:ascii="inter" w:hAnsi="inter"/>
          <w:color w:val="000000"/>
          <w:sz w:val="21"/>
        </w:rPr>
        <w:t xml:space="preserve"> is built to drive rapid scale and ROI on top of Azure OpenAI.</w:t>
      </w:r>
      <w:bookmarkStart w:id="84" w:name="fnref19_1"/>
      <w:bookmarkEnd w:id="84"/>
      <w:hyperlink w:anchor="fn19">
        <w:r>
          <w:rPr>
            <w:rFonts w:eastAsia="inter" w:cs="inter" w:ascii="inter" w:hAnsi="inter"/>
            <w:color w:val="#000"/>
            <w:sz w:val="21"/>
            <w:u w:val="single"/>
            <w:vertAlign w:val="superscript"/>
          </w:rPr>
          <w:t xml:space="preserve">[19]</w:t>
        </w:r>
      </w:hyperlink>
    </w:p>
    <w:p>
      <w:pPr>
        <w:numPr>
          <w:ilvl w:val="0"/>
          <w:numId w:val="13"/>
        </w:numPr>
        <w:spacing w:line="360" w:before="105" w:after="105" w:lineRule="auto"/>
      </w:pPr>
      <w:r>
        <w:rPr>
          <w:rFonts w:eastAsia="inter" w:cs="inter" w:ascii="inter" w:hAnsi="inter"/>
          <w:color w:val="000000"/>
          <w:sz w:val="21"/>
        </w:rPr>
        <w:t xml:space="preserve">For financial services, PwC and Microsoft market end‑to‑end Azure‑based solutions—using Azure OpenAI, Microsoft Cloud for Financial Services and Microsoft Copilot—to modernize customer interactions, automate back‑office processes, and enhance risk and fraud management.</w:t>
      </w:r>
      <w:bookmarkStart w:id="85" w:name="fnref33"/>
      <w:bookmarkEnd w:id="85"/>
      <w:hyperlink w:anchor="fn33">
        <w:r>
          <w:rPr>
            <w:rFonts w:eastAsia="inter" w:cs="inter" w:ascii="inter" w:hAnsi="inter"/>
            <w:color w:val="#000"/>
            <w:sz w:val="21"/>
            <w:u w:val="single"/>
            <w:vertAlign w:val="superscript"/>
          </w:rPr>
          <w:t xml:space="preserve">[33]</w:t>
        </w:r>
      </w:hyperlink>
      <w:bookmarkStart w:id="86" w:name="fnref34"/>
      <w:bookmarkEnd w:id="86"/>
      <w:hyperlink w:anchor="fn34">
        <w:r>
          <w:rPr>
            <w:rFonts w:eastAsia="inter" w:cs="inter" w:ascii="inter" w:hAnsi="inter"/>
            <w:color w:val="#000"/>
            <w:sz w:val="21"/>
            <w:u w:val="single"/>
            <w:vertAlign w:val="superscript"/>
          </w:rPr>
          <w:t xml:space="preserve">[34]</w:t>
        </w:r>
      </w:hyperlink>
    </w:p>
    <w:p>
      <w:pPr>
        <w:spacing w:line="360" w:after="210" w:lineRule="auto"/>
      </w:pPr>
      <w:r>
        <w:rPr>
          <w:rFonts w:eastAsia="inter" w:cs="inter" w:ascii="inter" w:hAnsi="inter"/>
          <w:color w:val="000000"/>
        </w:rPr>
        <w:t xml:space="preserve">This stack is particularly relevant in Israel, where:</w:t>
      </w:r>
    </w:p>
    <w:p>
      <w:pPr>
        <w:numPr>
          <w:ilvl w:val="0"/>
          <w:numId w:val="14"/>
        </w:numPr>
        <w:spacing w:line="360" w:before="105" w:after="105" w:lineRule="auto"/>
      </w:pPr>
      <w:r>
        <w:rPr>
          <w:rFonts w:eastAsia="inter" w:cs="inter" w:ascii="inter" w:hAnsi="inter"/>
          <w:color w:val="000000"/>
          <w:sz w:val="21"/>
        </w:rPr>
        <w:t xml:space="preserve">Many large banks and insurers are heavily embedded in Microsoft ecosystems.</w:t>
      </w:r>
    </w:p>
    <w:p>
      <w:pPr>
        <w:numPr>
          <w:ilvl w:val="0"/>
          <w:numId w:val="14"/>
        </w:numPr>
        <w:spacing w:line="360" w:before="105" w:after="105" w:lineRule="auto"/>
      </w:pPr>
      <w:r>
        <w:rPr>
          <w:rFonts w:eastAsia="inter" w:cs="inter" w:ascii="inter" w:hAnsi="inter"/>
          <w:color w:val="000000"/>
          <w:sz w:val="21"/>
        </w:rPr>
        <w:t xml:space="preserve">PwC Israel’s </w:t>
      </w:r>
      <w:r>
        <w:rPr>
          <w:rFonts w:eastAsia="inter" w:cs="inter" w:ascii="inter" w:hAnsi="inter"/>
          <w:b/>
          <w:color w:val="000000"/>
          <w:sz w:val="21"/>
        </w:rPr>
        <w:t xml:space="preserve">Banking &amp; Capital Markets</w:t>
      </w:r>
      <w:r>
        <w:rPr>
          <w:rFonts w:eastAsia="inter" w:cs="inter" w:ascii="inter" w:hAnsi="inter"/>
          <w:color w:val="000000"/>
          <w:sz w:val="21"/>
        </w:rPr>
        <w:t xml:space="preserve"> practice is already a leading advisor to Israeli banks, with explicit alignment to PwC’s global banking expertise.</w:t>
      </w:r>
      <w:bookmarkStart w:id="87" w:name="fnref35"/>
      <w:bookmarkEnd w:id="87"/>
      <w:hyperlink w:anchor="fn35">
        <w:r>
          <w:rPr>
            <w:rFonts w:eastAsia="inter" w:cs="inter" w:ascii="inter" w:hAnsi="inter"/>
            <w:color w:val="#000"/>
            <w:sz w:val="21"/>
            <w:u w:val="single"/>
            <w:vertAlign w:val="superscript"/>
          </w:rPr>
          <w:t xml:space="preserve">[35]</w:t>
        </w:r>
      </w:hyperlink>
    </w:p>
    <w:p>
      <w:pPr>
        <w:numPr>
          <w:ilvl w:val="0"/>
          <w:numId w:val="14"/>
        </w:numPr>
        <w:spacing w:line="360" w:before="105" w:after="105" w:lineRule="auto"/>
      </w:pPr>
      <w:r>
        <w:rPr>
          <w:rFonts w:eastAsia="inter" w:cs="inter" w:ascii="inter" w:hAnsi="inter"/>
          <w:color w:val="000000"/>
          <w:sz w:val="21"/>
        </w:rPr>
        <w:t xml:space="preserve">PwC NEXT markets </w:t>
      </w:r>
      <w:r>
        <w:rPr>
          <w:rFonts w:eastAsia="inter" w:cs="inter" w:ascii="inter" w:hAnsi="inter"/>
          <w:b/>
          <w:color w:val="000000"/>
          <w:sz w:val="21"/>
        </w:rPr>
        <w:t xml:space="preserve">Microsoft 365 security assessments</w:t>
      </w:r>
      <w:r>
        <w:rPr>
          <w:rFonts w:eastAsia="inter" w:cs="inter" w:ascii="inter" w:hAnsi="inter"/>
          <w:color w:val="000000"/>
          <w:sz w:val="21"/>
        </w:rPr>
        <w:t xml:space="preserve"> and cloud‑security offerings, demonstrating familiarity with Microsoft environments on the ground.</w:t>
      </w:r>
      <w:bookmarkStart w:id="88" w:name="fnref2_5"/>
      <w:bookmarkEnd w:id="88"/>
      <w:hyperlink w:anchor="fn2">
        <w:r>
          <w:rPr>
            <w:rFonts w:eastAsia="inter" w:cs="inter" w:ascii="inter" w:hAnsi="inter"/>
            <w:color w:val="#000"/>
            <w:sz w:val="21"/>
            <w:u w:val="single"/>
            <w:vertAlign w:val="superscript"/>
          </w:rPr>
          <w:t xml:space="preserve">[2]</w:t>
        </w:r>
      </w:hyperlink>
    </w:p>
    <w:p>
      <w:pPr>
        <w:spacing w:line="360" w:after="210" w:lineRule="auto"/>
      </w:pPr>
      <w:r>
        <w:rPr>
          <w:rFonts w:eastAsia="inter" w:cs="inter" w:ascii="inter" w:hAnsi="inter"/>
          <w:color w:val="000000"/>
        </w:rPr>
        <w:t xml:space="preserve">In effect, </w:t>
      </w:r>
      <w:r>
        <w:rPr>
          <w:rFonts w:eastAsia="inter" w:cs="inter" w:ascii="inter" w:hAnsi="inter"/>
          <w:b/>
          <w:color w:val="000000"/>
        </w:rPr>
        <w:t xml:space="preserve">PwC Israel can offer Israeli financial and legal institutions</w:t>
      </w:r>
      <w:r>
        <w:rPr>
          <w:rFonts w:eastAsia="inter" w:cs="inter" w:ascii="inter" w:hAnsi="inter"/>
          <w:color w:val="000000"/>
        </w:rPr>
        <w:t xml:space="preserve">:</w:t>
      </w:r>
    </w:p>
    <w:p>
      <w:pPr>
        <w:numPr>
          <w:ilvl w:val="0"/>
          <w:numId w:val="15"/>
        </w:numPr>
        <w:spacing w:line="360" w:before="105" w:after="105" w:lineRule="auto"/>
      </w:pPr>
      <w:r>
        <w:rPr>
          <w:rFonts w:eastAsia="inter" w:cs="inter" w:ascii="inter" w:hAnsi="inter"/>
          <w:b/>
          <w:color w:val="000000"/>
          <w:sz w:val="21"/>
        </w:rPr>
        <w:t xml:space="preserve">Preferred‑partner access to OpenAI models and ChatGPT Enterprise</w:t>
      </w:r>
      <w:r>
        <w:rPr>
          <w:rFonts w:eastAsia="inter" w:cs="inter" w:ascii="inter" w:hAnsi="inter"/>
          <w:color w:val="000000"/>
          <w:sz w:val="21"/>
        </w:rPr>
        <w:t xml:space="preserve">, via the global and regional alliances.</w:t>
      </w:r>
    </w:p>
    <w:p>
      <w:pPr>
        <w:numPr>
          <w:ilvl w:val="0"/>
          <w:numId w:val="15"/>
        </w:numPr>
        <w:spacing w:line="360" w:before="105" w:after="105" w:lineRule="auto"/>
      </w:pPr>
      <w:r>
        <w:rPr>
          <w:rFonts w:eastAsia="inter" w:cs="inter" w:ascii="inter" w:hAnsi="inter"/>
          <w:b/>
          <w:color w:val="000000"/>
          <w:sz w:val="21"/>
        </w:rPr>
        <w:t xml:space="preserve">Deep Microsoft Azure AI integration</w:t>
      </w:r>
      <w:r>
        <w:rPr>
          <w:rFonts w:eastAsia="inter" w:cs="inter" w:ascii="inter" w:hAnsi="inter"/>
          <w:color w:val="000000"/>
          <w:sz w:val="21"/>
        </w:rPr>
        <w:t xml:space="preserve">, leveraging PwC’s global Azure OpenAI experience and AI factory tools.</w:t>
      </w:r>
    </w:p>
    <w:p>
      <w:pPr>
        <w:spacing w:line="360" w:after="210" w:lineRule="auto"/>
      </w:pPr>
      <w:r>
        <w:rPr>
          <w:rFonts w:eastAsia="inter" w:cs="inter" w:ascii="inter" w:hAnsi="inter"/>
          <w:color w:val="000000"/>
        </w:rPr>
        <w:t xml:space="preserve">This combination puts them </w:t>
      </w:r>
      <w:r>
        <w:rPr>
          <w:rFonts w:eastAsia="inter" w:cs="inter" w:ascii="inter" w:hAnsi="inter"/>
          <w:b/>
          <w:color w:val="000000"/>
        </w:rPr>
        <w:t xml:space="preserve">ahead of generic local integrators</w:t>
      </w:r>
      <w:r>
        <w:rPr>
          <w:rFonts w:eastAsia="inter" w:cs="inter" w:ascii="inter" w:hAnsi="inter"/>
          <w:color w:val="000000"/>
        </w:rPr>
        <w:t xml:space="preserve"> that may consume the same APIs but lack:</w:t>
      </w:r>
    </w:p>
    <w:p>
      <w:pPr>
        <w:numPr>
          <w:ilvl w:val="0"/>
          <w:numId w:val="16"/>
        </w:numPr>
        <w:spacing w:line="360" w:before="105" w:after="105" w:lineRule="auto"/>
      </w:pPr>
      <w:r>
        <w:rPr>
          <w:rFonts w:eastAsia="inter" w:cs="inter" w:ascii="inter" w:hAnsi="inter"/>
          <w:color w:val="000000"/>
          <w:sz w:val="21"/>
        </w:rPr>
        <w:t xml:space="preserve">Insider knowledge from being OpenAI’s largest enterprise customer.</w:t>
      </w:r>
    </w:p>
    <w:p>
      <w:pPr>
        <w:numPr>
          <w:ilvl w:val="0"/>
          <w:numId w:val="16"/>
        </w:numPr>
        <w:spacing w:line="360" w:before="105" w:after="105" w:lineRule="auto"/>
      </w:pPr>
      <w:r>
        <w:rPr>
          <w:rFonts w:eastAsia="inter" w:cs="inter" w:ascii="inter" w:hAnsi="inter"/>
          <w:color w:val="000000"/>
          <w:sz w:val="21"/>
        </w:rPr>
        <w:t xml:space="preserve">Proven governance and risk frameworks tuned to Microsoft + OpenAI stacks.</w:t>
      </w:r>
      <w:bookmarkStart w:id="89" w:name="fnref36"/>
      <w:bookmarkEnd w:id="89"/>
      <w:hyperlink w:anchor="fn36">
        <w:r>
          <w:rPr>
            <w:rFonts w:eastAsia="inter" w:cs="inter" w:ascii="inter" w:hAnsi="inter"/>
            <w:color w:val="#000"/>
            <w:sz w:val="21"/>
            <w:u w:val="single"/>
            <w:vertAlign w:val="superscript"/>
          </w:rPr>
          <w:t xml:space="preserve">[36]</w:t>
        </w:r>
      </w:hyperlink>
      <w:bookmarkStart w:id="90" w:name="fnref27_1"/>
      <w:bookmarkEnd w:id="90"/>
      <w:hyperlink w:anchor="fn27">
        <w:r>
          <w:rPr>
            <w:rFonts w:eastAsia="inter" w:cs="inter" w:ascii="inter" w:hAnsi="inter"/>
            <w:color w:val="#000"/>
            <w:sz w:val="21"/>
            <w:u w:val="single"/>
            <w:vertAlign w:val="superscript"/>
          </w:rPr>
          <w:t xml:space="preserve">[27]</w:t>
        </w:r>
      </w:hyperlink>
      <w:bookmarkStart w:id="91" w:name="fnref19_2"/>
      <w:bookmarkEnd w:id="91"/>
      <w:hyperlink w:anchor="fn19">
        <w:r>
          <w:rPr>
            <w:rFonts w:eastAsia="inter" w:cs="inter" w:ascii="inter" w:hAnsi="inter"/>
            <w:color w:val="#000"/>
            <w:sz w:val="21"/>
            <w:u w:val="single"/>
            <w:vertAlign w:val="superscript"/>
          </w:rPr>
          <w:t xml:space="preserve">[19]</w:t>
        </w:r>
      </w:hyperlink>
    </w:p>
    <w:p>
      <w:pPr>
        <w:spacing w:line="360" w:before="315" w:after="105" w:lineRule="auto"/>
        <w:ind w:left="-30"/>
        <w:jc w:val="left"/>
      </w:pPr>
      <w:bookmarkStart w:id="92" w:name="bm_4_3_legal_genai_and_knowledge_242061"/>
      <w:r>
        <w:rPr>
          <w:rFonts w:eastAsia="inter" w:cs="inter" w:ascii="inter" w:hAnsi="inter"/>
          <w:b/>
          <w:color w:val="000000"/>
          <w:sz w:val="24"/>
        </w:rPr>
        <w:t xml:space="preserve">4.3 Legal GenAI and knowledge‑work verticals</w:t>
      </w:r>
      <w:bookmarkEnd w:id="92"/>
    </w:p>
    <w:p>
      <w:pPr>
        <w:spacing w:line="360" w:after="210" w:lineRule="auto"/>
      </w:pPr>
      <w:r>
        <w:rPr>
          <w:rFonts w:eastAsia="inter" w:cs="inter" w:ascii="inter" w:hAnsi="inter"/>
          <w:color w:val="000000"/>
        </w:rPr>
        <w:t xml:space="preserve">PwC Middle East also launched the region’s </w:t>
      </w:r>
      <w:r>
        <w:rPr>
          <w:rFonts w:eastAsia="inter" w:cs="inter" w:ascii="inter" w:hAnsi="inter"/>
          <w:b/>
          <w:color w:val="000000"/>
        </w:rPr>
        <w:t xml:space="preserve">first Legal GenAI offering</w:t>
      </w:r>
      <w:r>
        <w:rPr>
          <w:rFonts w:eastAsia="inter" w:cs="inter" w:ascii="inter" w:hAnsi="inter"/>
          <w:color w:val="000000"/>
        </w:rPr>
        <w:t xml:space="preserve">, building domain‑specific models and workflows for in‑house legal teams—from concept through implementation. Combined with PwC’s partnership with legal‑AI vendor </w:t>
      </w:r>
      <w:r>
        <w:rPr>
          <w:rFonts w:eastAsia="inter" w:cs="inter" w:ascii="inter" w:hAnsi="inter"/>
          <w:b/>
          <w:color w:val="000000"/>
        </w:rPr>
        <w:t xml:space="preserve">Harvey</w:t>
      </w:r>
      <w:r>
        <w:rPr>
          <w:rFonts w:eastAsia="inter" w:cs="inter" w:ascii="inter" w:hAnsi="inter"/>
          <w:color w:val="000000"/>
        </w:rPr>
        <w:t xml:space="preserve">, this positions PwC as a top‑tier integrator in </w:t>
      </w:r>
      <w:r>
        <w:rPr>
          <w:rFonts w:eastAsia="inter" w:cs="inter" w:ascii="inter" w:hAnsi="inter"/>
          <w:b/>
          <w:color w:val="000000"/>
        </w:rPr>
        <w:t xml:space="preserve">legal and tax GenAI</w:t>
      </w:r>
      <w:r>
        <w:rPr>
          <w:rFonts w:eastAsia="inter" w:cs="inter" w:ascii="inter" w:hAnsi="inter"/>
          <w:color w:val="000000"/>
        </w:rPr>
        <w:t xml:space="preserve">, which Israeli law firms and legal departments can tap through the global network.</w:t>
      </w:r>
      <w:bookmarkStart w:id="93" w:name="fnref37"/>
      <w:bookmarkEnd w:id="93"/>
      <w:hyperlink w:anchor="fn37">
        <w:r>
          <w:rPr>
            <w:rFonts w:eastAsia="inter" w:cs="inter" w:ascii="inter" w:hAnsi="inter"/>
            <w:color w:val="#000"/>
            <w:u w:val="single"/>
            <w:vertAlign w:val="superscript"/>
          </w:rPr>
          <w:t xml:space="preserve">[37]</w:t>
        </w:r>
      </w:hyperlink>
      <w:bookmarkStart w:id="94" w:name="fnref38"/>
      <w:bookmarkEnd w:id="94"/>
      <w:hyperlink w:anchor="fn38">
        <w:r>
          <w:rPr>
            <w:rFonts w:eastAsia="inter" w:cs="inter" w:ascii="inter" w:hAnsi="inter"/>
            <w:color w:val="#000"/>
            <w:u w:val="single"/>
            <w:vertAlign w:val="superscript"/>
          </w:rPr>
          <w:t xml:space="preserve">[38]</w:t>
        </w:r>
      </w:hyperlink>
    </w:p>
    <w:p>
      <w:pPr>
        <w:spacing w:line="360" w:after="210" w:lineRule="auto"/>
      </w:pPr>
      <w:r>
        <w:rPr>
          <w:rFonts w:eastAsia="inter" w:cs="inter" w:ascii="inter" w:hAnsi="inter"/>
          <w:color w:val="000000"/>
        </w:rPr>
        <w:t xml:space="preserve">Given PwC Israel’s visible work with major law firms (Fischer Behar Chen, Lipa Meir &amp; Co., see below), it is reasonable to view PwC as a </w:t>
      </w:r>
      <w:r>
        <w:rPr>
          <w:rFonts w:eastAsia="inter" w:cs="inter" w:ascii="inter" w:hAnsi="inter"/>
          <w:b/>
          <w:color w:val="000000"/>
        </w:rPr>
        <w:t xml:space="preserve">go‑to partner candidate</w:t>
      </w:r>
      <w:r>
        <w:rPr>
          <w:rFonts w:eastAsia="inter" w:cs="inter" w:ascii="inter" w:hAnsi="inter"/>
          <w:color w:val="000000"/>
        </w:rPr>
        <w:t xml:space="preserve"> for ChatGPT‑Enterprise‑based legal transformation in Israel, though not the only option in the market.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5" w:name="bm_5_internal_productivity_the_hu_d4e12a"/>
      <w:r>
        <w:rPr>
          <w:rFonts w:eastAsia="inter" w:cs="inter" w:ascii="inter" w:hAnsi="inter"/>
          <w:b/>
          <w:color w:val="000000"/>
          <w:sz w:val="24"/>
        </w:rPr>
        <w:t xml:space="preserve">5. Internal Productivity &amp; the “Human‑Led, Tech‑Powered” Narrative</w:t>
      </w:r>
      <w:bookmarkEnd w:id="95"/>
    </w:p>
    <w:p>
      <w:pPr>
        <w:spacing w:line="360" w:after="210" w:lineRule="auto"/>
      </w:pPr>
      <w:r>
        <w:rPr>
          <w:rFonts w:eastAsia="inter" w:cs="inter" w:ascii="inter" w:hAnsi="inter"/>
          <w:color w:val="000000"/>
        </w:rPr>
        <w:t xml:space="preserve">PwC frequently uses its own internal AI transformation to sell clients on AI‑enabled productivity. While Israel‑specific quantitative data is not published, there are strong global metrics and explicit references to AI embedding in PwC Israel’s audit and assurance practice.</w:t>
      </w:r>
    </w:p>
    <w:p>
      <w:pPr>
        <w:spacing w:line="360" w:before="315" w:after="105" w:lineRule="auto"/>
        <w:ind w:left="-30"/>
        <w:jc w:val="left"/>
      </w:pPr>
      <w:bookmarkStart w:id="96" w:name="bm_5_1_network_level_productivity_7896ad"/>
      <w:r>
        <w:rPr>
          <w:rFonts w:eastAsia="inter" w:cs="inter" w:ascii="inter" w:hAnsi="inter"/>
          <w:b/>
          <w:color w:val="000000"/>
          <w:sz w:val="24"/>
        </w:rPr>
        <w:t xml:space="preserve">5.1 Network‑level productivity metrics</w:t>
      </w:r>
      <w:bookmarkEnd w:id="96"/>
    </w:p>
    <w:p>
      <w:pPr>
        <w:spacing w:line="360" w:after="210" w:lineRule="auto"/>
      </w:pPr>
      <w:r>
        <w:rPr>
          <w:rFonts w:eastAsia="inter" w:cs="inter" w:ascii="inter" w:hAnsi="inter"/>
          <w:color w:val="000000"/>
        </w:rPr>
        <w:t xml:space="preserve">Notable numbers from PwC’s global AI narrative include:</w:t>
      </w:r>
    </w:p>
    <w:p>
      <w:pPr>
        <w:numPr>
          <w:ilvl w:val="0"/>
          <w:numId w:val="17"/>
        </w:numPr>
        <w:spacing w:line="360" w:before="105" w:after="105" w:lineRule="auto"/>
      </w:pPr>
      <w:r>
        <w:rPr>
          <w:rFonts w:eastAsia="inter" w:cs="inter" w:ascii="inter" w:hAnsi="inter"/>
          <w:b/>
          <w:color w:val="000000"/>
          <w:sz w:val="21"/>
        </w:rPr>
        <w:t xml:space="preserve">AI automation of tax‑notice handling</w:t>
      </w:r>
      <w:r>
        <w:rPr>
          <w:rFonts w:eastAsia="inter" w:cs="inter" w:ascii="inter" w:hAnsi="inter"/>
          <w:color w:val="000000"/>
          <w:sz w:val="21"/>
        </w:rPr>
        <w:t xml:space="preserve">:</w:t>
      </w:r>
    </w:p>
    <w:p>
      <w:pPr>
        <w:numPr>
          <w:ilvl w:val="1"/>
          <w:numId w:val="17"/>
        </w:numPr>
        <w:spacing w:line="360" w:before="105" w:after="105" w:lineRule="auto"/>
      </w:pPr>
      <w:r>
        <w:rPr>
          <w:rFonts w:eastAsia="inter" w:cs="inter" w:ascii="inter" w:hAnsi="inter"/>
          <w:color w:val="000000"/>
          <w:sz w:val="21"/>
        </w:rPr>
        <w:t xml:space="preserve">PwC developed an internal AI solution to read, classify and respond to tax notices, extracting due dates, notice codes, amounts owed and penalties, and auto‑drafting responses.</w:t>
      </w:r>
      <w:bookmarkStart w:id="97" w:name="fnref10_1"/>
      <w:bookmarkEnd w:id="97"/>
      <w:hyperlink w:anchor="fn10">
        <w:r>
          <w:rPr>
            <w:rFonts w:eastAsia="inter" w:cs="inter" w:ascii="inter" w:hAnsi="inter"/>
            <w:color w:val="#000"/>
            <w:sz w:val="21"/>
            <w:u w:val="single"/>
            <w:vertAlign w:val="superscript"/>
          </w:rPr>
          <w:t xml:space="preserve">[10]</w:t>
        </w:r>
      </w:hyperlink>
    </w:p>
    <w:p>
      <w:pPr>
        <w:numPr>
          <w:ilvl w:val="1"/>
          <w:numId w:val="17"/>
        </w:numPr>
        <w:spacing w:line="360" w:before="105" w:after="105" w:lineRule="auto"/>
      </w:pPr>
      <w:r>
        <w:rPr>
          <w:rFonts w:eastAsia="inter" w:cs="inter" w:ascii="inter" w:hAnsi="inter"/>
          <w:color w:val="000000"/>
          <w:sz w:val="21"/>
        </w:rPr>
        <w:t xml:space="preserve">Across a family of automation and extraction tools, PwC reports </w:t>
      </w:r>
      <w:r>
        <w:rPr>
          <w:rFonts w:eastAsia="inter" w:cs="inter" w:ascii="inter" w:hAnsi="inter"/>
          <w:b/>
          <w:color w:val="000000"/>
          <w:sz w:val="21"/>
        </w:rPr>
        <w:t xml:space="preserve">more than 5 million hours saved</w:t>
      </w:r>
      <w:r>
        <w:rPr>
          <w:rFonts w:eastAsia="inter" w:cs="inter" w:ascii="inter" w:hAnsi="inter"/>
          <w:color w:val="000000"/>
          <w:sz w:val="21"/>
        </w:rPr>
        <w:t xml:space="preserve">, equating to a </w:t>
      </w:r>
      <w:r>
        <w:rPr>
          <w:rFonts w:eastAsia="inter" w:cs="inter" w:ascii="inter" w:hAnsi="inter"/>
          <w:b/>
          <w:color w:val="000000"/>
          <w:sz w:val="21"/>
        </w:rPr>
        <w:t xml:space="preserve">16% reduction in time</w:t>
      </w:r>
      <w:r>
        <w:rPr>
          <w:rFonts w:eastAsia="inter" w:cs="inter" w:ascii="inter" w:hAnsi="inter"/>
          <w:color w:val="000000"/>
          <w:sz w:val="21"/>
        </w:rPr>
        <w:t xml:space="preserve"> for these tasks.</w:t>
      </w:r>
      <w:bookmarkStart w:id="98" w:name="fnref10_2"/>
      <w:bookmarkEnd w:id="98"/>
      <w:hyperlink w:anchor="fn10">
        <w:r>
          <w:rPr>
            <w:rFonts w:eastAsia="inter" w:cs="inter" w:ascii="inter" w:hAnsi="inter"/>
            <w:color w:val="#000"/>
            <w:sz w:val="21"/>
            <w:u w:val="single"/>
            <w:vertAlign w:val="superscript"/>
          </w:rPr>
          <w:t xml:space="preserve">[10]</w:t>
        </w:r>
      </w:hyperlink>
    </w:p>
    <w:p>
      <w:pPr>
        <w:numPr>
          <w:ilvl w:val="0"/>
          <w:numId w:val="17"/>
        </w:numPr>
        <w:spacing w:line="360" w:before="105" w:after="105" w:lineRule="auto"/>
      </w:pPr>
      <w:r>
        <w:rPr>
          <w:rFonts w:eastAsia="inter" w:cs="inter" w:ascii="inter" w:hAnsi="inter"/>
          <w:b/>
          <w:color w:val="000000"/>
          <w:sz w:val="21"/>
        </w:rPr>
        <w:t xml:space="preserve">Document processing productivity</w:t>
      </w:r>
      <w:r>
        <w:rPr>
          <w:rFonts w:eastAsia="inter" w:cs="inter" w:ascii="inter" w:hAnsi="inter"/>
          <w:color w:val="000000"/>
          <w:sz w:val="21"/>
        </w:rPr>
        <w:t xml:space="preserve">:</w:t>
      </w:r>
    </w:p>
    <w:p>
      <w:pPr>
        <w:numPr>
          <w:ilvl w:val="1"/>
          <w:numId w:val="17"/>
        </w:numPr>
        <w:spacing w:line="360" w:before="105" w:after="105" w:lineRule="auto"/>
      </w:pPr>
      <w:r>
        <w:rPr>
          <w:rFonts w:eastAsia="inter" w:cs="inter" w:ascii="inter" w:hAnsi="inter"/>
          <w:color w:val="000000"/>
          <w:sz w:val="21"/>
        </w:rPr>
        <w:t xml:space="preserve">PwC’s AI‑based information‑extraction tools can reduce manual hours for routine paperwork by </w:t>
      </w:r>
      <w:r>
        <w:rPr>
          <w:rFonts w:eastAsia="inter" w:cs="inter" w:ascii="inter" w:hAnsi="inter"/>
          <w:b/>
          <w:color w:val="000000"/>
          <w:sz w:val="21"/>
        </w:rPr>
        <w:t xml:space="preserve">~40%</w:t>
      </w:r>
      <w:r>
        <w:rPr>
          <w:rFonts w:eastAsia="inter" w:cs="inter" w:ascii="inter" w:hAnsi="inter"/>
          <w:color w:val="000000"/>
          <w:sz w:val="21"/>
        </w:rPr>
        <w:t xml:space="preserve">, saving </w:t>
      </w:r>
      <w:r>
        <w:rPr>
          <w:rFonts w:eastAsia="inter" w:cs="inter" w:ascii="inter" w:hAnsi="inter"/>
          <w:b/>
          <w:color w:val="000000"/>
          <w:sz w:val="21"/>
        </w:rPr>
        <w:t xml:space="preserve">2,000 hours per 100,000 pages processed</w:t>
      </w:r>
      <w:r>
        <w:rPr>
          <w:rFonts w:eastAsia="inter" w:cs="inter" w:ascii="inter" w:hAnsi="inter"/>
          <w:color w:val="000000"/>
          <w:sz w:val="21"/>
        </w:rPr>
        <w:t xml:space="preserve"> in a typical mid‑sized company scenario.</w:t>
      </w:r>
      <w:bookmarkStart w:id="99" w:name="fnref10_3"/>
      <w:bookmarkEnd w:id="99"/>
      <w:hyperlink w:anchor="fn10">
        <w:r>
          <w:rPr>
            <w:rFonts w:eastAsia="inter" w:cs="inter" w:ascii="inter" w:hAnsi="inter"/>
            <w:color w:val="#000"/>
            <w:sz w:val="21"/>
            <w:u w:val="single"/>
            <w:vertAlign w:val="superscript"/>
          </w:rPr>
          <w:t xml:space="preserve">[10]</w:t>
        </w:r>
      </w:hyperlink>
    </w:p>
    <w:p>
      <w:pPr>
        <w:numPr>
          <w:ilvl w:val="0"/>
          <w:numId w:val="17"/>
        </w:numPr>
        <w:spacing w:line="360" w:before="105" w:after="105" w:lineRule="auto"/>
      </w:pPr>
      <w:r>
        <w:rPr>
          <w:rFonts w:eastAsia="inter" w:cs="inter" w:ascii="inter" w:hAnsi="inter"/>
          <w:b/>
          <w:color w:val="000000"/>
          <w:sz w:val="21"/>
        </w:rPr>
        <w:t xml:space="preserve">GenAI learning events (“prompting parties”)</w:t>
      </w:r>
      <w:r>
        <w:rPr>
          <w:rFonts w:eastAsia="inter" w:cs="inter" w:ascii="inter" w:hAnsi="inter"/>
          <w:color w:val="000000"/>
          <w:sz w:val="21"/>
        </w:rPr>
        <w:t xml:space="preserve">:</w:t>
      </w:r>
    </w:p>
    <w:p>
      <w:pPr>
        <w:numPr>
          <w:ilvl w:val="1"/>
          <w:numId w:val="17"/>
        </w:numPr>
        <w:spacing w:line="360" w:before="105" w:after="105" w:lineRule="auto"/>
      </w:pPr>
      <w:r>
        <w:rPr>
          <w:rFonts w:eastAsia="inter" w:cs="inter" w:ascii="inter" w:hAnsi="inter"/>
          <w:color w:val="000000"/>
          <w:sz w:val="21"/>
        </w:rPr>
        <w:t xml:space="preserve">PwC’s Chief Learning Officer reports that employees who engaged in GenAI “prompting parties” using </w:t>
      </w:r>
      <w:r>
        <w:rPr>
          <w:rFonts w:eastAsia="inter" w:cs="inter" w:ascii="inter" w:hAnsi="inter"/>
          <w:b/>
          <w:color w:val="000000"/>
          <w:sz w:val="21"/>
        </w:rPr>
        <w:t xml:space="preserve">ChatPwC and Microsoft Copilot</w:t>
      </w:r>
      <w:r>
        <w:rPr>
          <w:rFonts w:eastAsia="inter" w:cs="inter" w:ascii="inter" w:hAnsi="inter"/>
          <w:color w:val="000000"/>
          <w:sz w:val="21"/>
        </w:rPr>
        <w:t xml:space="preserve"> experienced </w:t>
      </w:r>
      <w:r>
        <w:rPr>
          <w:rFonts w:eastAsia="inter" w:cs="inter" w:ascii="inter" w:hAnsi="inter"/>
          <w:b/>
          <w:color w:val="000000"/>
          <w:sz w:val="21"/>
        </w:rPr>
        <w:t xml:space="preserve">20–30% efficiency gains</w:t>
      </w:r>
      <w:r>
        <w:rPr>
          <w:rFonts w:eastAsia="inter" w:cs="inter" w:ascii="inter" w:hAnsi="inter"/>
          <w:color w:val="000000"/>
          <w:sz w:val="21"/>
        </w:rPr>
        <w:t xml:space="preserve"> once they learned to integrate GenAI into their daily workflows.</w:t>
      </w:r>
      <w:bookmarkStart w:id="100" w:name="fnref11_1"/>
      <w:bookmarkEnd w:id="100"/>
      <w:hyperlink w:anchor="fn11">
        <w:r>
          <w:rPr>
            <w:rFonts w:eastAsia="inter" w:cs="inter" w:ascii="inter" w:hAnsi="inter"/>
            <w:color w:val="#000"/>
            <w:sz w:val="21"/>
            <w:u w:val="single"/>
            <w:vertAlign w:val="superscript"/>
          </w:rPr>
          <w:t xml:space="preserve">[11]</w:t>
        </w:r>
      </w:hyperlink>
    </w:p>
    <w:p>
      <w:pPr>
        <w:numPr>
          <w:ilvl w:val="0"/>
          <w:numId w:val="17"/>
        </w:numPr>
        <w:spacing w:line="360" w:before="105" w:after="105" w:lineRule="auto"/>
      </w:pPr>
      <w:r>
        <w:rPr>
          <w:rFonts w:eastAsia="inter" w:cs="inter" w:ascii="inter" w:hAnsi="inter"/>
          <w:b/>
          <w:color w:val="000000"/>
          <w:sz w:val="21"/>
        </w:rPr>
        <w:t xml:space="preserve">Government AI pilots (PwC consulting)</w:t>
      </w:r>
      <w:r>
        <w:rPr>
          <w:rFonts w:eastAsia="inter" w:cs="inter" w:ascii="inter" w:hAnsi="inter"/>
          <w:color w:val="000000"/>
          <w:sz w:val="21"/>
        </w:rPr>
        <w:t xml:space="preserve">:</w:t>
      </w:r>
    </w:p>
    <w:p>
      <w:pPr>
        <w:numPr>
          <w:ilvl w:val="1"/>
          <w:numId w:val="17"/>
        </w:numPr>
        <w:spacing w:line="360" w:before="105" w:after="105" w:lineRule="auto"/>
      </w:pPr>
      <w:r>
        <w:rPr>
          <w:rFonts w:eastAsia="inter" w:cs="inter" w:ascii="inter" w:hAnsi="inter"/>
          <w:color w:val="000000"/>
          <w:sz w:val="21"/>
        </w:rPr>
        <w:t xml:space="preserve">In public‑sector pilots, 97% of users reported time savings, averaging </w:t>
      </w:r>
      <w:r>
        <w:rPr>
          <w:rFonts w:eastAsia="inter" w:cs="inter" w:ascii="inter" w:hAnsi="inter"/>
          <w:b/>
          <w:color w:val="000000"/>
          <w:sz w:val="21"/>
        </w:rPr>
        <w:t xml:space="preserve">3.25 hours per week</w:t>
      </w:r>
      <w:r>
        <w:rPr>
          <w:rFonts w:eastAsia="inter" w:cs="inter" w:ascii="inter" w:hAnsi="inter"/>
          <w:color w:val="000000"/>
          <w:sz w:val="21"/>
        </w:rPr>
        <w:t xml:space="preserve"> saved by using AI tools for routine knowledge tasks, while improving work quality.</w:t>
      </w:r>
      <w:bookmarkStart w:id="101" w:name="fnref39"/>
      <w:bookmarkEnd w:id="101"/>
      <w:hyperlink w:anchor="fn39">
        <w:r>
          <w:rPr>
            <w:rFonts w:eastAsia="inter" w:cs="inter" w:ascii="inter" w:hAnsi="inter"/>
            <w:color w:val="#000"/>
            <w:sz w:val="21"/>
            <w:u w:val="single"/>
            <w:vertAlign w:val="superscript"/>
          </w:rPr>
          <w:t xml:space="preserve">[39]</w:t>
        </w:r>
      </w:hyperlink>
    </w:p>
    <w:p>
      <w:pPr>
        <w:spacing w:line="360" w:after="210" w:lineRule="auto"/>
      </w:pPr>
      <w:r>
        <w:rPr>
          <w:rFonts w:eastAsia="inter" w:cs="inter" w:ascii="inter" w:hAnsi="inter"/>
          <w:color w:val="000000"/>
        </w:rPr>
        <w:t xml:space="preserve">These are </w:t>
      </w:r>
      <w:r>
        <w:rPr>
          <w:rFonts w:eastAsia="inter" w:cs="inter" w:ascii="inter" w:hAnsi="inter"/>
          <w:i/>
          <w:color w:val="000000"/>
        </w:rPr>
        <w:t xml:space="preserve">global</w:t>
      </w:r>
      <w:r>
        <w:rPr>
          <w:rFonts w:eastAsia="inter" w:cs="inter" w:ascii="inter" w:hAnsi="inter"/>
          <w:color w:val="000000"/>
        </w:rPr>
        <w:t xml:space="preserve"> data points, but they form the backbone of the </w:t>
      </w:r>
      <w:r>
        <w:rPr>
          <w:rFonts w:eastAsia="inter" w:cs="inter" w:ascii="inter" w:hAnsi="inter"/>
          <w:b/>
          <w:color w:val="000000"/>
        </w:rPr>
        <w:t xml:space="preserve">“we used this internally, we can help you do the same”</w:t>
      </w:r>
      <w:r>
        <w:rPr>
          <w:rFonts w:eastAsia="inter" w:cs="inter" w:ascii="inter" w:hAnsi="inter"/>
          <w:color w:val="000000"/>
        </w:rPr>
        <w:t xml:space="preserve"> story that PwC Israel leverages with local clients.</w:t>
      </w:r>
    </w:p>
    <w:p>
      <w:pPr>
        <w:spacing w:line="360" w:before="315" w:after="105" w:lineRule="auto"/>
        <w:ind w:left="-30"/>
        <w:jc w:val="left"/>
      </w:pPr>
      <w:bookmarkStart w:id="102" w:name="bm_5_2_embedding_ai_in_pwc_israel_97d0a5"/>
      <w:r>
        <w:rPr>
          <w:rFonts w:eastAsia="inter" w:cs="inter" w:ascii="inter" w:hAnsi="inter"/>
          <w:b/>
          <w:color w:val="000000"/>
          <w:sz w:val="24"/>
        </w:rPr>
        <w:t xml:space="preserve">5.2 Embedding AI in PwC Israel’s own services</w:t>
      </w:r>
      <w:bookmarkEnd w:id="102"/>
    </w:p>
    <w:p>
      <w:pPr>
        <w:spacing w:line="360" w:after="210" w:lineRule="auto"/>
      </w:pPr>
      <w:r>
        <w:rPr>
          <w:rFonts w:eastAsia="inter" w:cs="inter" w:ascii="inter" w:hAnsi="inter"/>
          <w:color w:val="000000"/>
        </w:rPr>
        <w:t xml:space="preserve">PwC Israel’s transparency reports indicate that the firm is embedding AI into its own lines of service:</w:t>
      </w:r>
    </w:p>
    <w:p>
      <w:pPr>
        <w:numPr>
          <w:ilvl w:val="0"/>
          <w:numId w:val="18"/>
        </w:numPr>
        <w:spacing w:line="360" w:before="105" w:after="105" w:lineRule="auto"/>
      </w:pPr>
      <w:r>
        <w:rPr>
          <w:rFonts w:eastAsia="inter" w:cs="inter" w:ascii="inter" w:hAnsi="inter"/>
          <w:color w:val="000000"/>
          <w:sz w:val="21"/>
        </w:rPr>
        <w:t xml:space="preserve">The 2023 report references expanding </w:t>
      </w:r>
      <w:r>
        <w:rPr>
          <w:rFonts w:eastAsia="inter" w:cs="inter" w:ascii="inter" w:hAnsi="inter"/>
          <w:b/>
          <w:color w:val="000000"/>
          <w:sz w:val="21"/>
        </w:rPr>
        <w:t xml:space="preserve">“NextGen Assurance capabilities, embedding AI‑driven tools, and strengthening our capacity to monitor”</w:t>
      </w:r>
      <w:r>
        <w:rPr>
          <w:rFonts w:eastAsia="inter" w:cs="inter" w:ascii="inter" w:hAnsi="inter"/>
          <w:color w:val="000000"/>
          <w:sz w:val="21"/>
        </w:rPr>
        <w:t xml:space="preserve"> quality and risks—language consistent with global deployment of AI into audit workflows.</w:t>
      </w:r>
      <w:bookmarkStart w:id="103" w:name="fnref9_1"/>
      <w:bookmarkEnd w:id="103"/>
      <w:hyperlink w:anchor="fn9">
        <w:r>
          <w:rPr>
            <w:rFonts w:eastAsia="inter" w:cs="inter" w:ascii="inter" w:hAnsi="inter"/>
            <w:color w:val="#000"/>
            <w:sz w:val="21"/>
            <w:u w:val="single"/>
            <w:vertAlign w:val="superscript"/>
          </w:rPr>
          <w:t xml:space="preserve">[9]</w:t>
        </w:r>
      </w:hyperlink>
      <w:bookmarkStart w:id="104" w:name="fnref6_2"/>
      <w:bookmarkEnd w:id="104"/>
      <w:hyperlink w:anchor="fn6">
        <w:r>
          <w:rPr>
            <w:rFonts w:eastAsia="inter" w:cs="inter" w:ascii="inter" w:hAnsi="inter"/>
            <w:color w:val="#000"/>
            <w:sz w:val="21"/>
            <w:u w:val="single"/>
            <w:vertAlign w:val="superscript"/>
          </w:rPr>
          <w:t xml:space="preserve">[6]</w:t>
        </w:r>
      </w:hyperlink>
    </w:p>
    <w:p>
      <w:pPr>
        <w:numPr>
          <w:ilvl w:val="0"/>
          <w:numId w:val="18"/>
        </w:numPr>
        <w:spacing w:line="360" w:before="105" w:after="105" w:lineRule="auto"/>
      </w:pPr>
      <w:r>
        <w:rPr>
          <w:rFonts w:eastAsia="inter" w:cs="inter" w:ascii="inter" w:hAnsi="inter"/>
          <w:color w:val="000000"/>
          <w:sz w:val="21"/>
        </w:rPr>
        <w:t xml:space="preserve">Earlier transparency reports tie the Israeli firm explicitly to the global </w:t>
      </w:r>
      <w:r>
        <w:rPr>
          <w:rFonts w:eastAsia="inter" w:cs="inter" w:ascii="inter" w:hAnsi="inter"/>
          <w:b/>
          <w:color w:val="000000"/>
          <w:sz w:val="21"/>
        </w:rPr>
        <w:t xml:space="preserve">US$1bn investment</w:t>
      </w:r>
      <w:r>
        <w:rPr>
          <w:rFonts w:eastAsia="inter" w:cs="inter" w:ascii="inter" w:hAnsi="inter"/>
          <w:color w:val="000000"/>
          <w:sz w:val="21"/>
        </w:rPr>
        <w:t xml:space="preserve"> in a </w:t>
      </w:r>
      <w:r>
        <w:rPr>
          <w:rFonts w:eastAsia="inter" w:cs="inter" w:ascii="inter" w:hAnsi="inter"/>
          <w:b/>
          <w:color w:val="000000"/>
          <w:sz w:val="21"/>
        </w:rPr>
        <w:t xml:space="preserve">“human‑led, tech‑powered and data‑driven”</w:t>
      </w:r>
      <w:r>
        <w:rPr>
          <w:rFonts w:eastAsia="inter" w:cs="inter" w:ascii="inter" w:hAnsi="inter"/>
          <w:color w:val="000000"/>
          <w:sz w:val="21"/>
        </w:rPr>
        <w:t xml:space="preserve"> audit ecosystem.</w:t>
      </w:r>
      <w:bookmarkStart w:id="105" w:name="fnref25_2"/>
      <w:bookmarkEnd w:id="105"/>
      <w:hyperlink w:anchor="fn25">
        <w:r>
          <w:rPr>
            <w:rFonts w:eastAsia="inter" w:cs="inter" w:ascii="inter" w:hAnsi="inter"/>
            <w:color w:val="#000"/>
            <w:sz w:val="21"/>
            <w:u w:val="single"/>
            <w:vertAlign w:val="superscript"/>
          </w:rPr>
          <w:t xml:space="preserve">[25]</w:t>
        </w:r>
      </w:hyperlink>
    </w:p>
    <w:p>
      <w:pPr>
        <w:spacing w:line="360" w:after="210" w:lineRule="auto"/>
      </w:pPr>
      <w:r>
        <w:rPr>
          <w:rFonts w:eastAsia="inter" w:cs="inter" w:ascii="inter" w:hAnsi="inter"/>
          <w:color w:val="000000"/>
        </w:rPr>
        <w:t xml:space="preserve">In practice, this means that </w:t>
      </w:r>
      <w:r>
        <w:rPr>
          <w:rFonts w:eastAsia="inter" w:cs="inter" w:ascii="inter" w:hAnsi="inter"/>
          <w:b/>
          <w:color w:val="000000"/>
        </w:rPr>
        <w:t xml:space="preserve">Israeli clients are already experiencing PwC’s AI internally</w:t>
      </w:r>
      <w:r>
        <w:rPr>
          <w:rFonts w:eastAsia="inter" w:cs="inter" w:ascii="inter" w:hAnsi="inter"/>
          <w:color w:val="000000"/>
        </w:rPr>
        <w:t xml:space="preserve"> when they are audited or advised:</w:t>
      </w:r>
    </w:p>
    <w:p>
      <w:pPr>
        <w:numPr>
          <w:ilvl w:val="0"/>
          <w:numId w:val="19"/>
        </w:numPr>
        <w:spacing w:line="360" w:before="105" w:after="105" w:lineRule="auto"/>
      </w:pPr>
      <w:r>
        <w:rPr>
          <w:rFonts w:eastAsia="inter" w:cs="inter" w:ascii="inter" w:hAnsi="inter"/>
          <w:color w:val="000000"/>
          <w:sz w:val="21"/>
        </w:rPr>
        <w:t xml:space="preserve">Use of AI for anomaly detection in GL and cash transactions (</w:t>
      </w:r>
      <w:hyperlink r:id="rId6">
        <w:r>
          <w:rPr>
            <w:rFonts w:eastAsia="inter" w:cs="inter" w:ascii="inter" w:hAnsi="inter"/>
            <w:color w:val="#000"/>
            <w:sz w:val="21"/>
            <w:u w:val="single"/>
          </w:rPr>
          <w:t xml:space="preserve">GL.ai</w:t>
        </w:r>
      </w:hyperlink>
      <w:r>
        <w:rPr>
          <w:rFonts w:eastAsia="inter" w:cs="inter" w:ascii="inter" w:hAnsi="inter"/>
          <w:color w:val="000000"/>
          <w:sz w:val="21"/>
        </w:rPr>
        <w:t xml:space="preserve">, </w:t>
      </w:r>
      <w:hyperlink r:id="rId7">
        <w:r>
          <w:rPr>
            <w:rFonts w:eastAsia="inter" w:cs="inter" w:ascii="inter" w:hAnsi="inter"/>
            <w:color w:val="#000"/>
            <w:sz w:val="21"/>
            <w:u w:val="single"/>
          </w:rPr>
          <w:t xml:space="preserve">Cash.ai</w:t>
        </w:r>
      </w:hyperlink>
      <w:r>
        <w:rPr>
          <w:rFonts w:eastAsia="inter" w:cs="inter" w:ascii="inter" w:hAnsi="inter"/>
          <w:color w:val="000000"/>
          <w:sz w:val="21"/>
        </w:rPr>
        <w:t xml:space="preserve">) as part of audit delivery.</w:t>
      </w:r>
      <w:bookmarkStart w:id="106" w:name="fnref26_1"/>
      <w:bookmarkEnd w:id="106"/>
      <w:hyperlink w:anchor="fn26">
        <w:r>
          <w:rPr>
            <w:rFonts w:eastAsia="inter" w:cs="inter" w:ascii="inter" w:hAnsi="inter"/>
            <w:color w:val="#000"/>
            <w:sz w:val="21"/>
            <w:u w:val="single"/>
            <w:vertAlign w:val="superscript"/>
          </w:rPr>
          <w:t xml:space="preserve">[26]</w:t>
        </w:r>
      </w:hyperlink>
    </w:p>
    <w:p>
      <w:pPr>
        <w:numPr>
          <w:ilvl w:val="0"/>
          <w:numId w:val="19"/>
        </w:numPr>
        <w:spacing w:line="360" w:before="105" w:after="105" w:lineRule="auto"/>
      </w:pPr>
      <w:r>
        <w:rPr>
          <w:rFonts w:eastAsia="inter" w:cs="inter" w:ascii="inter" w:hAnsi="inter"/>
          <w:color w:val="000000"/>
          <w:sz w:val="21"/>
        </w:rPr>
        <w:t xml:space="preserve">Increasing use of data analytics and process automation by teams such as </w:t>
      </w:r>
      <w:r>
        <w:rPr>
          <w:rFonts w:eastAsia="inter" w:cs="inter" w:ascii="inter" w:hAnsi="inter"/>
          <w:b/>
          <w:color w:val="000000"/>
          <w:sz w:val="21"/>
        </w:rPr>
        <w:t xml:space="preserve">IT &amp; Digital Assurance</w:t>
      </w:r>
      <w:r>
        <w:rPr>
          <w:rFonts w:eastAsia="inter" w:cs="inter" w:ascii="inter" w:hAnsi="inter"/>
          <w:color w:val="000000"/>
          <w:sz w:val="21"/>
        </w:rPr>
        <w:t xml:space="preserve">, led by Lior Mistriel, who has deep ITGC and automated‑controls experience in banks, insurance and fintechs.</w:t>
      </w:r>
      <w:bookmarkStart w:id="107" w:name="fnref40"/>
      <w:bookmarkEnd w:id="107"/>
      <w:hyperlink w:anchor="fn40">
        <w:r>
          <w:rPr>
            <w:rFonts w:eastAsia="inter" w:cs="inter" w:ascii="inter" w:hAnsi="inter"/>
            <w:color w:val="#000"/>
            <w:sz w:val="21"/>
            <w:u w:val="single"/>
            <w:vertAlign w:val="superscript"/>
          </w:rPr>
          <w:t xml:space="preserve">[40]</w:t>
        </w:r>
      </w:hyperlink>
    </w:p>
    <w:p>
      <w:pPr>
        <w:spacing w:line="360" w:after="210" w:lineRule="auto"/>
      </w:pPr>
      <w:r>
        <w:rPr>
          <w:rFonts w:eastAsia="inter" w:cs="inter" w:ascii="inter" w:hAnsi="inter"/>
          <w:color w:val="000000"/>
        </w:rPr>
        <w:t xml:space="preserve">PwC Israel can thus credibly present itself as </w:t>
      </w:r>
      <w:r>
        <w:rPr>
          <w:rFonts w:eastAsia="inter" w:cs="inter" w:ascii="inter" w:hAnsi="inter"/>
          <w:b/>
          <w:color w:val="000000"/>
        </w:rPr>
        <w:t xml:space="preserve">“client zero in Israel”</w:t>
      </w:r>
      <w:r>
        <w:rPr>
          <w:rFonts w:eastAsia="inter" w:cs="inter" w:ascii="inter" w:hAnsi="inter"/>
          <w:color w:val="000000"/>
        </w:rPr>
        <w:t xml:space="preserve"> for many AI use cases—particularly in audit, risk assurance and internal operations—leveraging global tools and local specialists.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8" w:name="bm_6_client_success_stories_secto_20dafb"/>
      <w:r>
        <w:rPr>
          <w:rFonts w:eastAsia="inter" w:cs="inter" w:ascii="inter" w:hAnsi="inter"/>
          <w:b/>
          <w:color w:val="000000"/>
          <w:sz w:val="24"/>
        </w:rPr>
        <w:t xml:space="preserve">6. Client Success Stories &amp; Sector Focus (2025–2026)</w:t>
      </w:r>
      <w:bookmarkEnd w:id="108"/>
    </w:p>
    <w:p>
      <w:pPr>
        <w:spacing w:line="360" w:before="315" w:after="105" w:lineRule="auto"/>
        <w:ind w:left="-30"/>
        <w:jc w:val="left"/>
      </w:pPr>
      <w:bookmarkStart w:id="109" w:name="bm_6_1_the_gold_use_case_fischer_364664"/>
      <w:r>
        <w:rPr>
          <w:rFonts w:eastAsia="inter" w:cs="inter" w:ascii="inter" w:hAnsi="inter"/>
          <w:b/>
          <w:color w:val="000000"/>
          <w:sz w:val="24"/>
        </w:rPr>
        <w:t xml:space="preserve">6.1 The “Gold” Use Case: Fischer Behar Chen (Legal Sector)</w:t>
      </w:r>
      <w:bookmarkEnd w:id="109"/>
    </w:p>
    <w:p>
      <w:pPr>
        <w:spacing w:line="360" w:after="210" w:lineRule="auto"/>
      </w:pPr>
      <w:r>
        <w:rPr>
          <w:rFonts w:eastAsia="inter" w:cs="inter" w:ascii="inter" w:hAnsi="inter"/>
          <w:color w:val="000000"/>
        </w:rPr>
        <w:t xml:space="preserve">The most concrete Israeli productivity case with a clear headline ROI is in the legal sector:</w:t>
      </w:r>
    </w:p>
    <w:p>
      <w:pPr>
        <w:numPr>
          <w:ilvl w:val="0"/>
          <w:numId w:val="20"/>
        </w:numPr>
        <w:spacing w:line="360" w:before="105" w:after="105" w:lineRule="auto"/>
      </w:pPr>
      <w:r>
        <w:rPr>
          <w:rFonts w:eastAsia="inter" w:cs="inter" w:ascii="inter" w:hAnsi="inter"/>
          <w:color w:val="000000"/>
          <w:sz w:val="21"/>
        </w:rPr>
        <w:t xml:space="preserve">A profile of </w:t>
      </w:r>
      <w:r>
        <w:rPr>
          <w:rFonts w:eastAsia="inter" w:cs="inter" w:ascii="inter" w:hAnsi="inter"/>
          <w:b/>
          <w:color w:val="000000"/>
          <w:sz w:val="21"/>
        </w:rPr>
        <w:t xml:space="preserve">Pavel Sheynkman</w:t>
      </w:r>
      <w:r>
        <w:rPr>
          <w:rFonts w:eastAsia="inter" w:cs="inter" w:ascii="inter" w:hAnsi="inter"/>
          <w:color w:val="000000"/>
          <w:sz w:val="21"/>
        </w:rPr>
        <w:t xml:space="preserve">, PwC Israel CTO, describes a collaboration with </w:t>
      </w:r>
      <w:r>
        <w:rPr>
          <w:rFonts w:eastAsia="inter" w:cs="inter" w:ascii="inter" w:hAnsi="inter"/>
          <w:b/>
          <w:color w:val="000000"/>
          <w:sz w:val="21"/>
        </w:rPr>
        <w:t xml:space="preserve">Fischer Behar Chen</w:t>
      </w:r>
      <w:r>
        <w:rPr>
          <w:rFonts w:eastAsia="inter" w:cs="inter" w:ascii="inter" w:hAnsi="inter"/>
          <w:color w:val="000000"/>
          <w:sz w:val="21"/>
        </w:rPr>
        <w:t xml:space="preserve">, one of Israel’s leading law firms.</w:t>
      </w:r>
      <w:bookmarkStart w:id="110" w:name="fnref5_3"/>
      <w:bookmarkEnd w:id="110"/>
      <w:hyperlink w:anchor="fn5">
        <w:r>
          <w:rPr>
            <w:rFonts w:eastAsia="inter" w:cs="inter" w:ascii="inter" w:hAnsi="inter"/>
            <w:color w:val="#000"/>
            <w:sz w:val="21"/>
            <w:u w:val="single"/>
            <w:vertAlign w:val="superscript"/>
          </w:rPr>
          <w:t xml:space="preserve">[5]</w:t>
        </w:r>
      </w:hyperlink>
    </w:p>
    <w:p>
      <w:pPr>
        <w:numPr>
          <w:ilvl w:val="0"/>
          <w:numId w:val="20"/>
        </w:numPr>
        <w:spacing w:line="360" w:before="105" w:after="105" w:lineRule="auto"/>
      </w:pPr>
      <w:r>
        <w:rPr>
          <w:rFonts w:eastAsia="inter" w:cs="inter" w:ascii="inter" w:hAnsi="inter"/>
          <w:color w:val="000000"/>
          <w:sz w:val="21"/>
        </w:rPr>
        <w:t xml:space="preserve">PwC Israel led the development of software tools that </w:t>
      </w:r>
      <w:r>
        <w:rPr>
          <w:rFonts w:eastAsia="inter" w:cs="inter" w:ascii="inter" w:hAnsi="inter"/>
          <w:b/>
          <w:color w:val="000000"/>
          <w:sz w:val="21"/>
        </w:rPr>
        <w:t xml:space="preserve">reduced the time needed for legal research and document drafting by roughly 50%</w:t>
      </w:r>
      <w:r>
        <w:rPr>
          <w:rFonts w:eastAsia="inter" w:cs="inter" w:ascii="inter" w:hAnsi="inter"/>
          <w:color w:val="000000"/>
          <w:sz w:val="21"/>
        </w:rPr>
        <w:t xml:space="preserve">.</w:t>
      </w:r>
      <w:bookmarkStart w:id="111" w:name="fnref5_4"/>
      <w:bookmarkEnd w:id="111"/>
      <w:hyperlink w:anchor="fn5">
        <w:r>
          <w:rPr>
            <w:rFonts w:eastAsia="inter" w:cs="inter" w:ascii="inter" w:hAnsi="inter"/>
            <w:color w:val="#000"/>
            <w:sz w:val="21"/>
            <w:u w:val="single"/>
            <w:vertAlign w:val="superscript"/>
          </w:rPr>
          <w:t xml:space="preserve">[5]</w:t>
        </w:r>
      </w:hyperlink>
    </w:p>
    <w:p>
      <w:pPr>
        <w:numPr>
          <w:ilvl w:val="0"/>
          <w:numId w:val="20"/>
        </w:numPr>
        <w:spacing w:line="360" w:before="105" w:after="105" w:lineRule="auto"/>
      </w:pPr>
      <w:r>
        <w:rPr>
          <w:rFonts w:eastAsia="inter" w:cs="inter" w:ascii="inter" w:hAnsi="inter"/>
          <w:color w:val="000000"/>
          <w:sz w:val="21"/>
        </w:rPr>
        <w:t xml:space="preserve">The solution sits squarely in the </w:t>
      </w:r>
      <w:r>
        <w:rPr>
          <w:rFonts w:eastAsia="inter" w:cs="inter" w:ascii="inter" w:hAnsi="inter"/>
          <w:b/>
          <w:color w:val="000000"/>
          <w:sz w:val="21"/>
        </w:rPr>
        <w:t xml:space="preserve">organizational‑productivity niche</w:t>
      </w:r>
      <w:r>
        <w:rPr>
          <w:rFonts w:eastAsia="inter" w:cs="inter" w:ascii="inter" w:hAnsi="inter"/>
          <w:color w:val="000000"/>
          <w:sz w:val="21"/>
        </w:rPr>
        <w:t xml:space="preserve">:</w:t>
      </w:r>
    </w:p>
    <w:p>
      <w:pPr>
        <w:numPr>
          <w:ilvl w:val="1"/>
          <w:numId w:val="20"/>
        </w:numPr>
        <w:spacing w:line="360" w:before="105" w:after="105" w:lineRule="auto"/>
      </w:pPr>
      <w:r>
        <w:rPr>
          <w:rFonts w:eastAsia="inter" w:cs="inter" w:ascii="inter" w:hAnsi="inter"/>
          <w:color w:val="000000"/>
          <w:sz w:val="21"/>
        </w:rPr>
        <w:t xml:space="preserve">Automating or augmenting knowledge‑intensive tasks (case law research, drafting).</w:t>
      </w:r>
    </w:p>
    <w:p>
      <w:pPr>
        <w:numPr>
          <w:ilvl w:val="1"/>
          <w:numId w:val="20"/>
        </w:numPr>
        <w:spacing w:line="360" w:before="105" w:after="105" w:lineRule="auto"/>
      </w:pPr>
      <w:r>
        <w:rPr>
          <w:rFonts w:eastAsia="inter" w:cs="inter" w:ascii="inter" w:hAnsi="inter"/>
          <w:color w:val="000000"/>
          <w:sz w:val="21"/>
        </w:rPr>
        <w:t xml:space="preserve">Reducing cycle times for contracts and opinions.</w:t>
      </w:r>
    </w:p>
    <w:p>
      <w:pPr>
        <w:numPr>
          <w:ilvl w:val="1"/>
          <w:numId w:val="20"/>
        </w:numPr>
        <w:spacing w:line="360" w:before="105" w:after="105" w:lineRule="auto"/>
      </w:pPr>
      <w:r>
        <w:rPr>
          <w:rFonts w:eastAsia="inter" w:cs="inter" w:ascii="inter" w:hAnsi="inter"/>
          <w:color w:val="000000"/>
          <w:sz w:val="21"/>
        </w:rPr>
        <w:t xml:space="preserve">Freeing high‑cost legal staff for higher‑value work.</w:t>
      </w:r>
    </w:p>
    <w:p>
      <w:pPr>
        <w:spacing w:line="360" w:after="210" w:lineRule="auto"/>
      </w:pPr>
      <w:r>
        <w:rPr>
          <w:rFonts w:eastAsia="inter" w:cs="inter" w:ascii="inter" w:hAnsi="inter"/>
          <w:color w:val="000000"/>
        </w:rPr>
        <w:t xml:space="preserve">While this is not packaged as a formal PwC case study with detailed KPIs, the magnitude (time cut in half) and the client profile (Tier‑1 law firm) make it a defensible </w:t>
      </w:r>
      <w:r>
        <w:rPr>
          <w:rFonts w:eastAsia="inter" w:cs="inter" w:ascii="inter" w:hAnsi="inter"/>
          <w:b/>
          <w:color w:val="000000"/>
        </w:rPr>
        <w:t xml:space="preserve">“Gold Use Case”</w:t>
      </w:r>
      <w:r>
        <w:rPr>
          <w:rFonts w:eastAsia="inter" w:cs="inter" w:ascii="inter" w:hAnsi="inter"/>
          <w:color w:val="000000"/>
        </w:rPr>
        <w:t xml:space="preserve"> for PwC Israel’s AI Factory in a regulated, high‑value professional environment.</w:t>
      </w:r>
    </w:p>
    <w:p>
      <w:pPr>
        <w:spacing w:line="360" w:before="315" w:after="105" w:lineRule="auto"/>
        <w:ind w:left="-30"/>
        <w:jc w:val="left"/>
      </w:pPr>
      <w:bookmarkStart w:id="112" w:name="bm_6_2_financial_services_bank_ha_c383b7"/>
      <w:r>
        <w:rPr>
          <w:rFonts w:eastAsia="inter" w:cs="inter" w:ascii="inter" w:hAnsi="inter"/>
          <w:b/>
          <w:color w:val="000000"/>
          <w:sz w:val="24"/>
        </w:rPr>
        <w:t xml:space="preserve">6.2 Financial services: Bank Hapoalim &amp; Migdal Insurance</w:t>
      </w:r>
      <w:bookmarkEnd w:id="112"/>
    </w:p>
    <w:p>
      <w:pPr>
        <w:spacing w:line="360" w:after="210" w:lineRule="auto"/>
      </w:pPr>
      <w:r>
        <w:rPr>
          <w:rFonts w:eastAsia="inter" w:cs="inter" w:ascii="inter" w:hAnsi="inter"/>
          <w:color w:val="000000"/>
        </w:rPr>
        <w:t xml:space="preserve">The same profile and additional commentary indicate significant work in financial services:</w:t>
      </w:r>
      <w:bookmarkStart w:id="113" w:name="fnref23_1"/>
      <w:bookmarkEnd w:id="113"/>
      <w:hyperlink w:anchor="fn23">
        <w:r>
          <w:rPr>
            <w:rFonts w:eastAsia="inter" w:cs="inter" w:ascii="inter" w:hAnsi="inter"/>
            <w:color w:val="#000"/>
            <w:u w:val="single"/>
            <w:vertAlign w:val="superscript"/>
          </w:rPr>
          <w:t xml:space="preserve">[23]</w:t>
        </w:r>
      </w:hyperlink>
      <w:bookmarkStart w:id="114" w:name="fnref5_5"/>
      <w:bookmarkEnd w:id="114"/>
      <w:hyperlink w:anchor="fn5">
        <w:r>
          <w:rPr>
            <w:rFonts w:eastAsia="inter" w:cs="inter" w:ascii="inter" w:hAnsi="inter"/>
            <w:color w:val="#000"/>
            <w:u w:val="single"/>
            <w:vertAlign w:val="superscript"/>
          </w:rPr>
          <w:t xml:space="preserve">[5]</w:t>
        </w:r>
      </w:hyperlink>
    </w:p>
    <w:p>
      <w:pPr>
        <w:numPr>
          <w:ilvl w:val="0"/>
          <w:numId w:val="21"/>
        </w:numPr>
        <w:spacing w:line="360" w:before="105" w:after="105" w:lineRule="auto"/>
      </w:pPr>
      <w:r>
        <w:rPr>
          <w:rFonts w:eastAsia="inter" w:cs="inter" w:ascii="inter" w:hAnsi="inter"/>
          <w:b/>
          <w:color w:val="000000"/>
          <w:sz w:val="21"/>
        </w:rPr>
        <w:t xml:space="preserve">Bank Hapoalim</w:t>
      </w:r>
      <w:r>
        <w:rPr>
          <w:rFonts w:eastAsia="inter" w:cs="inter" w:ascii="inter" w:hAnsi="inter"/>
          <w:color w:val="000000"/>
          <w:sz w:val="21"/>
        </w:rPr>
        <w:t xml:space="preserve"> (one of Israel’s largest banks):</w:t>
      </w:r>
    </w:p>
    <w:p>
      <w:pPr>
        <w:numPr>
          <w:ilvl w:val="1"/>
          <w:numId w:val="21"/>
        </w:numPr>
        <w:spacing w:line="360" w:before="105" w:after="105" w:lineRule="auto"/>
      </w:pPr>
      <w:r>
        <w:rPr>
          <w:rFonts w:eastAsia="inter" w:cs="inter" w:ascii="inter" w:hAnsi="inter"/>
          <w:color w:val="000000"/>
          <w:sz w:val="21"/>
        </w:rPr>
        <w:t xml:space="preserve">PwC Israel, led by Sheynkman, orchestrated an upgrade of the bank’s internal platform, creating a </w:t>
      </w:r>
      <w:r>
        <w:rPr>
          <w:rFonts w:eastAsia="inter" w:cs="inter" w:ascii="inter" w:hAnsi="inter"/>
          <w:b/>
          <w:color w:val="000000"/>
          <w:sz w:val="21"/>
        </w:rPr>
        <w:t xml:space="preserve">more secure, reliable environment</w:t>
      </w:r>
      <w:r>
        <w:rPr>
          <w:rFonts w:eastAsia="inter" w:cs="inter" w:ascii="inter" w:hAnsi="inter"/>
          <w:color w:val="000000"/>
          <w:sz w:val="21"/>
        </w:rPr>
        <w:t xml:space="preserve"> that reduced risk and improved system stability.</w:t>
      </w:r>
      <w:bookmarkStart w:id="115" w:name="fnref23_2"/>
      <w:bookmarkEnd w:id="115"/>
      <w:hyperlink w:anchor="fn23">
        <w:r>
          <w:rPr>
            <w:rFonts w:eastAsia="inter" w:cs="inter" w:ascii="inter" w:hAnsi="inter"/>
            <w:color w:val="#000"/>
            <w:sz w:val="21"/>
            <w:u w:val="single"/>
            <w:vertAlign w:val="superscript"/>
          </w:rPr>
          <w:t xml:space="preserve">[23]</w:t>
        </w:r>
      </w:hyperlink>
      <w:bookmarkStart w:id="116" w:name="fnref5_6"/>
      <w:bookmarkEnd w:id="116"/>
      <w:hyperlink w:anchor="fn5">
        <w:r>
          <w:rPr>
            <w:rFonts w:eastAsia="inter" w:cs="inter" w:ascii="inter" w:hAnsi="inter"/>
            <w:color w:val="#000"/>
            <w:sz w:val="21"/>
            <w:u w:val="single"/>
            <w:vertAlign w:val="superscript"/>
          </w:rPr>
          <w:t xml:space="preserve">[5]</w:t>
        </w:r>
      </w:hyperlink>
    </w:p>
    <w:p>
      <w:pPr>
        <w:numPr>
          <w:ilvl w:val="1"/>
          <w:numId w:val="21"/>
        </w:numPr>
        <w:spacing w:line="360" w:before="105" w:after="105" w:lineRule="auto"/>
      </w:pPr>
      <w:r>
        <w:rPr>
          <w:rFonts w:eastAsia="inter" w:cs="inter" w:ascii="inter" w:hAnsi="inter"/>
          <w:color w:val="000000"/>
          <w:sz w:val="21"/>
        </w:rPr>
        <w:t xml:space="preserve">While this is framed primarily as infrastructure modernization (private cloud, secure internal platform), it also lays the foundation for AI‑enabled analytics and automation, particularly given PwC’s Microsoft and OpenAI stack.</w:t>
      </w:r>
    </w:p>
    <w:p>
      <w:pPr>
        <w:numPr>
          <w:ilvl w:val="0"/>
          <w:numId w:val="21"/>
        </w:numPr>
        <w:spacing w:line="360" w:before="105" w:after="105" w:lineRule="auto"/>
      </w:pPr>
      <w:r>
        <w:rPr>
          <w:rFonts w:eastAsia="inter" w:cs="inter" w:ascii="inter" w:hAnsi="inter"/>
          <w:b/>
          <w:color w:val="000000"/>
          <w:sz w:val="21"/>
        </w:rPr>
        <w:t xml:space="preserve">Migdal Insurance</w:t>
      </w:r>
      <w:r>
        <w:rPr>
          <w:rFonts w:eastAsia="inter" w:cs="inter" w:ascii="inter" w:hAnsi="inter"/>
          <w:color w:val="000000"/>
          <w:sz w:val="21"/>
        </w:rPr>
        <w:t xml:space="preserve">:</w:t>
      </w:r>
    </w:p>
    <w:p>
      <w:pPr>
        <w:numPr>
          <w:ilvl w:val="1"/>
          <w:numId w:val="21"/>
        </w:numPr>
        <w:spacing w:line="360" w:before="105" w:after="105" w:lineRule="auto"/>
      </w:pPr>
      <w:r>
        <w:rPr>
          <w:rFonts w:eastAsia="inter" w:cs="inter" w:ascii="inter" w:hAnsi="inter"/>
          <w:color w:val="000000"/>
          <w:sz w:val="21"/>
        </w:rPr>
        <w:t xml:space="preserve">PwC Israel oversaw the installation of a system that </w:t>
      </w:r>
      <w:r>
        <w:rPr>
          <w:rFonts w:eastAsia="inter" w:cs="inter" w:ascii="inter" w:hAnsi="inter"/>
          <w:b/>
          <w:color w:val="000000"/>
          <w:sz w:val="21"/>
        </w:rPr>
        <w:t xml:space="preserve">sped up service delivery and simplified compliance management</w:t>
      </w:r>
      <w:r>
        <w:rPr>
          <w:rFonts w:eastAsia="inter" w:cs="inter" w:ascii="inter" w:hAnsi="inter"/>
          <w:color w:val="000000"/>
          <w:sz w:val="21"/>
        </w:rPr>
        <w:t xml:space="preserve"> for Migdal.</w:t>
      </w:r>
      <w:bookmarkStart w:id="117" w:name="fnref23_3"/>
      <w:bookmarkEnd w:id="117"/>
      <w:hyperlink w:anchor="fn23">
        <w:r>
          <w:rPr>
            <w:rFonts w:eastAsia="inter" w:cs="inter" w:ascii="inter" w:hAnsi="inter"/>
            <w:color w:val="#000"/>
            <w:sz w:val="21"/>
            <w:u w:val="single"/>
            <w:vertAlign w:val="superscript"/>
          </w:rPr>
          <w:t xml:space="preserve">[23]</w:t>
        </w:r>
      </w:hyperlink>
      <w:bookmarkStart w:id="118" w:name="fnref5_7"/>
      <w:bookmarkEnd w:id="118"/>
      <w:hyperlink w:anchor="fn5">
        <w:r>
          <w:rPr>
            <w:rFonts w:eastAsia="inter" w:cs="inter" w:ascii="inter" w:hAnsi="inter"/>
            <w:color w:val="#000"/>
            <w:sz w:val="21"/>
            <w:u w:val="single"/>
            <w:vertAlign w:val="superscript"/>
          </w:rPr>
          <w:t xml:space="preserve">[5]</w:t>
        </w:r>
      </w:hyperlink>
    </w:p>
    <w:p>
      <w:pPr>
        <w:numPr>
          <w:ilvl w:val="1"/>
          <w:numId w:val="21"/>
        </w:numPr>
        <w:spacing w:line="360" w:before="105" w:after="105" w:lineRule="auto"/>
      </w:pPr>
      <w:r>
        <w:rPr>
          <w:rFonts w:eastAsia="inter" w:cs="inter" w:ascii="inter" w:hAnsi="inter"/>
          <w:color w:val="000000"/>
          <w:sz w:val="21"/>
        </w:rPr>
        <w:t xml:space="preserve">Again, the emphasis is on </w:t>
      </w:r>
      <w:r>
        <w:rPr>
          <w:rFonts w:eastAsia="inter" w:cs="inter" w:ascii="inter" w:hAnsi="inter"/>
          <w:b/>
          <w:color w:val="000000"/>
          <w:sz w:val="21"/>
        </w:rPr>
        <w:t xml:space="preserve">operational efficiency and regulatory alignment</w:t>
      </w:r>
      <w:r>
        <w:rPr>
          <w:rFonts w:eastAsia="inter" w:cs="inter" w:ascii="inter" w:hAnsi="inter"/>
          <w:color w:val="000000"/>
          <w:sz w:val="21"/>
        </w:rPr>
        <w:t xml:space="preserve">, core dimensions of organizational productivity in a highly regulated industry.</w:t>
      </w:r>
    </w:p>
    <w:p>
      <w:pPr>
        <w:spacing w:line="360" w:after="210" w:lineRule="auto"/>
      </w:pPr>
      <w:r>
        <w:rPr>
          <w:rFonts w:eastAsia="inter" w:cs="inter" w:ascii="inter" w:hAnsi="inter"/>
          <w:color w:val="000000"/>
        </w:rPr>
        <w:t xml:space="preserve">Even though explicit quantitative KPIs (e.g., % reduction in call times or claims‑processing time) are not public, these are </w:t>
      </w:r>
      <w:r>
        <w:rPr>
          <w:rFonts w:eastAsia="inter" w:cs="inter" w:ascii="inter" w:hAnsi="inter"/>
          <w:b/>
          <w:color w:val="000000"/>
        </w:rPr>
        <w:t xml:space="preserve">flagship Israeli institutions</w:t>
      </w:r>
      <w:r>
        <w:rPr>
          <w:rFonts w:eastAsia="inter" w:cs="inter" w:ascii="inter" w:hAnsi="inter"/>
          <w:color w:val="000000"/>
        </w:rPr>
        <w:t xml:space="preserve"> whose selection of PwC Israel for core systems and process modernization strongly supports PwC’s positioning as a productivity partner in finance and insurance.</w:t>
      </w:r>
    </w:p>
    <w:p>
      <w:pPr>
        <w:spacing w:line="360" w:before="315" w:after="105" w:lineRule="auto"/>
        <w:ind w:left="-30"/>
        <w:jc w:val="left"/>
      </w:pPr>
      <w:bookmarkStart w:id="119" w:name="bm_6_3_aviation_el_al_airlines"/>
      <w:r>
        <w:rPr>
          <w:rFonts w:eastAsia="inter" w:cs="inter" w:ascii="inter" w:hAnsi="inter"/>
          <w:b/>
          <w:color w:val="000000"/>
          <w:sz w:val="24"/>
        </w:rPr>
        <w:t xml:space="preserve">6.3 Aviation: EL AL Airlines</w:t>
      </w:r>
      <w:bookmarkEnd w:id="119"/>
    </w:p>
    <w:p>
      <w:pPr>
        <w:spacing w:line="360" w:after="210" w:lineRule="auto"/>
      </w:pPr>
      <w:r>
        <w:rPr>
          <w:rFonts w:eastAsia="inter" w:cs="inter" w:ascii="inter" w:hAnsi="inter"/>
          <w:color w:val="000000"/>
        </w:rPr>
        <w:t xml:space="preserve">In the same set of public accounts, PwC Israel is credited with:</w:t>
      </w:r>
    </w:p>
    <w:p>
      <w:pPr>
        <w:numPr>
          <w:ilvl w:val="0"/>
          <w:numId w:val="22"/>
        </w:numPr>
        <w:spacing w:line="360" w:before="105" w:after="105" w:lineRule="auto"/>
      </w:pPr>
      <w:r>
        <w:rPr>
          <w:rFonts w:eastAsia="inter" w:cs="inter" w:ascii="inter" w:hAnsi="inter"/>
          <w:color w:val="000000"/>
          <w:sz w:val="21"/>
        </w:rPr>
        <w:t xml:space="preserve">Designing systems for </w:t>
      </w:r>
      <w:r>
        <w:rPr>
          <w:rFonts w:eastAsia="inter" w:cs="inter" w:ascii="inter" w:hAnsi="inter"/>
          <w:b/>
          <w:color w:val="000000"/>
          <w:sz w:val="21"/>
        </w:rPr>
        <w:t xml:space="preserve">EL AL Airlines</w:t>
      </w:r>
      <w:r>
        <w:rPr>
          <w:rFonts w:eastAsia="inter" w:cs="inter" w:ascii="inter" w:hAnsi="inter"/>
          <w:color w:val="000000"/>
          <w:sz w:val="21"/>
        </w:rPr>
        <w:t xml:space="preserve"> that helped manage </w:t>
      </w:r>
      <w:r>
        <w:rPr>
          <w:rFonts w:eastAsia="inter" w:cs="inter" w:ascii="inter" w:hAnsi="inter"/>
          <w:b/>
          <w:color w:val="000000"/>
          <w:sz w:val="21"/>
        </w:rPr>
        <w:t xml:space="preserve">flight overbooking</w:t>
      </w:r>
      <w:r>
        <w:rPr>
          <w:rFonts w:eastAsia="inter" w:cs="inter" w:ascii="inter" w:hAnsi="inter"/>
          <w:color w:val="000000"/>
          <w:sz w:val="21"/>
        </w:rPr>
        <w:t xml:space="preserve"> and improved employee training in customer communication.</w:t>
      </w:r>
      <w:bookmarkStart w:id="120" w:name="fnref5_8"/>
      <w:bookmarkEnd w:id="120"/>
      <w:hyperlink w:anchor="fn5">
        <w:r>
          <w:rPr>
            <w:rFonts w:eastAsia="inter" w:cs="inter" w:ascii="inter" w:hAnsi="inter"/>
            <w:color w:val="#000"/>
            <w:sz w:val="21"/>
            <w:u w:val="single"/>
            <w:vertAlign w:val="superscript"/>
          </w:rPr>
          <w:t xml:space="preserve">[5]</w:t>
        </w:r>
      </w:hyperlink>
    </w:p>
    <w:p>
      <w:pPr>
        <w:numPr>
          <w:ilvl w:val="0"/>
          <w:numId w:val="22"/>
        </w:numPr>
        <w:spacing w:line="360" w:before="105" w:after="105" w:lineRule="auto"/>
      </w:pPr>
      <w:r>
        <w:rPr>
          <w:rFonts w:eastAsia="inter" w:cs="inter" w:ascii="inter" w:hAnsi="inter"/>
          <w:color w:val="000000"/>
          <w:sz w:val="21"/>
        </w:rPr>
        <w:t xml:space="preserve">These solutions tackle:</w:t>
      </w:r>
    </w:p>
    <w:p>
      <w:pPr>
        <w:numPr>
          <w:ilvl w:val="1"/>
          <w:numId w:val="22"/>
        </w:numPr>
        <w:spacing w:line="360" w:before="105" w:after="105" w:lineRule="auto"/>
      </w:pPr>
      <w:r>
        <w:rPr>
          <w:rFonts w:eastAsia="inter" w:cs="inter" w:ascii="inter" w:hAnsi="inter"/>
          <w:b/>
          <w:color w:val="000000"/>
          <w:sz w:val="21"/>
        </w:rPr>
        <w:t xml:space="preserve">Operational optimization</w:t>
      </w:r>
      <w:r>
        <w:rPr>
          <w:rFonts w:eastAsia="inter" w:cs="inter" w:ascii="inter" w:hAnsi="inter"/>
          <w:color w:val="000000"/>
          <w:sz w:val="21"/>
        </w:rPr>
        <w:t xml:space="preserve"> (capacity &amp; overbooking management).</w:t>
      </w:r>
    </w:p>
    <w:p>
      <w:pPr>
        <w:numPr>
          <w:ilvl w:val="1"/>
          <w:numId w:val="22"/>
        </w:numPr>
        <w:spacing w:line="360" w:before="105" w:after="105" w:lineRule="auto"/>
      </w:pPr>
      <w:r>
        <w:rPr>
          <w:rFonts w:eastAsia="inter" w:cs="inter" w:ascii="inter" w:hAnsi="inter"/>
          <w:b/>
          <w:color w:val="000000"/>
          <w:sz w:val="21"/>
        </w:rPr>
        <w:t xml:space="preserve">Frontline productivity</w:t>
      </w:r>
      <w:r>
        <w:rPr>
          <w:rFonts w:eastAsia="inter" w:cs="inter" w:ascii="inter" w:hAnsi="inter"/>
          <w:color w:val="000000"/>
          <w:sz w:val="21"/>
        </w:rPr>
        <w:t xml:space="preserve"> (training and guidance for staff in high‑stress customer interactions).</w:t>
      </w:r>
    </w:p>
    <w:p>
      <w:pPr>
        <w:spacing w:line="360" w:after="210" w:lineRule="auto"/>
      </w:pPr>
      <w:r>
        <w:rPr>
          <w:rFonts w:eastAsia="inter" w:cs="inter" w:ascii="inter" w:hAnsi="inter"/>
          <w:color w:val="000000"/>
        </w:rPr>
        <w:t xml:space="preserve">This extends PwC Israel’s AI/digital productivity narrative into </w:t>
      </w:r>
      <w:r>
        <w:rPr>
          <w:rFonts w:eastAsia="inter" w:cs="inter" w:ascii="inter" w:hAnsi="inter"/>
          <w:b/>
          <w:color w:val="000000"/>
        </w:rPr>
        <w:t xml:space="preserve">aviation and travel</w:t>
      </w:r>
      <w:r>
        <w:rPr>
          <w:rFonts w:eastAsia="inter" w:cs="inter" w:ascii="inter" w:hAnsi="inter"/>
          <w:color w:val="000000"/>
        </w:rPr>
        <w:t xml:space="preserve">, again centered on improving </w:t>
      </w:r>
      <w:r>
        <w:rPr>
          <w:rFonts w:eastAsia="inter" w:cs="inter" w:ascii="inter" w:hAnsi="inter"/>
          <w:b/>
          <w:color w:val="000000"/>
        </w:rPr>
        <w:t xml:space="preserve">organizational processes and workforce effectiveness</w:t>
      </w:r>
      <w:r>
        <w:rPr>
          <w:rFonts w:eastAsia="inter" w:cs="inter" w:ascii="inter" w:hAnsi="inter"/>
          <w:color w:val="000000"/>
        </w:rPr>
        <w:t xml:space="preserve">.</w:t>
      </w:r>
    </w:p>
    <w:p>
      <w:pPr>
        <w:spacing w:line="360" w:before="315" w:after="105" w:lineRule="auto"/>
        <w:ind w:left="-30"/>
        <w:jc w:val="left"/>
      </w:pPr>
      <w:bookmarkStart w:id="121" w:name="bm_6_4_law_and_professional_servi_bc010f"/>
      <w:r>
        <w:rPr>
          <w:rFonts w:eastAsia="inter" w:cs="inter" w:ascii="inter" w:hAnsi="inter"/>
          <w:b/>
          <w:color w:val="000000"/>
          <w:sz w:val="24"/>
        </w:rPr>
        <w:t xml:space="preserve">6.4 Law and professional services: Lipa Meir &amp; Co.</w:t>
      </w:r>
      <w:bookmarkEnd w:id="121"/>
    </w:p>
    <w:p>
      <w:pPr>
        <w:spacing w:line="360" w:after="210" w:lineRule="auto"/>
      </w:pPr>
      <w:r>
        <w:rPr>
          <w:rFonts w:eastAsia="inter" w:cs="inter" w:ascii="inter" w:hAnsi="inter"/>
          <w:color w:val="000000"/>
        </w:rPr>
        <w:t xml:space="preserve">PwC NEXT also runs targeted GenAI enablement for law firms:</w:t>
      </w:r>
    </w:p>
    <w:p>
      <w:pPr>
        <w:numPr>
          <w:ilvl w:val="0"/>
          <w:numId w:val="23"/>
        </w:numPr>
        <w:spacing w:line="360" w:before="105" w:after="105" w:lineRule="auto"/>
      </w:pPr>
      <w:r>
        <w:rPr>
          <w:rFonts w:eastAsia="inter" w:cs="inter" w:ascii="inter" w:hAnsi="inter"/>
          <w:color w:val="000000"/>
          <w:sz w:val="21"/>
        </w:rPr>
        <w:t xml:space="preserve">A PwC Israel / NEXT workshop on </w:t>
      </w:r>
      <w:r>
        <w:rPr>
          <w:rFonts w:eastAsia="inter" w:cs="inter" w:ascii="inter" w:hAnsi="inter"/>
          <w:b/>
          <w:color w:val="000000"/>
          <w:sz w:val="21"/>
        </w:rPr>
        <w:t xml:space="preserve">GenAI for law firm Lipa Meir &amp; Co.</w:t>
      </w:r>
      <w:r>
        <w:rPr>
          <w:rFonts w:eastAsia="inter" w:cs="inter" w:ascii="inter" w:hAnsi="inter"/>
          <w:color w:val="000000"/>
          <w:sz w:val="21"/>
        </w:rPr>
        <w:t xml:space="preserve"> is publicly referenced, framed as a deep‑dive into how GenAI can be used in legal workflows.</w:t>
      </w:r>
      <w:bookmarkStart w:id="122" w:name="fnref41"/>
      <w:bookmarkEnd w:id="122"/>
      <w:hyperlink w:anchor="fn41">
        <w:r>
          <w:rPr>
            <w:rFonts w:eastAsia="inter" w:cs="inter" w:ascii="inter" w:hAnsi="inter"/>
            <w:color w:val="#000"/>
            <w:sz w:val="21"/>
            <w:u w:val="single"/>
            <w:vertAlign w:val="superscript"/>
          </w:rPr>
          <w:t xml:space="preserve">[41]</w:t>
        </w:r>
      </w:hyperlink>
    </w:p>
    <w:p>
      <w:pPr>
        <w:numPr>
          <w:ilvl w:val="0"/>
          <w:numId w:val="23"/>
        </w:numPr>
        <w:spacing w:line="360" w:before="105" w:after="105" w:lineRule="auto"/>
      </w:pPr>
      <w:r>
        <w:rPr>
          <w:rFonts w:eastAsia="inter" w:cs="inter" w:ascii="inter" w:hAnsi="inter"/>
          <w:color w:val="000000"/>
          <w:sz w:val="21"/>
        </w:rPr>
        <w:t xml:space="preserve">While this is more of an enablement initiative than a full implementation case, it shows PwC NEXT actively </w:t>
      </w:r>
      <w:r>
        <w:rPr>
          <w:rFonts w:eastAsia="inter" w:cs="inter" w:ascii="inter" w:hAnsi="inter"/>
          <w:b/>
          <w:color w:val="000000"/>
          <w:sz w:val="21"/>
        </w:rPr>
        <w:t xml:space="preserve">seeding GenAI capabilities in Israeli legal practices</w:t>
      </w:r>
      <w:r>
        <w:rPr>
          <w:rFonts w:eastAsia="inter" w:cs="inter" w:ascii="inter" w:hAnsi="inter"/>
          <w:color w:val="000000"/>
          <w:sz w:val="21"/>
        </w:rPr>
        <w:t xml:space="preserve">, likely as a feeder into larger AI Factory engagements.</w:t>
      </w:r>
    </w:p>
    <w:p>
      <w:pPr>
        <w:spacing w:line="360" w:before="315" w:after="105" w:lineRule="auto"/>
        <w:ind w:left="-30"/>
        <w:jc w:val="left"/>
      </w:pPr>
      <w:bookmarkStart w:id="123" w:name="bm_6_5_finance_function_and_cfo_c_c8f5c9"/>
      <w:r>
        <w:rPr>
          <w:rFonts w:eastAsia="inter" w:cs="inter" w:ascii="inter" w:hAnsi="inter"/>
          <w:b/>
          <w:color w:val="000000"/>
          <w:sz w:val="24"/>
        </w:rPr>
        <w:t xml:space="preserve">6.5 Finance function and CFO community</w:t>
      </w:r>
      <w:bookmarkEnd w:id="123"/>
    </w:p>
    <w:p>
      <w:pPr>
        <w:spacing w:line="360" w:after="210" w:lineRule="auto"/>
      </w:pPr>
      <w:r>
        <w:rPr>
          <w:rFonts w:eastAsia="inter" w:cs="inter" w:ascii="inter" w:hAnsi="inter"/>
          <w:color w:val="000000"/>
        </w:rPr>
        <w:t xml:space="preserve">PwC Israel is explicitly targeting </w:t>
      </w:r>
      <w:r>
        <w:rPr>
          <w:rFonts w:eastAsia="inter" w:cs="inter" w:ascii="inter" w:hAnsi="inter"/>
          <w:b/>
          <w:color w:val="000000"/>
        </w:rPr>
        <w:t xml:space="preserve">finance productivity</w:t>
      </w:r>
      <w:r>
        <w:rPr>
          <w:rFonts w:eastAsia="inter" w:cs="inter" w:ascii="inter" w:hAnsi="inter"/>
          <w:color w:val="000000"/>
        </w:rPr>
        <w:t xml:space="preserve"> via GenAI:</w:t>
      </w:r>
    </w:p>
    <w:p>
      <w:pPr>
        <w:numPr>
          <w:ilvl w:val="0"/>
          <w:numId w:val="24"/>
        </w:numPr>
        <w:spacing w:line="360" w:before="105" w:after="105" w:lineRule="auto"/>
      </w:pPr>
      <w:r>
        <w:rPr>
          <w:rFonts w:eastAsia="inter" w:cs="inter" w:ascii="inter" w:hAnsi="inter"/>
          <w:color w:val="000000"/>
          <w:sz w:val="21"/>
        </w:rPr>
        <w:t xml:space="preserve">An event “</w:t>
      </w:r>
      <w:r>
        <w:rPr>
          <w:rFonts w:eastAsia="inter" w:cs="inter" w:ascii="inter" w:hAnsi="inter"/>
          <w:b/>
          <w:color w:val="000000"/>
          <w:sz w:val="21"/>
        </w:rPr>
        <w:t xml:space="preserve">Unlocking GenAI for Finance</w:t>
      </w:r>
      <w:r>
        <w:rPr>
          <w:rFonts w:eastAsia="inter" w:cs="inter" w:ascii="inter" w:hAnsi="inter"/>
          <w:color w:val="000000"/>
          <w:sz w:val="21"/>
        </w:rPr>
        <w:t xml:space="preserve">” co‑hosted by PwC Israel and Oracle drew about </w:t>
      </w:r>
      <w:r>
        <w:rPr>
          <w:rFonts w:eastAsia="inter" w:cs="inter" w:ascii="inter" w:hAnsi="inter"/>
          <w:b/>
          <w:color w:val="000000"/>
          <w:sz w:val="21"/>
        </w:rPr>
        <w:t xml:space="preserve">200 senior finance leaders</w:t>
      </w:r>
      <w:r>
        <w:rPr>
          <w:rFonts w:eastAsia="inter" w:cs="inter" w:ascii="inter" w:hAnsi="inter"/>
          <w:color w:val="000000"/>
          <w:sz w:val="21"/>
        </w:rPr>
        <w:t xml:space="preserve"> from leading organizations, with key speakers including Rubi Suliman (Advisory &amp; Hi‑Tech Leader), Naama Drukman (Technology Consulting Partner), and Talya Gazit.</w:t>
      </w:r>
      <w:bookmarkStart w:id="124" w:name="fnref42"/>
      <w:bookmarkEnd w:id="124"/>
      <w:hyperlink w:anchor="fn42">
        <w:r>
          <w:rPr>
            <w:rFonts w:eastAsia="inter" w:cs="inter" w:ascii="inter" w:hAnsi="inter"/>
            <w:color w:val="#000"/>
            <w:sz w:val="21"/>
            <w:u w:val="single"/>
            <w:vertAlign w:val="superscript"/>
          </w:rPr>
          <w:t xml:space="preserve">[42]</w:t>
        </w:r>
      </w:hyperlink>
      <w:bookmarkStart w:id="125" w:name="fnref43"/>
      <w:bookmarkEnd w:id="125"/>
      <w:hyperlink w:anchor="fn43">
        <w:r>
          <w:rPr>
            <w:rFonts w:eastAsia="inter" w:cs="inter" w:ascii="inter" w:hAnsi="inter"/>
            <w:color w:val="#000"/>
            <w:sz w:val="21"/>
            <w:u w:val="single"/>
            <w:vertAlign w:val="superscript"/>
          </w:rPr>
          <w:t xml:space="preserve">[43]</w:t>
        </w:r>
      </w:hyperlink>
    </w:p>
    <w:p>
      <w:pPr>
        <w:numPr>
          <w:ilvl w:val="0"/>
          <w:numId w:val="24"/>
        </w:numPr>
        <w:spacing w:line="360" w:before="105" w:after="105" w:lineRule="auto"/>
      </w:pPr>
      <w:r>
        <w:rPr>
          <w:rFonts w:eastAsia="inter" w:cs="inter" w:ascii="inter" w:hAnsi="inter"/>
          <w:color w:val="000000"/>
          <w:sz w:val="21"/>
        </w:rPr>
        <w:t xml:space="preserve">Themes included:</w:t>
      </w:r>
    </w:p>
    <w:p>
      <w:pPr>
        <w:numPr>
          <w:ilvl w:val="1"/>
          <w:numId w:val="24"/>
        </w:numPr>
        <w:spacing w:line="360" w:before="105" w:after="105" w:lineRule="auto"/>
      </w:pPr>
      <w:r>
        <w:rPr>
          <w:rFonts w:eastAsia="inter" w:cs="inter" w:ascii="inter" w:hAnsi="inter"/>
          <w:color w:val="000000"/>
          <w:sz w:val="21"/>
        </w:rPr>
        <w:t xml:space="preserve">GenAI for financial close, reporting and narrative explanation.</w:t>
      </w:r>
    </w:p>
    <w:p>
      <w:pPr>
        <w:numPr>
          <w:ilvl w:val="1"/>
          <w:numId w:val="24"/>
        </w:numPr>
        <w:spacing w:line="360" w:before="105" w:after="105" w:lineRule="auto"/>
      </w:pPr>
      <w:r>
        <w:rPr>
          <w:rFonts w:eastAsia="inter" w:cs="inter" w:ascii="inter" w:hAnsi="inter"/>
          <w:color w:val="000000"/>
          <w:sz w:val="21"/>
        </w:rPr>
        <w:t xml:space="preserve">Oracle Cloud and AI‑driven finance transformation (aligned with Oracle’s own positioning of PwC’s AI‑powered business‑performance engine).</w:t>
      </w:r>
      <w:bookmarkStart w:id="126" w:name="fnref44"/>
      <w:bookmarkEnd w:id="126"/>
      <w:hyperlink w:anchor="fn44">
        <w:r>
          <w:rPr>
            <w:rFonts w:eastAsia="inter" w:cs="inter" w:ascii="inter" w:hAnsi="inter"/>
            <w:color w:val="#000"/>
            <w:sz w:val="21"/>
            <w:u w:val="single"/>
            <w:vertAlign w:val="superscript"/>
          </w:rPr>
          <w:t xml:space="preserve">[44]</w:t>
        </w:r>
      </w:hyperlink>
      <w:bookmarkStart w:id="127" w:name="fnref45"/>
      <w:bookmarkEnd w:id="127"/>
      <w:hyperlink w:anchor="fn45">
        <w:r>
          <w:rPr>
            <w:rFonts w:eastAsia="inter" w:cs="inter" w:ascii="inter" w:hAnsi="inter"/>
            <w:color w:val="#000"/>
            <w:sz w:val="21"/>
            <w:u w:val="single"/>
            <w:vertAlign w:val="superscript"/>
          </w:rPr>
          <w:t xml:space="preserve">[45]</w:t>
        </w:r>
      </w:hyperlink>
    </w:p>
    <w:p>
      <w:pPr>
        <w:spacing w:line="360" w:after="210" w:lineRule="auto"/>
      </w:pPr>
      <w:r>
        <w:rPr>
          <w:rFonts w:eastAsia="inter" w:cs="inter" w:ascii="inter" w:hAnsi="inter"/>
          <w:color w:val="000000"/>
        </w:rPr>
        <w:t xml:space="preserve">This reinforces PwC Israel’s role in selling </w:t>
      </w:r>
      <w:r>
        <w:rPr>
          <w:rFonts w:eastAsia="inter" w:cs="inter" w:ascii="inter" w:hAnsi="inter"/>
          <w:b/>
          <w:color w:val="000000"/>
        </w:rPr>
        <w:t xml:space="preserve">“AI for finance productivity”</w:t>
      </w:r>
      <w:r>
        <w:rPr>
          <w:rFonts w:eastAsia="inter" w:cs="inter" w:ascii="inter" w:hAnsi="inter"/>
          <w:color w:val="000000"/>
        </w:rPr>
        <w:t xml:space="preserve"> to the local CFO community, leveraging Oracle + GenAI + PwC NEXT capabilities.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8" w:name="bm_7_alliances_startups_and_ecosy_9fb07a"/>
      <w:r>
        <w:rPr>
          <w:rFonts w:eastAsia="inter" w:cs="inter" w:ascii="inter" w:hAnsi="inter"/>
          <w:b/>
          <w:color w:val="000000"/>
          <w:sz w:val="24"/>
        </w:rPr>
        <w:t xml:space="preserve">7. Alliances, Startups and Ecosystem Role</w:t>
      </w:r>
      <w:bookmarkEnd w:id="128"/>
    </w:p>
    <w:p>
      <w:pPr>
        <w:spacing w:line="360" w:before="315" w:after="105" w:lineRule="auto"/>
        <w:ind w:left="-30"/>
        <w:jc w:val="left"/>
      </w:pPr>
      <w:bookmarkStart w:id="129" w:name="bm_7_1_startup_partnerships_integ_cbbf2f"/>
      <w:r>
        <w:rPr>
          <w:rFonts w:eastAsia="inter" w:cs="inter" w:ascii="inter" w:hAnsi="inter"/>
          <w:b/>
          <w:color w:val="000000"/>
          <w:sz w:val="24"/>
        </w:rPr>
        <w:t xml:space="preserve">7.1 Startup partnerships integrated into enterprise offerings</w:t>
      </w:r>
      <w:bookmarkEnd w:id="129"/>
    </w:p>
    <w:p>
      <w:pPr>
        <w:spacing w:line="360" w:after="210" w:lineRule="auto"/>
      </w:pPr>
      <w:r>
        <w:rPr>
          <w:rFonts w:eastAsia="inter" w:cs="inter" w:ascii="inter" w:hAnsi="inter"/>
          <w:color w:val="000000"/>
        </w:rPr>
        <w:t xml:space="preserve">PwC Israel appears to rely more on </w:t>
      </w:r>
      <w:r>
        <w:rPr>
          <w:rFonts w:eastAsia="inter" w:cs="inter" w:ascii="inter" w:hAnsi="inter"/>
          <w:b/>
          <w:color w:val="000000"/>
        </w:rPr>
        <w:t xml:space="preserve">partnerships and ecosystem orchestration</w:t>
      </w:r>
      <w:r>
        <w:rPr>
          <w:rFonts w:eastAsia="inter" w:cs="inter" w:ascii="inter" w:hAnsi="inter"/>
          <w:color w:val="000000"/>
        </w:rPr>
        <w:t xml:space="preserve"> than direct tech acquisitions:</w:t>
      </w:r>
    </w:p>
    <w:p>
      <w:pPr>
        <w:numPr>
          <w:ilvl w:val="0"/>
          <w:numId w:val="25"/>
        </w:numPr>
        <w:spacing w:line="360" w:before="105" w:after="105" w:lineRule="auto"/>
      </w:pPr>
      <w:r>
        <w:rPr>
          <w:rFonts w:eastAsia="inter" w:cs="inter" w:ascii="inter" w:hAnsi="inter"/>
          <w:b/>
          <w:color w:val="000000"/>
          <w:sz w:val="21"/>
        </w:rPr>
      </w:r>
      <w:hyperlink r:id="rId8">
        <w:r>
          <w:rPr>
            <w:rFonts w:eastAsia="inter" w:cs="inter" w:ascii="inter" w:hAnsi="inter"/>
            <w:b/>
            <w:color w:val="#000"/>
            <w:sz w:val="21"/>
            <w:u w:val="single"/>
          </w:rPr>
          <w:t xml:space="preserve">Hear.ai</w:t>
        </w:r>
      </w:hyperlink>
      <w:r>
        <w:rPr>
          <w:rFonts w:eastAsia="inter" w:cs="inter" w:ascii="inter" w:hAnsi="inter"/>
          <w:b/>
          <w:color w:val="000000"/>
          <w:sz w:val="21"/>
        </w:rPr>
        <w:t xml:space="preserve"> partnership</w:t>
      </w:r>
      <w:r>
        <w:rPr>
          <w:rFonts w:eastAsia="inter" w:cs="inter" w:ascii="inter" w:hAnsi="inter"/>
          <w:color w:val="000000"/>
          <w:sz w:val="21"/>
        </w:rPr>
        <w:t xml:space="preserve">:</w:t>
      </w:r>
    </w:p>
    <w:p>
      <w:pPr>
        <w:numPr>
          <w:ilvl w:val="1"/>
          <w:numId w:val="25"/>
        </w:numPr>
        <w:spacing w:line="360" w:before="105" w:after="105" w:lineRule="auto"/>
      </w:pPr>
      <w:r>
        <w:rPr>
          <w:rFonts w:eastAsia="inter" w:cs="inter" w:ascii="inter" w:hAnsi="inter"/>
          <w:color w:val="000000"/>
          <w:sz w:val="21"/>
        </w:rPr>
        <w:t xml:space="preserve">Hear, an Israeli AI startup focused on </w:t>
      </w:r>
      <w:r>
        <w:rPr>
          <w:rFonts w:eastAsia="inter" w:cs="inter" w:ascii="inter" w:hAnsi="inter"/>
          <w:b/>
          <w:color w:val="000000"/>
          <w:sz w:val="21"/>
        </w:rPr>
        <w:t xml:space="preserve">customer‑service analytics</w:t>
      </w:r>
      <w:r>
        <w:rPr>
          <w:rFonts w:eastAsia="inter" w:cs="inter" w:ascii="inter" w:hAnsi="inter"/>
          <w:color w:val="000000"/>
          <w:sz w:val="21"/>
        </w:rPr>
        <w:t xml:space="preserve">, announced a strategic partnership with PwC Israel to </w:t>
      </w:r>
      <w:r>
        <w:rPr>
          <w:rFonts w:eastAsia="inter" w:cs="inter" w:ascii="inter" w:hAnsi="inter"/>
          <w:b/>
          <w:color w:val="000000"/>
          <w:sz w:val="21"/>
        </w:rPr>
        <w:t xml:space="preserve">“revolutionize customer service with AI‑powered insights.”</w:t>
      </w:r>
      <w:bookmarkStart w:id="130" w:name="fnref20_1"/>
      <w:bookmarkEnd w:id="130"/>
      <w:hyperlink w:anchor="fn20">
        <w:r>
          <w:rPr>
            <w:rFonts w:eastAsia="inter" w:cs="inter" w:ascii="inter" w:hAnsi="inter"/>
            <w:color w:val="#000"/>
            <w:sz w:val="21"/>
            <w:u w:val="single"/>
            <w:vertAlign w:val="superscript"/>
          </w:rPr>
          <w:t xml:space="preserve">[20]</w:t>
        </w:r>
      </w:hyperlink>
    </w:p>
    <w:p>
      <w:pPr>
        <w:numPr>
          <w:ilvl w:val="1"/>
          <w:numId w:val="25"/>
        </w:numPr>
        <w:spacing w:line="360" w:before="105" w:after="105" w:lineRule="auto"/>
      </w:pPr>
      <w:r>
        <w:rPr>
          <w:rFonts w:eastAsia="inter" w:cs="inter" w:ascii="inter" w:hAnsi="inter"/>
          <w:color w:val="000000"/>
          <w:sz w:val="21"/>
        </w:rPr>
        <w:t xml:space="preserve">The partnership combines Hear’s GenAI‑powered analysis of voice and text interactions with PwC Israel’s consulting frameworks to help organizations </w:t>
      </w:r>
      <w:r>
        <w:rPr>
          <w:rFonts w:eastAsia="inter" w:cs="inter" w:ascii="inter" w:hAnsi="inter"/>
          <w:b/>
          <w:color w:val="000000"/>
          <w:sz w:val="21"/>
        </w:rPr>
        <w:t xml:space="preserve">optimize contact‑center operations and customer experience</w:t>
      </w:r>
      <w:r>
        <w:rPr>
          <w:rFonts w:eastAsia="inter" w:cs="inter" w:ascii="inter" w:hAnsi="inter"/>
          <w:color w:val="000000"/>
          <w:sz w:val="21"/>
        </w:rPr>
        <w:t xml:space="preserve">.</w:t>
      </w:r>
      <w:bookmarkStart w:id="131" w:name="fnref20_2"/>
      <w:bookmarkEnd w:id="131"/>
      <w:hyperlink w:anchor="fn20">
        <w:r>
          <w:rPr>
            <w:rFonts w:eastAsia="inter" w:cs="inter" w:ascii="inter" w:hAnsi="inter"/>
            <w:color w:val="#000"/>
            <w:sz w:val="21"/>
            <w:u w:val="single"/>
            <w:vertAlign w:val="superscript"/>
          </w:rPr>
          <w:t xml:space="preserve">[20]</w:t>
        </w:r>
      </w:hyperlink>
    </w:p>
    <w:p>
      <w:pPr>
        <w:numPr>
          <w:ilvl w:val="1"/>
          <w:numId w:val="25"/>
        </w:numPr>
        <w:spacing w:line="360" w:before="105" w:after="105" w:lineRule="auto"/>
      </w:pPr>
      <w:r>
        <w:rPr>
          <w:rFonts w:eastAsia="inter" w:cs="inter" w:ascii="inter" w:hAnsi="inter"/>
          <w:color w:val="000000"/>
          <w:sz w:val="21"/>
        </w:rPr>
        <w:t xml:space="preserve">This is a textbook </w:t>
      </w:r>
      <w:r>
        <w:rPr>
          <w:rFonts w:eastAsia="inter" w:cs="inter" w:ascii="inter" w:hAnsi="inter"/>
          <w:b/>
          <w:color w:val="000000"/>
          <w:sz w:val="21"/>
        </w:rPr>
        <w:t xml:space="preserve">organizational‑productivity bundle</w:t>
      </w:r>
      <w:r>
        <w:rPr>
          <w:rFonts w:eastAsia="inter" w:cs="inter" w:ascii="inter" w:hAnsi="inter"/>
          <w:color w:val="000000"/>
          <w:sz w:val="21"/>
        </w:rPr>
        <w:t xml:space="preserve">: an AI startup’s product wrapped in PwC’s methodology, governance and change‑management for enterprise clients.</w:t>
      </w:r>
    </w:p>
    <w:p>
      <w:pPr>
        <w:numPr>
          <w:ilvl w:val="0"/>
          <w:numId w:val="25"/>
        </w:numPr>
        <w:spacing w:line="360" w:before="105" w:after="105" w:lineRule="auto"/>
      </w:pPr>
      <w:r>
        <w:rPr>
          <w:rFonts w:eastAsia="inter" w:cs="inter" w:ascii="inter" w:hAnsi="inter"/>
          <w:b/>
          <w:color w:val="000000"/>
          <w:sz w:val="21"/>
        </w:rPr>
        <w:t xml:space="preserve">OurCrowd Israel Resilience Fund</w:t>
      </w:r>
      <w:r>
        <w:rPr>
          <w:rFonts w:eastAsia="inter" w:cs="inter" w:ascii="inter" w:hAnsi="inter"/>
          <w:color w:val="000000"/>
          <w:sz w:val="21"/>
        </w:rPr>
        <w:t xml:space="preserve">:</w:t>
      </w:r>
    </w:p>
    <w:p>
      <w:pPr>
        <w:numPr>
          <w:ilvl w:val="1"/>
          <w:numId w:val="25"/>
        </w:numPr>
        <w:spacing w:line="360" w:before="105" w:after="105" w:lineRule="auto"/>
      </w:pPr>
      <w:r>
        <w:rPr>
          <w:rFonts w:eastAsia="inter" w:cs="inter" w:ascii="inter" w:hAnsi="inter"/>
          <w:color w:val="000000"/>
          <w:sz w:val="21"/>
        </w:rPr>
        <w:t xml:space="preserve">PwC Israel is a strategic partner to OurCrowd’s </w:t>
      </w:r>
      <w:r>
        <w:rPr>
          <w:rFonts w:eastAsia="inter" w:cs="inter" w:ascii="inter" w:hAnsi="inter"/>
          <w:b/>
          <w:color w:val="000000"/>
          <w:sz w:val="21"/>
        </w:rPr>
        <w:t xml:space="preserve">Israel Resilience Fund</w:t>
      </w:r>
      <w:r>
        <w:rPr>
          <w:rFonts w:eastAsia="inter" w:cs="inter" w:ascii="inter" w:hAnsi="inter"/>
          <w:color w:val="000000"/>
          <w:sz w:val="21"/>
        </w:rPr>
        <w:t xml:space="preserve">, which aims to support tech startups (many AI‑focused) affected by the ongoing war.</w:t>
      </w:r>
      <w:bookmarkStart w:id="132" w:name="fnref22_1"/>
      <w:bookmarkEnd w:id="132"/>
      <w:hyperlink w:anchor="fn22">
        <w:r>
          <w:rPr>
            <w:rFonts w:eastAsia="inter" w:cs="inter" w:ascii="inter" w:hAnsi="inter"/>
            <w:color w:val="#000"/>
            <w:sz w:val="21"/>
            <w:u w:val="single"/>
            <w:vertAlign w:val="superscript"/>
          </w:rPr>
          <w:t xml:space="preserve">[22]</w:t>
        </w:r>
      </w:hyperlink>
    </w:p>
    <w:p>
      <w:pPr>
        <w:numPr>
          <w:ilvl w:val="1"/>
          <w:numId w:val="25"/>
        </w:numPr>
        <w:spacing w:line="360" w:before="105" w:after="105" w:lineRule="auto"/>
      </w:pPr>
      <w:r>
        <w:rPr>
          <w:rFonts w:eastAsia="inter" w:cs="inter" w:ascii="inter" w:hAnsi="inter"/>
          <w:color w:val="000000"/>
          <w:sz w:val="21"/>
        </w:rPr>
        <w:t xml:space="preserve">PwC Israel provides </w:t>
      </w:r>
      <w:r>
        <w:rPr>
          <w:rFonts w:eastAsia="inter" w:cs="inter" w:ascii="inter" w:hAnsi="inter"/>
          <w:b/>
          <w:color w:val="000000"/>
          <w:sz w:val="21"/>
        </w:rPr>
        <w:t xml:space="preserve">business development support, fundraising advisory, executive connections and dedicated mentorship</w:t>
      </w:r>
      <w:r>
        <w:rPr>
          <w:rFonts w:eastAsia="inter" w:cs="inter" w:ascii="inter" w:hAnsi="inter"/>
          <w:color w:val="000000"/>
          <w:sz w:val="21"/>
        </w:rPr>
        <w:t xml:space="preserve"> to portfolio companies.</w:t>
      </w:r>
      <w:bookmarkStart w:id="133" w:name="fnref22_2"/>
      <w:bookmarkEnd w:id="133"/>
      <w:hyperlink w:anchor="fn22">
        <w:r>
          <w:rPr>
            <w:rFonts w:eastAsia="inter" w:cs="inter" w:ascii="inter" w:hAnsi="inter"/>
            <w:color w:val="#000"/>
            <w:sz w:val="21"/>
            <w:u w:val="single"/>
            <w:vertAlign w:val="superscript"/>
          </w:rPr>
          <w:t xml:space="preserve">[22]</w:t>
        </w:r>
      </w:hyperlink>
    </w:p>
    <w:p>
      <w:pPr>
        <w:numPr>
          <w:ilvl w:val="1"/>
          <w:numId w:val="25"/>
        </w:numPr>
        <w:spacing w:line="360" w:before="105" w:after="105" w:lineRule="auto"/>
      </w:pPr>
      <w:r>
        <w:rPr>
          <w:rFonts w:eastAsia="inter" w:cs="inter" w:ascii="inter" w:hAnsi="inter"/>
          <w:color w:val="000000"/>
          <w:sz w:val="21"/>
        </w:rPr>
        <w:t xml:space="preserve">The fund expects to support </w:t>
      </w:r>
      <w:r>
        <w:rPr>
          <w:rFonts w:eastAsia="inter" w:cs="inter" w:ascii="inter" w:hAnsi="inter"/>
          <w:b/>
          <w:color w:val="000000"/>
          <w:sz w:val="21"/>
        </w:rPr>
        <w:t xml:space="preserve">34 startups and over 1,000 jobs</w:t>
      </w:r>
      <w:r>
        <w:rPr>
          <w:rFonts w:eastAsia="inter" w:cs="inter" w:ascii="inter" w:hAnsi="inter"/>
          <w:color w:val="000000"/>
          <w:sz w:val="21"/>
        </w:rPr>
        <w:t xml:space="preserve">, with significant exposure to AI, cyber and deep tech.</w:t>
      </w:r>
      <w:bookmarkStart w:id="134" w:name="fnref46"/>
      <w:bookmarkEnd w:id="134"/>
      <w:hyperlink w:anchor="fn46">
        <w:r>
          <w:rPr>
            <w:rFonts w:eastAsia="inter" w:cs="inter" w:ascii="inter" w:hAnsi="inter"/>
            <w:color w:val="#000"/>
            <w:sz w:val="21"/>
            <w:u w:val="single"/>
            <w:vertAlign w:val="superscript"/>
          </w:rPr>
          <w:t xml:space="preserve">[46]</w:t>
        </w:r>
      </w:hyperlink>
      <w:bookmarkStart w:id="135" w:name="fnref47"/>
      <w:bookmarkEnd w:id="135"/>
      <w:hyperlink w:anchor="fn47">
        <w:r>
          <w:rPr>
            <w:rFonts w:eastAsia="inter" w:cs="inter" w:ascii="inter" w:hAnsi="inter"/>
            <w:color w:val="#000"/>
            <w:sz w:val="21"/>
            <w:u w:val="single"/>
            <w:vertAlign w:val="superscript"/>
          </w:rPr>
          <w:t xml:space="preserve">[47]</w:t>
        </w:r>
      </w:hyperlink>
      <w:bookmarkStart w:id="136" w:name="fnref22_3"/>
      <w:bookmarkEnd w:id="136"/>
      <w:hyperlink w:anchor="fn22">
        <w:r>
          <w:rPr>
            <w:rFonts w:eastAsia="inter" w:cs="inter" w:ascii="inter" w:hAnsi="inter"/>
            <w:color w:val="#000"/>
            <w:sz w:val="21"/>
            <w:u w:val="single"/>
            <w:vertAlign w:val="superscript"/>
          </w:rPr>
          <w:t xml:space="preserve">[22]</w:t>
        </w:r>
      </w:hyperlink>
    </w:p>
    <w:p>
      <w:pPr>
        <w:spacing w:line="360" w:after="210" w:lineRule="auto"/>
      </w:pPr>
      <w:r>
        <w:rPr>
          <w:rFonts w:eastAsia="inter" w:cs="inter" w:ascii="inter" w:hAnsi="inter"/>
          <w:color w:val="000000"/>
        </w:rPr>
        <w:t xml:space="preserve">These alliances give PwC Israel </w:t>
      </w:r>
      <w:r>
        <w:rPr>
          <w:rFonts w:eastAsia="inter" w:cs="inter" w:ascii="inter" w:hAnsi="inter"/>
          <w:b/>
          <w:color w:val="000000"/>
        </w:rPr>
        <w:t xml:space="preserve">line of sight to cutting‑edge AI startups</w:t>
      </w:r>
      <w:r>
        <w:rPr>
          <w:rFonts w:eastAsia="inter" w:cs="inter" w:ascii="inter" w:hAnsi="inter"/>
          <w:color w:val="000000"/>
        </w:rPr>
        <w:t xml:space="preserve">, and the ability to </w:t>
      </w:r>
      <w:r>
        <w:rPr>
          <w:rFonts w:eastAsia="inter" w:cs="inter" w:ascii="inter" w:hAnsi="inter"/>
          <w:b/>
          <w:color w:val="000000"/>
        </w:rPr>
        <w:t xml:space="preserve">incorporate their solutions into large‑enterprise transformations</w:t>
      </w:r>
      <w:r>
        <w:rPr>
          <w:rFonts w:eastAsia="inter" w:cs="inter" w:ascii="inter" w:hAnsi="inter"/>
          <w:color w:val="000000"/>
        </w:rPr>
        <w:t xml:space="preserve">.</w:t>
      </w:r>
    </w:p>
    <w:p>
      <w:pPr>
        <w:spacing w:line="360" w:before="315" w:after="105" w:lineRule="auto"/>
        <w:ind w:left="-30"/>
        <w:jc w:val="left"/>
      </w:pPr>
      <w:bookmarkStart w:id="137" w:name="bm_7_2_global_cloud_and_saas_alli_9d9137"/>
      <w:r>
        <w:rPr>
          <w:rFonts w:eastAsia="inter" w:cs="inter" w:ascii="inter" w:hAnsi="inter"/>
          <w:b/>
          <w:color w:val="000000"/>
          <w:sz w:val="24"/>
        </w:rPr>
        <w:t xml:space="preserve">7.2 Global cloud and SaaS alliances with local relevance</w:t>
      </w:r>
      <w:bookmarkEnd w:id="137"/>
    </w:p>
    <w:p>
      <w:pPr>
        <w:spacing w:line="360" w:after="210" w:lineRule="auto"/>
      </w:pPr>
      <w:r>
        <w:rPr>
          <w:rFonts w:eastAsia="inter" w:cs="inter" w:ascii="inter" w:hAnsi="inter"/>
          <w:color w:val="000000"/>
        </w:rPr>
        <w:t xml:space="preserve">PwC’s broader cloud and SaaS alliances are actively used in Israel:</w:t>
      </w:r>
    </w:p>
    <w:p>
      <w:pPr>
        <w:numPr>
          <w:ilvl w:val="0"/>
          <w:numId w:val="26"/>
        </w:numPr>
        <w:spacing w:line="360" w:before="105" w:after="105" w:lineRule="auto"/>
      </w:pPr>
      <w:r>
        <w:rPr>
          <w:rFonts w:eastAsia="inter" w:cs="inter" w:ascii="inter" w:hAnsi="inter"/>
          <w:b/>
          <w:color w:val="000000"/>
          <w:sz w:val="21"/>
        </w:rPr>
        <w:t xml:space="preserve">Oracle</w:t>
      </w:r>
      <w:r>
        <w:rPr>
          <w:rFonts w:eastAsia="inter" w:cs="inter" w:ascii="inter" w:hAnsi="inter"/>
          <w:color w:val="000000"/>
          <w:sz w:val="21"/>
        </w:rPr>
        <w:t xml:space="preserve">:</w:t>
      </w:r>
    </w:p>
    <w:p>
      <w:pPr>
        <w:numPr>
          <w:ilvl w:val="1"/>
          <w:numId w:val="26"/>
        </w:numPr>
        <w:spacing w:line="360" w:before="105" w:after="105" w:lineRule="auto"/>
      </w:pPr>
      <w:r>
        <w:rPr>
          <w:rFonts w:eastAsia="inter" w:cs="inter" w:ascii="inter" w:hAnsi="inter"/>
          <w:color w:val="000000"/>
          <w:sz w:val="21"/>
        </w:rPr>
        <w:t xml:space="preserve">Oracle’s Israel partner page highlights PwC’s </w:t>
      </w:r>
      <w:r>
        <w:rPr>
          <w:rFonts w:eastAsia="inter" w:cs="inter" w:ascii="inter" w:hAnsi="inter"/>
          <w:b/>
          <w:color w:val="000000"/>
          <w:sz w:val="21"/>
        </w:rPr>
        <w:t xml:space="preserve">“AI‑driven business performance engine”</w:t>
      </w:r>
      <w:r>
        <w:rPr>
          <w:rFonts w:eastAsia="inter" w:cs="inter" w:ascii="inter" w:hAnsi="inter"/>
          <w:color w:val="000000"/>
          <w:sz w:val="21"/>
        </w:rPr>
        <w:t xml:space="preserve"> on Oracle Fusion Cloud, using embedded AI to monitor enterprise activity and act in real time.</w:t>
      </w:r>
      <w:bookmarkStart w:id="138" w:name="fnref44_1"/>
      <w:bookmarkEnd w:id="138"/>
      <w:hyperlink w:anchor="fn44">
        <w:r>
          <w:rPr>
            <w:rFonts w:eastAsia="inter" w:cs="inter" w:ascii="inter" w:hAnsi="inter"/>
            <w:color w:val="#000"/>
            <w:sz w:val="21"/>
            <w:u w:val="single"/>
            <w:vertAlign w:val="superscript"/>
          </w:rPr>
          <w:t xml:space="preserve">[44]</w:t>
        </w:r>
      </w:hyperlink>
    </w:p>
    <w:p>
      <w:pPr>
        <w:numPr>
          <w:ilvl w:val="1"/>
          <w:numId w:val="26"/>
        </w:numPr>
        <w:spacing w:line="360" w:before="105" w:after="105" w:lineRule="auto"/>
      </w:pPr>
      <w:r>
        <w:rPr>
          <w:rFonts w:eastAsia="inter" w:cs="inter" w:ascii="inter" w:hAnsi="inter"/>
          <w:color w:val="000000"/>
          <w:sz w:val="21"/>
        </w:rPr>
        <w:t xml:space="preserve">This includes sector offerings in </w:t>
      </w:r>
      <w:r>
        <w:rPr>
          <w:rFonts w:eastAsia="inter" w:cs="inter" w:ascii="inter" w:hAnsi="inter"/>
          <w:b/>
          <w:color w:val="000000"/>
          <w:sz w:val="21"/>
        </w:rPr>
        <w:t xml:space="preserve">healthcare, manufacturing and diversified industries</w:t>
      </w:r>
      <w:r>
        <w:rPr>
          <w:rFonts w:eastAsia="inter" w:cs="inter" w:ascii="inter" w:hAnsi="inter"/>
          <w:color w:val="000000"/>
          <w:sz w:val="21"/>
        </w:rPr>
        <w:t xml:space="preserve">, where PwC uses AI embedded in Oracle Cloud applications plus custom AI to deliver operational performance gains.</w:t>
      </w:r>
      <w:bookmarkStart w:id="139" w:name="fnref44_2"/>
      <w:bookmarkEnd w:id="139"/>
      <w:hyperlink w:anchor="fn44">
        <w:r>
          <w:rPr>
            <w:rFonts w:eastAsia="inter" w:cs="inter" w:ascii="inter" w:hAnsi="inter"/>
            <w:color w:val="#000"/>
            <w:sz w:val="21"/>
            <w:u w:val="single"/>
            <w:vertAlign w:val="superscript"/>
          </w:rPr>
          <w:t xml:space="preserve">[44]</w:t>
        </w:r>
      </w:hyperlink>
    </w:p>
    <w:p>
      <w:pPr>
        <w:numPr>
          <w:ilvl w:val="0"/>
          <w:numId w:val="26"/>
        </w:numPr>
        <w:spacing w:line="360" w:before="105" w:after="105" w:lineRule="auto"/>
      </w:pPr>
      <w:r>
        <w:rPr>
          <w:rFonts w:eastAsia="inter" w:cs="inter" w:ascii="inter" w:hAnsi="inter"/>
          <w:b/>
          <w:color w:val="000000"/>
          <w:sz w:val="21"/>
        </w:rPr>
        <w:t xml:space="preserve">Sitecore</w:t>
      </w:r>
      <w:r>
        <w:rPr>
          <w:rFonts w:eastAsia="inter" w:cs="inter" w:ascii="inter" w:hAnsi="inter"/>
          <w:color w:val="000000"/>
          <w:sz w:val="21"/>
        </w:rPr>
        <w:t xml:space="preserve"> (regional):</w:t>
      </w:r>
    </w:p>
    <w:p>
      <w:pPr>
        <w:numPr>
          <w:ilvl w:val="1"/>
          <w:numId w:val="26"/>
        </w:numPr>
        <w:spacing w:line="360" w:before="105" w:after="105" w:lineRule="auto"/>
      </w:pPr>
      <w:r>
        <w:rPr>
          <w:rFonts w:eastAsia="inter" w:cs="inter" w:ascii="inter" w:hAnsi="inter"/>
          <w:color w:val="000000"/>
          <w:sz w:val="21"/>
        </w:rPr>
        <w:t xml:space="preserve">PwC Middle East and Sitecore formed a regional alliance to deliver </w:t>
      </w:r>
      <w:r>
        <w:rPr>
          <w:rFonts w:eastAsia="inter" w:cs="inter" w:ascii="inter" w:hAnsi="inter"/>
          <w:b/>
          <w:color w:val="000000"/>
          <w:sz w:val="21"/>
        </w:rPr>
        <w:t xml:space="preserve">AI‑powered digital experience platforms</w:t>
      </w:r>
      <w:r>
        <w:rPr>
          <w:rFonts w:eastAsia="inter" w:cs="inter" w:ascii="inter" w:hAnsi="inter"/>
          <w:color w:val="000000"/>
          <w:sz w:val="21"/>
        </w:rPr>
        <w:t xml:space="preserve">, focusing on content operations, personalization and digital customer engagement.</w:t>
      </w:r>
      <w:bookmarkStart w:id="140" w:name="fnref48"/>
      <w:bookmarkEnd w:id="140"/>
      <w:hyperlink w:anchor="fn48">
        <w:r>
          <w:rPr>
            <w:rFonts w:eastAsia="inter" w:cs="inter" w:ascii="inter" w:hAnsi="inter"/>
            <w:color w:val="#000"/>
            <w:sz w:val="21"/>
            <w:u w:val="single"/>
            <w:vertAlign w:val="superscript"/>
          </w:rPr>
          <w:t xml:space="preserve">[48]</w:t>
        </w:r>
      </w:hyperlink>
    </w:p>
    <w:p>
      <w:pPr>
        <w:numPr>
          <w:ilvl w:val="0"/>
          <w:numId w:val="26"/>
        </w:numPr>
        <w:spacing w:line="360" w:before="105" w:after="105" w:lineRule="auto"/>
      </w:pPr>
      <w:r>
        <w:rPr>
          <w:rFonts w:eastAsia="inter" w:cs="inter" w:ascii="inter" w:hAnsi="inter"/>
          <w:b/>
          <w:color w:val="000000"/>
          <w:sz w:val="21"/>
        </w:rPr>
        <w:t xml:space="preserve">WalkMe</w:t>
      </w:r>
      <w:r>
        <w:rPr>
          <w:rFonts w:eastAsia="inter" w:cs="inter" w:ascii="inter" w:hAnsi="inter"/>
          <w:color w:val="000000"/>
          <w:sz w:val="21"/>
        </w:rPr>
        <w:t xml:space="preserve">:</w:t>
      </w:r>
    </w:p>
    <w:p>
      <w:pPr>
        <w:numPr>
          <w:ilvl w:val="1"/>
          <w:numId w:val="26"/>
        </w:numPr>
        <w:spacing w:line="360" w:before="105" w:after="105" w:lineRule="auto"/>
      </w:pPr>
      <w:r>
        <w:rPr>
          <w:rFonts w:eastAsia="inter" w:cs="inter" w:ascii="inter" w:hAnsi="inter"/>
          <w:color w:val="000000"/>
          <w:sz w:val="21"/>
        </w:rPr>
        <w:t xml:space="preserve">PwC Israel is both partner and content builder for WalkMe, using the platform to drive </w:t>
      </w:r>
      <w:r>
        <w:rPr>
          <w:rFonts w:eastAsia="inter" w:cs="inter" w:ascii="inter" w:hAnsi="inter"/>
          <w:b/>
          <w:color w:val="000000"/>
          <w:sz w:val="21"/>
        </w:rPr>
        <w:t xml:space="preserve">employee‑productivity and digital‑adoption programs</w:t>
      </w:r>
      <w:r>
        <w:rPr>
          <w:rFonts w:eastAsia="inter" w:cs="inter" w:ascii="inter" w:hAnsi="inter"/>
          <w:color w:val="000000"/>
          <w:sz w:val="21"/>
        </w:rPr>
        <w:t xml:space="preserve">.</w:t>
      </w:r>
      <w:bookmarkStart w:id="141" w:name="fnref29_2"/>
      <w:bookmarkEnd w:id="141"/>
      <w:hyperlink w:anchor="fn29">
        <w:r>
          <w:rPr>
            <w:rFonts w:eastAsia="inter" w:cs="inter" w:ascii="inter" w:hAnsi="inter"/>
            <w:color w:val="#000"/>
            <w:sz w:val="21"/>
            <w:u w:val="single"/>
            <w:vertAlign w:val="superscript"/>
          </w:rPr>
          <w:t xml:space="preserve">[29]</w:t>
        </w:r>
      </w:hyperlink>
    </w:p>
    <w:p>
      <w:pPr>
        <w:spacing w:line="360" w:after="210" w:lineRule="auto"/>
      </w:pPr>
      <w:r>
        <w:rPr>
          <w:rFonts w:eastAsia="inter" w:cs="inter" w:ascii="inter" w:hAnsi="inter"/>
          <w:color w:val="000000"/>
        </w:rPr>
        <w:t xml:space="preserve">These alliances are frequently the </w:t>
      </w:r>
      <w:r>
        <w:rPr>
          <w:rFonts w:eastAsia="inter" w:cs="inter" w:ascii="inter" w:hAnsi="inter"/>
          <w:b/>
          <w:color w:val="000000"/>
        </w:rPr>
        <w:t xml:space="preserve">delivery vehicles</w:t>
      </w:r>
      <w:r>
        <w:rPr>
          <w:rFonts w:eastAsia="inter" w:cs="inter" w:ascii="inter" w:hAnsi="inter"/>
          <w:color w:val="000000"/>
        </w:rPr>
        <w:t xml:space="preserve"> for PwC Israel’s organizational‑productivity AI plays: GenAI + ERP/CRM + digital adoption + analytics, delivered under the </w:t>
      </w:r>
      <w:r>
        <w:rPr>
          <w:rFonts w:eastAsia="inter" w:cs="inter" w:ascii="inter" w:hAnsi="inter"/>
          <w:b/>
          <w:color w:val="000000"/>
        </w:rPr>
        <w:t xml:space="preserve">New Equation</w:t>
      </w:r>
      <w:r>
        <w:rPr>
          <w:rFonts w:eastAsia="inter" w:cs="inter" w:ascii="inter" w:hAnsi="inter"/>
          <w:color w:val="000000"/>
        </w:rPr>
        <w:t xml:space="preserve"> and </w:t>
      </w:r>
      <w:r>
        <w:rPr>
          <w:rFonts w:eastAsia="inter" w:cs="inter" w:ascii="inter" w:hAnsi="inter"/>
          <w:b/>
          <w:color w:val="000000"/>
        </w:rPr>
        <w:t xml:space="preserve">AI Factory</w:t>
      </w:r>
      <w:r>
        <w:rPr>
          <w:rFonts w:eastAsia="inter" w:cs="inter" w:ascii="inter" w:hAnsi="inter"/>
          <w:color w:val="000000"/>
        </w:rPr>
        <w:t xml:space="preserve"> banners.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2" w:name="bm_8_key_personalities_and_though_1c4eaf"/>
      <w:r>
        <w:rPr>
          <w:rFonts w:eastAsia="inter" w:cs="inter" w:ascii="inter" w:hAnsi="inter"/>
          <w:b/>
          <w:color w:val="000000"/>
          <w:sz w:val="24"/>
        </w:rPr>
        <w:t xml:space="preserve">8. Key Personalities and Thought Leadership</w:t>
      </w:r>
      <w:bookmarkEnd w:id="142"/>
    </w:p>
    <w:p>
      <w:pPr>
        <w:spacing w:line="360" w:before="315" w:after="105" w:lineRule="auto"/>
        <w:ind w:left="-30"/>
        <w:jc w:val="left"/>
      </w:pPr>
      <w:bookmarkStart w:id="143" w:name="bm_8_1_rubi_suliman_advisory_hi_t_9eac90"/>
      <w:r>
        <w:rPr>
          <w:rFonts w:eastAsia="inter" w:cs="inter" w:ascii="inter" w:hAnsi="inter"/>
          <w:b/>
          <w:color w:val="000000"/>
          <w:sz w:val="24"/>
        </w:rPr>
        <w:t xml:space="preserve">8.1 Rubi Suliman – Advisory &amp; Hi‑Tech Leader</w:t>
      </w:r>
      <w:bookmarkEnd w:id="143"/>
    </w:p>
    <w:p>
      <w:pPr>
        <w:numPr>
          <w:ilvl w:val="0"/>
          <w:numId w:val="27"/>
        </w:numPr>
        <w:spacing w:line="360" w:before="105" w:after="105" w:lineRule="auto"/>
      </w:pPr>
      <w:r>
        <w:rPr>
          <w:rFonts w:eastAsia="inter" w:cs="inter" w:ascii="inter" w:hAnsi="inter"/>
          <w:color w:val="000000"/>
          <w:sz w:val="21"/>
        </w:rPr>
        <w:t xml:space="preserve">Partner, Advisory &amp; Hi‑Tech Leader at PwC Israel.</w:t>
      </w:r>
      <w:bookmarkStart w:id="144" w:name="fnref49"/>
      <w:bookmarkEnd w:id="144"/>
      <w:hyperlink w:anchor="fn49">
        <w:r>
          <w:rPr>
            <w:rFonts w:eastAsia="inter" w:cs="inter" w:ascii="inter" w:hAnsi="inter"/>
            <w:color w:val="#000"/>
            <w:sz w:val="21"/>
            <w:u w:val="single"/>
            <w:vertAlign w:val="superscript"/>
          </w:rPr>
          <w:t xml:space="preserve">[49]</w:t>
        </w:r>
      </w:hyperlink>
    </w:p>
    <w:p>
      <w:pPr>
        <w:numPr>
          <w:ilvl w:val="0"/>
          <w:numId w:val="27"/>
        </w:numPr>
        <w:spacing w:line="360" w:before="105" w:after="105" w:lineRule="auto"/>
      </w:pPr>
      <w:r>
        <w:rPr>
          <w:rFonts w:eastAsia="inter" w:cs="inter" w:ascii="inter" w:hAnsi="inter"/>
          <w:color w:val="000000"/>
          <w:sz w:val="21"/>
        </w:rPr>
        <w:t xml:space="preserve">In the STKI feature, Suliman underscores:</w:t>
      </w:r>
    </w:p>
    <w:p>
      <w:pPr>
        <w:numPr>
          <w:ilvl w:val="1"/>
          <w:numId w:val="27"/>
        </w:numPr>
        <w:spacing w:line="360" w:before="105" w:after="105" w:lineRule="auto"/>
      </w:pPr>
      <w:r>
        <w:rPr>
          <w:rFonts w:eastAsia="inter" w:cs="inter" w:ascii="inter" w:hAnsi="inter"/>
          <w:color w:val="000000"/>
          <w:sz w:val="21"/>
        </w:rPr>
        <w:t xml:space="preserve">PwC Advisory Israel’s Tier‑1 standings in application consulting, GenAI, cyber and IT as </w:t>
      </w:r>
      <w:r>
        <w:rPr>
          <w:rFonts w:eastAsia="inter" w:cs="inter" w:ascii="inter" w:hAnsi="inter"/>
          <w:b/>
          <w:color w:val="000000"/>
          <w:sz w:val="21"/>
        </w:rPr>
        <w:t xml:space="preserve">evidence of being a central market player</w:t>
      </w:r>
      <w:r>
        <w:rPr>
          <w:rFonts w:eastAsia="inter" w:cs="inter" w:ascii="inter" w:hAnsi="inter"/>
          <w:color w:val="000000"/>
          <w:sz w:val="21"/>
        </w:rPr>
        <w:t xml:space="preserve">.</w:t>
      </w:r>
      <w:bookmarkStart w:id="145" w:name="fnref1_7"/>
      <w:bookmarkEnd w:id="145"/>
      <w:hyperlink w:anchor="fn1">
        <w:r>
          <w:rPr>
            <w:rFonts w:eastAsia="inter" w:cs="inter" w:ascii="inter" w:hAnsi="inter"/>
            <w:color w:val="#000"/>
            <w:sz w:val="21"/>
            <w:u w:val="single"/>
            <w:vertAlign w:val="superscript"/>
          </w:rPr>
          <w:t xml:space="preserve">[1]</w:t>
        </w:r>
      </w:hyperlink>
    </w:p>
    <w:p>
      <w:pPr>
        <w:numPr>
          <w:ilvl w:val="1"/>
          <w:numId w:val="27"/>
        </w:numPr>
        <w:spacing w:line="360" w:before="105" w:after="105" w:lineRule="auto"/>
      </w:pPr>
      <w:r>
        <w:rPr>
          <w:rFonts w:eastAsia="inter" w:cs="inter" w:ascii="inter" w:hAnsi="inter"/>
          <w:color w:val="000000"/>
          <w:sz w:val="21"/>
        </w:rPr>
        <w:t xml:space="preserve">The joint role of </w:t>
      </w:r>
      <w:r>
        <w:rPr>
          <w:rFonts w:eastAsia="inter" w:cs="inter" w:ascii="inter" w:hAnsi="inter"/>
          <w:b/>
          <w:color w:val="000000"/>
          <w:sz w:val="21"/>
        </w:rPr>
        <w:t xml:space="preserve">PwC’s consulting arm and PwC NEXT</w:t>
      </w:r>
      <w:r>
        <w:rPr>
          <w:rFonts w:eastAsia="inter" w:cs="inter" w:ascii="inter" w:hAnsi="inter"/>
          <w:color w:val="000000"/>
          <w:sz w:val="21"/>
        </w:rPr>
        <w:t xml:space="preserve"> in focusing resources on </w:t>
      </w:r>
      <w:r>
        <w:rPr>
          <w:rFonts w:eastAsia="inter" w:cs="inter" w:ascii="inter" w:hAnsi="inter"/>
          <w:b/>
          <w:color w:val="000000"/>
          <w:sz w:val="21"/>
        </w:rPr>
        <w:t xml:space="preserve">AI applications, cybersecurity and cloud migration</w:t>
      </w:r>
      <w:r>
        <w:rPr>
          <w:rFonts w:eastAsia="inter" w:cs="inter" w:ascii="inter" w:hAnsi="inter"/>
          <w:color w:val="000000"/>
          <w:sz w:val="21"/>
        </w:rPr>
        <w:t xml:space="preserve">, and in delivering projects on Oracle, Salesforce, SAP and NetSuite.</w:t>
      </w:r>
      <w:bookmarkStart w:id="146" w:name="fnref1_8"/>
      <w:bookmarkEnd w:id="146"/>
      <w:hyperlink w:anchor="fn1">
        <w:r>
          <w:rPr>
            <w:rFonts w:eastAsia="inter" w:cs="inter" w:ascii="inter" w:hAnsi="inter"/>
            <w:color w:val="#000"/>
            <w:sz w:val="21"/>
            <w:u w:val="single"/>
            <w:vertAlign w:val="superscript"/>
          </w:rPr>
          <w:t xml:space="preserve">[1]</w:t>
        </w:r>
      </w:hyperlink>
    </w:p>
    <w:p>
      <w:pPr>
        <w:spacing w:line="360" w:after="210" w:lineRule="auto"/>
      </w:pPr>
      <w:r>
        <w:rPr>
          <w:rFonts w:eastAsia="inter" w:cs="inter" w:ascii="inter" w:hAnsi="inter"/>
          <w:b/>
          <w:color w:val="000000"/>
        </w:rPr>
        <w:t xml:space="preserve">Pitch focus:</w:t>
      </w:r>
      <w:r>
        <w:rPr>
          <w:rFonts w:eastAsia="inter" w:cs="inter" w:ascii="inter" w:hAnsi="inter"/>
          <w:color w:val="000000"/>
        </w:rPr>
        <w:t xml:space="preserve"> Efficiency and modernization—PwC as the </w:t>
      </w:r>
      <w:r>
        <w:rPr>
          <w:rFonts w:eastAsia="inter" w:cs="inter" w:ascii="inter" w:hAnsi="inter"/>
          <w:b/>
          <w:color w:val="000000"/>
        </w:rPr>
        <w:t xml:space="preserve">central orchestrator</w:t>
      </w:r>
      <w:r>
        <w:rPr>
          <w:rFonts w:eastAsia="inter" w:cs="inter" w:ascii="inter" w:hAnsi="inter"/>
          <w:color w:val="000000"/>
        </w:rPr>
        <w:t xml:space="preserve"> of digital and AI transformation in Israel’s enterprise sector.</w:t>
      </w:r>
    </w:p>
    <w:p>
      <w:pPr>
        <w:spacing w:line="360" w:before="315" w:after="105" w:lineRule="auto"/>
        <w:ind w:left="-30"/>
        <w:jc w:val="left"/>
      </w:pPr>
      <w:bookmarkStart w:id="147" w:name="bm_8_2_talya_gazit_head_of_digita_3ece84"/>
      <w:r>
        <w:rPr>
          <w:rFonts w:eastAsia="inter" w:cs="inter" w:ascii="inter" w:hAnsi="inter"/>
          <w:b/>
          <w:color w:val="000000"/>
          <w:sz w:val="24"/>
        </w:rPr>
        <w:t xml:space="preserve">8.2 Talya Gazit – Head of Digital Transformation &amp; CEO, PwC NEXT</w:t>
      </w:r>
      <w:bookmarkEnd w:id="147"/>
    </w:p>
    <w:p>
      <w:pPr>
        <w:numPr>
          <w:ilvl w:val="0"/>
          <w:numId w:val="28"/>
        </w:numPr>
        <w:spacing w:line="360" w:before="105" w:after="105" w:lineRule="auto"/>
      </w:pPr>
      <w:r>
        <w:rPr>
          <w:rFonts w:eastAsia="inter" w:cs="inter" w:ascii="inter" w:hAnsi="inter"/>
          <w:color w:val="000000"/>
          <w:sz w:val="21"/>
        </w:rPr>
        <w:t xml:space="preserve">Partner, Head of Digital Transformation, Cybersecurity &amp; Privacy at PwC Israel; CEO of PwC NEXT.</w:t>
      </w:r>
      <w:bookmarkStart w:id="148" w:name="fnref50"/>
      <w:bookmarkEnd w:id="148"/>
      <w:hyperlink w:anchor="fn50">
        <w:r>
          <w:rPr>
            <w:rFonts w:eastAsia="inter" w:cs="inter" w:ascii="inter" w:hAnsi="inter"/>
            <w:color w:val="#000"/>
            <w:sz w:val="21"/>
            <w:u w:val="single"/>
            <w:vertAlign w:val="superscript"/>
          </w:rPr>
          <w:t xml:space="preserve">[50]</w:t>
        </w:r>
      </w:hyperlink>
      <w:bookmarkStart w:id="149" w:name="fnref4_4"/>
      <w:bookmarkEnd w:id="149"/>
      <w:hyperlink w:anchor="fn4">
        <w:r>
          <w:rPr>
            <w:rFonts w:eastAsia="inter" w:cs="inter" w:ascii="inter" w:hAnsi="inter"/>
            <w:color w:val="#000"/>
            <w:sz w:val="21"/>
            <w:u w:val="single"/>
            <w:vertAlign w:val="superscript"/>
          </w:rPr>
          <w:t xml:space="preserve">[4]</w:t>
        </w:r>
      </w:hyperlink>
    </w:p>
    <w:p>
      <w:pPr>
        <w:numPr>
          <w:ilvl w:val="0"/>
          <w:numId w:val="28"/>
        </w:numPr>
        <w:spacing w:line="360" w:before="105" w:after="105" w:lineRule="auto"/>
      </w:pPr>
      <w:r>
        <w:rPr>
          <w:rFonts w:eastAsia="inter" w:cs="inter" w:ascii="inter" w:hAnsi="inter"/>
          <w:color w:val="000000"/>
          <w:sz w:val="21"/>
        </w:rPr>
        <w:t xml:space="preserve">Former </w:t>
      </w:r>
      <w:r>
        <w:rPr>
          <w:rFonts w:eastAsia="inter" w:cs="inter" w:ascii="inter" w:hAnsi="inter"/>
          <w:b/>
          <w:color w:val="000000"/>
          <w:sz w:val="21"/>
        </w:rPr>
        <w:t xml:space="preserve">Head of Mamram</w:t>
      </w:r>
      <w:r>
        <w:rPr>
          <w:rFonts w:eastAsia="inter" w:cs="inter" w:ascii="inter" w:hAnsi="inter"/>
          <w:color w:val="000000"/>
          <w:sz w:val="21"/>
        </w:rPr>
        <w:t xml:space="preserve">, the IDF’s central technology and cyber‑defense unit, overseeing 600+ tech engineers and major digital transformation initiatives (cloud migration, data‑center strategy, cyber defense center).</w:t>
      </w:r>
      <w:bookmarkStart w:id="150" w:name="fnref50_1"/>
      <w:bookmarkEnd w:id="150"/>
      <w:hyperlink w:anchor="fn50">
        <w:r>
          <w:rPr>
            <w:rFonts w:eastAsia="inter" w:cs="inter" w:ascii="inter" w:hAnsi="inter"/>
            <w:color w:val="#000"/>
            <w:sz w:val="21"/>
            <w:u w:val="single"/>
            <w:vertAlign w:val="superscript"/>
          </w:rPr>
          <w:t xml:space="preserve">[50]</w:t>
        </w:r>
      </w:hyperlink>
    </w:p>
    <w:p>
      <w:pPr>
        <w:numPr>
          <w:ilvl w:val="0"/>
          <w:numId w:val="28"/>
        </w:numPr>
        <w:spacing w:line="360" w:before="105" w:after="105" w:lineRule="auto"/>
      </w:pPr>
      <w:r>
        <w:rPr>
          <w:rFonts w:eastAsia="inter" w:cs="inter" w:ascii="inter" w:hAnsi="inter"/>
          <w:color w:val="000000"/>
          <w:sz w:val="21"/>
        </w:rPr>
        <w:t xml:space="preserve">She has publicly argued that the </w:t>
      </w:r>
      <w:r>
        <w:rPr>
          <w:rFonts w:eastAsia="inter" w:cs="inter" w:ascii="inter" w:hAnsi="inter"/>
          <w:b/>
          <w:color w:val="000000"/>
          <w:sz w:val="21"/>
        </w:rPr>
        <w:t xml:space="preserve">IDF must change its defense concepts and incorporate more AI tools</w:t>
      </w:r>
      <w:r>
        <w:rPr>
          <w:rFonts w:eastAsia="inter" w:cs="inter" w:ascii="inter" w:hAnsi="inter"/>
          <w:color w:val="000000"/>
          <w:sz w:val="21"/>
        </w:rPr>
        <w:t xml:space="preserve">, reflecting a deep understanding of AI’s role in national‑security infrastructure.</w:t>
      </w:r>
      <w:bookmarkStart w:id="151" w:name="fnref51"/>
      <w:bookmarkEnd w:id="151"/>
      <w:hyperlink w:anchor="fn51">
        <w:r>
          <w:rPr>
            <w:rFonts w:eastAsia="inter" w:cs="inter" w:ascii="inter" w:hAnsi="inter"/>
            <w:color w:val="#000"/>
            <w:sz w:val="21"/>
            <w:u w:val="single"/>
            <w:vertAlign w:val="superscript"/>
          </w:rPr>
          <w:t xml:space="preserve">[51]</w:t>
        </w:r>
      </w:hyperlink>
    </w:p>
    <w:p>
      <w:pPr>
        <w:spacing w:line="360" w:after="210" w:lineRule="auto"/>
      </w:pPr>
      <w:r>
        <w:rPr>
          <w:rFonts w:eastAsia="inter" w:cs="inter" w:ascii="inter" w:hAnsi="inter"/>
          <w:b/>
          <w:color w:val="000000"/>
        </w:rPr>
        <w:t xml:space="preserve">Pitch focus:</w:t>
      </w:r>
      <w:r>
        <w:rPr>
          <w:rFonts w:eastAsia="inter" w:cs="inter" w:ascii="inter" w:hAnsi="inter"/>
          <w:color w:val="000000"/>
        </w:rPr>
        <w:t xml:space="preserve"> </w:t>
      </w:r>
      <w:r>
        <w:rPr>
          <w:rFonts w:eastAsia="inter" w:cs="inter" w:ascii="inter" w:hAnsi="inter"/>
          <w:b/>
          <w:color w:val="000000"/>
        </w:rPr>
        <w:t xml:space="preserve">Safety and resilience meets transformation.</w:t>
      </w:r>
      <w:r>
        <w:rPr>
          <w:rFonts w:eastAsia="inter" w:cs="inter" w:ascii="inter" w:hAnsi="inter"/>
          <w:color w:val="000000"/>
        </w:rPr>
        <w:t xml:space="preserve"> Gazit consistently frames AI and digital initiatives as:</w:t>
      </w:r>
    </w:p>
    <w:p>
      <w:pPr>
        <w:numPr>
          <w:ilvl w:val="0"/>
          <w:numId w:val="29"/>
        </w:numPr>
        <w:spacing w:line="360" w:before="105" w:after="105" w:lineRule="auto"/>
      </w:pPr>
      <w:r>
        <w:rPr>
          <w:rFonts w:eastAsia="inter" w:cs="inter" w:ascii="inter" w:hAnsi="inter"/>
          <w:color w:val="000000"/>
          <w:sz w:val="21"/>
        </w:rPr>
        <w:t xml:space="preserve">Essential for </w:t>
      </w:r>
      <w:r>
        <w:rPr>
          <w:rFonts w:eastAsia="inter" w:cs="inter" w:ascii="inter" w:hAnsi="inter"/>
          <w:b/>
          <w:color w:val="000000"/>
          <w:sz w:val="21"/>
        </w:rPr>
        <w:t xml:space="preserve">operational resilience</w:t>
      </w:r>
      <w:r>
        <w:rPr>
          <w:rFonts w:eastAsia="inter" w:cs="inter" w:ascii="inter" w:hAnsi="inter"/>
          <w:color w:val="000000"/>
          <w:sz w:val="21"/>
        </w:rPr>
        <w:t xml:space="preserve"> and </w:t>
      </w:r>
      <w:r>
        <w:rPr>
          <w:rFonts w:eastAsia="inter" w:cs="inter" w:ascii="inter" w:hAnsi="inter"/>
          <w:b/>
          <w:color w:val="000000"/>
          <w:sz w:val="21"/>
        </w:rPr>
        <w:t xml:space="preserve">cybersecurity</w:t>
      </w:r>
      <w:r>
        <w:rPr>
          <w:rFonts w:eastAsia="inter" w:cs="inter" w:ascii="inter" w:hAnsi="inter"/>
          <w:color w:val="000000"/>
          <w:sz w:val="21"/>
        </w:rPr>
        <w:t xml:space="preserve">.</w:t>
      </w:r>
    </w:p>
    <w:p>
      <w:pPr>
        <w:numPr>
          <w:ilvl w:val="0"/>
          <w:numId w:val="29"/>
        </w:numPr>
        <w:spacing w:line="360" w:before="105" w:after="105" w:lineRule="auto"/>
      </w:pPr>
      <w:r>
        <w:rPr>
          <w:rFonts w:eastAsia="inter" w:cs="inter" w:ascii="inter" w:hAnsi="inter"/>
          <w:color w:val="000000"/>
          <w:sz w:val="21"/>
        </w:rPr>
        <w:t xml:space="preserve">Tools to enable </w:t>
      </w:r>
      <w:r>
        <w:rPr>
          <w:rFonts w:eastAsia="inter" w:cs="inter" w:ascii="inter" w:hAnsi="inter"/>
          <w:b/>
          <w:color w:val="000000"/>
          <w:sz w:val="21"/>
        </w:rPr>
        <w:t xml:space="preserve">rapid but controlled transformation</w:t>
      </w:r>
      <w:r>
        <w:rPr>
          <w:rFonts w:eastAsia="inter" w:cs="inter" w:ascii="inter" w:hAnsi="inter"/>
          <w:color w:val="000000"/>
          <w:sz w:val="21"/>
        </w:rPr>
        <w:t xml:space="preserve">, in both government and enterprise contexts.</w:t>
      </w:r>
    </w:p>
    <w:p>
      <w:pPr>
        <w:spacing w:line="360" w:before="315" w:after="105" w:lineRule="auto"/>
        <w:ind w:left="-30"/>
        <w:jc w:val="left"/>
      </w:pPr>
      <w:bookmarkStart w:id="152" w:name="bm_8_3_pavel_sheynkman_cto_head_o_4a17e0"/>
      <w:r>
        <w:rPr>
          <w:rFonts w:eastAsia="inter" w:cs="inter" w:ascii="inter" w:hAnsi="inter"/>
          <w:b/>
          <w:color w:val="000000"/>
          <w:sz w:val="24"/>
        </w:rPr>
        <w:t xml:space="preserve">8.3 Pavel Sheynkman – CTO &amp; Head of Cloud and AI Solutions (PwC NEXT)</w:t>
      </w:r>
      <w:bookmarkEnd w:id="152"/>
    </w:p>
    <w:p>
      <w:pPr>
        <w:numPr>
          <w:ilvl w:val="0"/>
          <w:numId w:val="30"/>
        </w:numPr>
        <w:spacing w:line="360" w:before="105" w:after="105" w:lineRule="auto"/>
      </w:pPr>
      <w:r>
        <w:rPr>
          <w:rFonts w:eastAsia="inter" w:cs="inter" w:ascii="inter" w:hAnsi="inter"/>
          <w:color w:val="000000"/>
          <w:sz w:val="21"/>
        </w:rPr>
        <w:t xml:space="preserve">CTO and Head of Cloud &amp; AI Solutions at PwC NEXT, leading the AI Factory Methodology.</w:t>
      </w:r>
      <w:bookmarkStart w:id="153" w:name="fnref2_6"/>
      <w:bookmarkEnd w:id="153"/>
      <w:hyperlink w:anchor="fn2">
        <w:r>
          <w:rPr>
            <w:rFonts w:eastAsia="inter" w:cs="inter" w:ascii="inter" w:hAnsi="inter"/>
            <w:color w:val="#000"/>
            <w:sz w:val="21"/>
            <w:u w:val="single"/>
            <w:vertAlign w:val="superscript"/>
          </w:rPr>
          <w:t xml:space="preserve">[2]</w:t>
        </w:r>
      </w:hyperlink>
    </w:p>
    <w:p>
      <w:pPr>
        <w:numPr>
          <w:ilvl w:val="0"/>
          <w:numId w:val="30"/>
        </w:numPr>
        <w:spacing w:line="360" w:before="105" w:after="105" w:lineRule="auto"/>
      </w:pPr>
      <w:r>
        <w:rPr>
          <w:rFonts w:eastAsia="inter" w:cs="inter" w:ascii="inter" w:hAnsi="inter"/>
          <w:color w:val="000000"/>
          <w:sz w:val="21"/>
        </w:rPr>
        <w:t xml:space="preserve">Background in:</w:t>
      </w:r>
    </w:p>
    <w:p>
      <w:pPr>
        <w:numPr>
          <w:ilvl w:val="1"/>
          <w:numId w:val="30"/>
        </w:numPr>
        <w:spacing w:line="360" w:before="105" w:after="105" w:lineRule="auto"/>
      </w:pPr>
      <w:r>
        <w:rPr>
          <w:rFonts w:eastAsia="inter" w:cs="inter" w:ascii="inter" w:hAnsi="inter"/>
          <w:color w:val="000000"/>
          <w:sz w:val="21"/>
        </w:rPr>
        <w:t xml:space="preserve">Large‑scale IDF cloud and system‑modernization projects.</w:t>
      </w:r>
      <w:bookmarkStart w:id="154" w:name="fnref2_7"/>
      <w:bookmarkEnd w:id="154"/>
      <w:hyperlink w:anchor="fn2">
        <w:r>
          <w:rPr>
            <w:rFonts w:eastAsia="inter" w:cs="inter" w:ascii="inter" w:hAnsi="inter"/>
            <w:color w:val="#000"/>
            <w:sz w:val="21"/>
            <w:u w:val="single"/>
            <w:vertAlign w:val="superscript"/>
          </w:rPr>
          <w:t xml:space="preserve">[2]</w:t>
        </w:r>
      </w:hyperlink>
    </w:p>
    <w:p>
      <w:pPr>
        <w:numPr>
          <w:ilvl w:val="1"/>
          <w:numId w:val="30"/>
        </w:numPr>
        <w:spacing w:line="360" w:before="105" w:after="105" w:lineRule="auto"/>
      </w:pPr>
      <w:r>
        <w:rPr>
          <w:rFonts w:eastAsia="inter" w:cs="inter" w:ascii="inter" w:hAnsi="inter"/>
          <w:color w:val="000000"/>
          <w:sz w:val="21"/>
        </w:rPr>
        <w:t xml:space="preserve">Commercial work improving operations at </w:t>
      </w:r>
      <w:r>
        <w:rPr>
          <w:rFonts w:eastAsia="inter" w:cs="inter" w:ascii="inter" w:hAnsi="inter"/>
          <w:b/>
          <w:color w:val="000000"/>
          <w:sz w:val="21"/>
        </w:rPr>
        <w:t xml:space="preserve">Bank Hapoalim</w:t>
      </w:r>
      <w:r>
        <w:rPr>
          <w:rFonts w:eastAsia="inter" w:cs="inter" w:ascii="inter" w:hAnsi="inter"/>
          <w:color w:val="000000"/>
          <w:sz w:val="21"/>
        </w:rPr>
        <w:t xml:space="preserve">, </w:t>
      </w:r>
      <w:r>
        <w:rPr>
          <w:rFonts w:eastAsia="inter" w:cs="inter" w:ascii="inter" w:hAnsi="inter"/>
          <w:b/>
          <w:color w:val="000000"/>
          <w:sz w:val="21"/>
        </w:rPr>
        <w:t xml:space="preserve">Migdal Insurance</w:t>
      </w:r>
      <w:r>
        <w:rPr>
          <w:rFonts w:eastAsia="inter" w:cs="inter" w:ascii="inter" w:hAnsi="inter"/>
          <w:color w:val="000000"/>
          <w:sz w:val="21"/>
        </w:rPr>
        <w:t xml:space="preserve">, </w:t>
      </w:r>
      <w:r>
        <w:rPr>
          <w:rFonts w:eastAsia="inter" w:cs="inter" w:ascii="inter" w:hAnsi="inter"/>
          <w:b/>
          <w:color w:val="000000"/>
          <w:sz w:val="21"/>
        </w:rPr>
        <w:t xml:space="preserve">EL AL</w:t>
      </w:r>
      <w:r>
        <w:rPr>
          <w:rFonts w:eastAsia="inter" w:cs="inter" w:ascii="inter" w:hAnsi="inter"/>
          <w:color w:val="000000"/>
          <w:sz w:val="21"/>
        </w:rPr>
        <w:t xml:space="preserve">, and Fischer Behar Chen.</w:t>
      </w:r>
      <w:bookmarkStart w:id="155" w:name="fnref23_4"/>
      <w:bookmarkEnd w:id="155"/>
      <w:hyperlink w:anchor="fn23">
        <w:r>
          <w:rPr>
            <w:rFonts w:eastAsia="inter" w:cs="inter" w:ascii="inter" w:hAnsi="inter"/>
            <w:color w:val="#000"/>
            <w:sz w:val="21"/>
            <w:u w:val="single"/>
            <w:vertAlign w:val="superscript"/>
          </w:rPr>
          <w:t xml:space="preserve">[23]</w:t>
        </w:r>
      </w:hyperlink>
      <w:bookmarkStart w:id="156" w:name="fnref5_9"/>
      <w:bookmarkEnd w:id="156"/>
      <w:hyperlink w:anchor="fn5">
        <w:r>
          <w:rPr>
            <w:rFonts w:eastAsia="inter" w:cs="inter" w:ascii="inter" w:hAnsi="inter"/>
            <w:color w:val="#000"/>
            <w:sz w:val="21"/>
            <w:u w:val="single"/>
            <w:vertAlign w:val="superscript"/>
          </w:rPr>
          <w:t xml:space="preserve">[5]</w:t>
        </w:r>
      </w:hyperlink>
    </w:p>
    <w:p>
      <w:pPr>
        <w:numPr>
          <w:ilvl w:val="0"/>
          <w:numId w:val="30"/>
        </w:numPr>
        <w:spacing w:line="360" w:before="105" w:after="105" w:lineRule="auto"/>
      </w:pPr>
      <w:r>
        <w:rPr>
          <w:rFonts w:eastAsia="inter" w:cs="inter" w:ascii="inter" w:hAnsi="inter"/>
          <w:color w:val="000000"/>
          <w:sz w:val="21"/>
        </w:rPr>
        <w:t xml:space="preserve">Publishes thought leadership on GenAI, including </w:t>
      </w:r>
      <w:r>
        <w:rPr>
          <w:rFonts w:eastAsia="inter" w:cs="inter" w:ascii="inter" w:hAnsi="inter"/>
          <w:b/>
          <w:color w:val="000000"/>
          <w:sz w:val="21"/>
        </w:rPr>
        <w:t xml:space="preserve">“Generative AI is the new programming language”</w:t>
      </w:r>
      <w:r>
        <w:rPr>
          <w:rFonts w:eastAsia="inter" w:cs="inter" w:ascii="inter" w:hAnsi="inter"/>
          <w:color w:val="000000"/>
          <w:sz w:val="21"/>
        </w:rPr>
        <w:t xml:space="preserve">, arguing that GenAI should be treated as a new abstraction layer and that organizations must adapt processes and skills accordingly.</w:t>
      </w:r>
      <w:bookmarkStart w:id="157" w:name="fnref52"/>
      <w:bookmarkEnd w:id="157"/>
      <w:hyperlink w:anchor="fn52">
        <w:r>
          <w:rPr>
            <w:rFonts w:eastAsia="inter" w:cs="inter" w:ascii="inter" w:hAnsi="inter"/>
            <w:color w:val="#000"/>
            <w:sz w:val="21"/>
            <w:u w:val="single"/>
            <w:vertAlign w:val="superscript"/>
          </w:rPr>
          <w:t xml:space="preserve">[52]</w:t>
        </w:r>
      </w:hyperlink>
      <w:bookmarkStart w:id="158" w:name="fnref31_1"/>
      <w:bookmarkEnd w:id="158"/>
      <w:hyperlink w:anchor="fn31">
        <w:r>
          <w:rPr>
            <w:rFonts w:eastAsia="inter" w:cs="inter" w:ascii="inter" w:hAnsi="inter"/>
            <w:color w:val="#000"/>
            <w:sz w:val="21"/>
            <w:u w:val="single"/>
            <w:vertAlign w:val="superscript"/>
          </w:rPr>
          <w:t xml:space="preserve">[31]</w:t>
        </w:r>
      </w:hyperlink>
    </w:p>
    <w:p>
      <w:pPr>
        <w:numPr>
          <w:ilvl w:val="0"/>
          <w:numId w:val="30"/>
        </w:numPr>
        <w:spacing w:line="360" w:before="105" w:after="105" w:lineRule="auto"/>
      </w:pPr>
      <w:r>
        <w:rPr>
          <w:rFonts w:eastAsia="inter" w:cs="inter" w:ascii="inter" w:hAnsi="inter"/>
          <w:color w:val="000000"/>
          <w:sz w:val="21"/>
        </w:rPr>
        <w:t xml:space="preserve">Featured speaker in CFO and C‑suite events, framing </w:t>
      </w:r>
      <w:r>
        <w:rPr>
          <w:rFonts w:eastAsia="inter" w:cs="inter" w:ascii="inter" w:hAnsi="inter"/>
          <w:b/>
          <w:color w:val="000000"/>
          <w:sz w:val="21"/>
        </w:rPr>
        <w:t xml:space="preserve">“PwC AI Factory” as the path from strategy to practice</w:t>
      </w:r>
      <w:r>
        <w:rPr>
          <w:rFonts w:eastAsia="inter" w:cs="inter" w:ascii="inter" w:hAnsi="inter"/>
          <w:color w:val="000000"/>
          <w:sz w:val="21"/>
        </w:rPr>
        <w:t xml:space="preserve">.</w:t>
      </w:r>
      <w:bookmarkStart w:id="159" w:name="fnref30_1"/>
      <w:bookmarkEnd w:id="159"/>
      <w:hyperlink w:anchor="fn30">
        <w:r>
          <w:rPr>
            <w:rFonts w:eastAsia="inter" w:cs="inter" w:ascii="inter" w:hAnsi="inter"/>
            <w:color w:val="#000"/>
            <w:sz w:val="21"/>
            <w:u w:val="single"/>
            <w:vertAlign w:val="superscript"/>
          </w:rPr>
          <w:t xml:space="preserve">[30]</w:t>
        </w:r>
      </w:hyperlink>
    </w:p>
    <w:p>
      <w:pPr>
        <w:spacing w:line="360" w:after="210" w:lineRule="auto"/>
      </w:pPr>
      <w:r>
        <w:rPr>
          <w:rFonts w:eastAsia="inter" w:cs="inter" w:ascii="inter" w:hAnsi="inter"/>
          <w:b/>
          <w:color w:val="000000"/>
        </w:rPr>
        <w:t xml:space="preserve">Pitch focus:</w:t>
      </w:r>
      <w:r>
        <w:rPr>
          <w:rFonts w:eastAsia="inter" w:cs="inter" w:ascii="inter" w:hAnsi="inter"/>
          <w:color w:val="000000"/>
        </w:rPr>
        <w:t xml:space="preserve"> </w:t>
      </w:r>
      <w:r>
        <w:rPr>
          <w:rFonts w:eastAsia="inter" w:cs="inter" w:ascii="inter" w:hAnsi="inter"/>
          <w:b/>
          <w:color w:val="000000"/>
        </w:rPr>
        <w:t xml:space="preserve">Efficiency and new revenue via systematic GenAI industrialization.</w:t>
      </w:r>
      <w:r>
        <w:rPr>
          <w:rFonts w:eastAsia="inter" w:cs="inter" w:ascii="inter" w:hAnsi="inter"/>
          <w:color w:val="000000"/>
        </w:rPr>
        <w:t xml:space="preserve"> Sheynkman emphasizes:</w:t>
      </w:r>
    </w:p>
    <w:p>
      <w:pPr>
        <w:numPr>
          <w:ilvl w:val="0"/>
          <w:numId w:val="31"/>
        </w:numPr>
        <w:spacing w:line="360" w:before="105" w:after="105" w:lineRule="auto"/>
      </w:pPr>
      <w:r>
        <w:rPr>
          <w:rFonts w:eastAsia="inter" w:cs="inter" w:ascii="inter" w:hAnsi="inter"/>
          <w:color w:val="000000"/>
          <w:sz w:val="21"/>
        </w:rPr>
        <w:t xml:space="preserve">Repeatable GenAI patterns across use cases (AI factory).</w:t>
      </w:r>
    </w:p>
    <w:p>
      <w:pPr>
        <w:numPr>
          <w:ilvl w:val="0"/>
          <w:numId w:val="31"/>
        </w:numPr>
        <w:spacing w:line="360" w:before="105" w:after="105" w:lineRule="auto"/>
      </w:pPr>
      <w:r>
        <w:rPr>
          <w:rFonts w:eastAsia="inter" w:cs="inter" w:ascii="inter" w:hAnsi="inter"/>
          <w:color w:val="000000"/>
          <w:sz w:val="21"/>
        </w:rPr>
        <w:t xml:space="preserve">Embedding GenAI into software delivery, operations and knowledge work.</w:t>
      </w:r>
    </w:p>
    <w:p>
      <w:pPr>
        <w:spacing w:line="360" w:before="315" w:after="105" w:lineRule="auto"/>
        <w:ind w:left="-30"/>
        <w:jc w:val="left"/>
      </w:pPr>
      <w:bookmarkStart w:id="160" w:name="bm_8_4_other_relevant_leaders"/>
      <w:r>
        <w:rPr>
          <w:rFonts w:eastAsia="inter" w:cs="inter" w:ascii="inter" w:hAnsi="inter"/>
          <w:b/>
          <w:color w:val="000000"/>
          <w:sz w:val="24"/>
        </w:rPr>
        <w:t xml:space="preserve">8.4 Other relevant leaders</w:t>
      </w:r>
      <w:bookmarkEnd w:id="160"/>
    </w:p>
    <w:p>
      <w:pPr>
        <w:numPr>
          <w:ilvl w:val="0"/>
          <w:numId w:val="32"/>
        </w:numPr>
        <w:spacing w:line="360" w:before="105" w:after="105" w:lineRule="auto"/>
      </w:pPr>
      <w:r>
        <w:rPr>
          <w:rFonts w:eastAsia="inter" w:cs="inter" w:ascii="inter" w:hAnsi="inter"/>
          <w:b/>
          <w:color w:val="000000"/>
          <w:sz w:val="21"/>
        </w:rPr>
        <w:t xml:space="preserve">Talya Gazit</w:t>
      </w:r>
      <w:r>
        <w:rPr>
          <w:rFonts w:eastAsia="inter" w:cs="inter" w:ascii="inter" w:hAnsi="inter"/>
          <w:color w:val="000000"/>
          <w:sz w:val="21"/>
        </w:rPr>
        <w:t xml:space="preserve"> (again) and </w:t>
      </w:r>
      <w:r>
        <w:rPr>
          <w:rFonts w:eastAsia="inter" w:cs="inter" w:ascii="inter" w:hAnsi="inter"/>
          <w:b/>
          <w:color w:val="000000"/>
          <w:sz w:val="21"/>
        </w:rPr>
        <w:t xml:space="preserve">Naama Drukman</w:t>
      </w:r>
      <w:r>
        <w:rPr>
          <w:rFonts w:eastAsia="inter" w:cs="inter" w:ascii="inter" w:hAnsi="inter"/>
          <w:color w:val="000000"/>
          <w:sz w:val="21"/>
        </w:rPr>
        <w:t xml:space="preserve"> (Technology Consulting Partner) as faces of </w:t>
      </w:r>
      <w:r>
        <w:rPr>
          <w:rFonts w:eastAsia="inter" w:cs="inter" w:ascii="inter" w:hAnsi="inter"/>
          <w:b/>
          <w:color w:val="000000"/>
          <w:sz w:val="21"/>
        </w:rPr>
        <w:t xml:space="preserve">GenAI for Finance</w:t>
      </w:r>
      <w:r>
        <w:rPr>
          <w:rFonts w:eastAsia="inter" w:cs="inter" w:ascii="inter" w:hAnsi="inter"/>
          <w:color w:val="000000"/>
          <w:sz w:val="21"/>
        </w:rPr>
        <w:t xml:space="preserve"> events, positioning PwC as finance‑function transformation partner.</w:t>
      </w:r>
      <w:bookmarkStart w:id="161" w:name="fnref42_1"/>
      <w:bookmarkEnd w:id="161"/>
      <w:hyperlink w:anchor="fn42">
        <w:r>
          <w:rPr>
            <w:rFonts w:eastAsia="inter" w:cs="inter" w:ascii="inter" w:hAnsi="inter"/>
            <w:color w:val="#000"/>
            <w:sz w:val="21"/>
            <w:u w:val="single"/>
            <w:vertAlign w:val="superscript"/>
          </w:rPr>
          <w:t xml:space="preserve">[42]</w:t>
        </w:r>
      </w:hyperlink>
    </w:p>
    <w:p>
      <w:pPr>
        <w:numPr>
          <w:ilvl w:val="0"/>
          <w:numId w:val="32"/>
        </w:numPr>
        <w:spacing w:line="360" w:before="105" w:after="105" w:lineRule="auto"/>
      </w:pPr>
      <w:r>
        <w:rPr>
          <w:rFonts w:eastAsia="inter" w:cs="inter" w:ascii="inter" w:hAnsi="inter"/>
          <w:b/>
          <w:color w:val="000000"/>
          <w:sz w:val="21"/>
        </w:rPr>
        <w:t xml:space="preserve">Lior Mistriel</w:t>
      </w:r>
      <w:r>
        <w:rPr>
          <w:rFonts w:eastAsia="inter" w:cs="inter" w:ascii="inter" w:hAnsi="inter"/>
          <w:color w:val="000000"/>
          <w:sz w:val="21"/>
        </w:rPr>
        <w:t xml:space="preserve">, Head of IT &amp; Digital Assurance Services, with extensive ITGC and automated‑controls experience across banks, insurers and fintechs—key to </w:t>
      </w:r>
      <w:r>
        <w:rPr>
          <w:rFonts w:eastAsia="inter" w:cs="inter" w:ascii="inter" w:hAnsi="inter"/>
          <w:b/>
          <w:color w:val="000000"/>
          <w:sz w:val="21"/>
        </w:rPr>
        <w:t xml:space="preserve">responsible AI and control‑layer design</w:t>
      </w:r>
      <w:r>
        <w:rPr>
          <w:rFonts w:eastAsia="inter" w:cs="inter" w:ascii="inter" w:hAnsi="inter"/>
          <w:color w:val="000000"/>
          <w:sz w:val="21"/>
        </w:rPr>
        <w:t xml:space="preserve">.</w:t>
      </w:r>
      <w:bookmarkStart w:id="162" w:name="fnref40_1"/>
      <w:bookmarkEnd w:id="162"/>
      <w:hyperlink w:anchor="fn40">
        <w:r>
          <w:rPr>
            <w:rFonts w:eastAsia="inter" w:cs="inter" w:ascii="inter" w:hAnsi="inter"/>
            <w:color w:val="#000"/>
            <w:sz w:val="21"/>
            <w:u w:val="single"/>
            <w:vertAlign w:val="superscript"/>
          </w:rPr>
          <w:t xml:space="preserve">[40]</w:t>
        </w:r>
      </w:hyperlink>
    </w:p>
    <w:p>
      <w:pPr>
        <w:numPr>
          <w:ilvl w:val="0"/>
          <w:numId w:val="32"/>
        </w:numPr>
        <w:spacing w:line="360" w:before="105" w:after="105" w:lineRule="auto"/>
      </w:pPr>
      <w:r>
        <w:rPr>
          <w:rFonts w:eastAsia="inter" w:cs="inter" w:ascii="inter" w:hAnsi="inter"/>
          <w:b/>
          <w:color w:val="000000"/>
          <w:sz w:val="21"/>
        </w:rPr>
        <w:t xml:space="preserve">Roey Zalta</w:t>
      </w:r>
      <w:r>
        <w:rPr>
          <w:rFonts w:eastAsia="inter" w:cs="inter" w:ascii="inter" w:hAnsi="inter"/>
          <w:color w:val="000000"/>
          <w:sz w:val="21"/>
        </w:rPr>
        <w:t xml:space="preserve">, GenAI &amp; LLMOps engineer at PwC NEXT, publicly describes his role as building </w:t>
      </w:r>
      <w:r>
        <w:rPr>
          <w:rFonts w:eastAsia="inter" w:cs="inter" w:ascii="inter" w:hAnsi="inter"/>
          <w:b/>
          <w:color w:val="000000"/>
          <w:sz w:val="21"/>
        </w:rPr>
        <w:t xml:space="preserve">enterprise‑scale data platforms and Generative AI applications on AWS and Kubernetes</w:t>
      </w:r>
      <w:r>
        <w:rPr>
          <w:rFonts w:eastAsia="inter" w:cs="inter" w:ascii="inter" w:hAnsi="inter"/>
          <w:color w:val="000000"/>
          <w:sz w:val="21"/>
        </w:rPr>
        <w:t xml:space="preserve">, signaling strong in‑house engineering.</w:t>
      </w:r>
      <w:bookmarkStart w:id="163" w:name="fnref28_1"/>
      <w:bookmarkEnd w:id="163"/>
      <w:hyperlink w:anchor="fn28">
        <w:r>
          <w:rPr>
            <w:rFonts w:eastAsia="inter" w:cs="inter" w:ascii="inter" w:hAnsi="inter"/>
            <w:color w:val="#000"/>
            <w:sz w:val="21"/>
            <w:u w:val="single"/>
            <w:vertAlign w:val="superscript"/>
          </w:rPr>
          <w:t xml:space="preserve">[28]</w:t>
        </w:r>
      </w:hyperlink>
    </w:p>
    <w:p>
      <w:pPr>
        <w:spacing w:line="360" w:after="210" w:lineRule="auto"/>
      </w:pPr>
      <w:r>
        <w:rPr>
          <w:rFonts w:eastAsia="inter" w:cs="inter" w:ascii="inter" w:hAnsi="inter"/>
          <w:color w:val="000000"/>
        </w:rPr>
        <w:t xml:space="preserve">Collectively, the leadership narrative balances:</w:t>
      </w:r>
    </w:p>
    <w:p>
      <w:pPr>
        <w:numPr>
          <w:ilvl w:val="0"/>
          <w:numId w:val="33"/>
        </w:numPr>
        <w:spacing w:line="360" w:before="105" w:after="105" w:lineRule="auto"/>
      </w:pPr>
      <w:r>
        <w:rPr>
          <w:rFonts w:eastAsia="inter" w:cs="inter" w:ascii="inter" w:hAnsi="inter"/>
          <w:b/>
          <w:color w:val="000000"/>
          <w:sz w:val="21"/>
        </w:rPr>
        <w:t xml:space="preserve">Safety and governance</w:t>
      </w:r>
      <w:r>
        <w:rPr>
          <w:rFonts w:eastAsia="inter" w:cs="inter" w:ascii="inter" w:hAnsi="inter"/>
          <w:color w:val="000000"/>
          <w:sz w:val="21"/>
        </w:rPr>
        <w:t xml:space="preserve"> (Gazit, Mistriel; responsible AI, cyber, resilience).</w:t>
      </w:r>
      <w:bookmarkStart w:id="164" w:name="fnref53"/>
      <w:bookmarkEnd w:id="164"/>
      <w:hyperlink w:anchor="fn53">
        <w:r>
          <w:rPr>
            <w:rFonts w:eastAsia="inter" w:cs="inter" w:ascii="inter" w:hAnsi="inter"/>
            <w:color w:val="#000"/>
            <w:sz w:val="21"/>
            <w:u w:val="single"/>
            <w:vertAlign w:val="superscript"/>
          </w:rPr>
          <w:t xml:space="preserve">[53]</w:t>
        </w:r>
      </w:hyperlink>
      <w:bookmarkStart w:id="165" w:name="fnref36_1"/>
      <w:bookmarkEnd w:id="165"/>
      <w:hyperlink w:anchor="fn36">
        <w:r>
          <w:rPr>
            <w:rFonts w:eastAsia="inter" w:cs="inter" w:ascii="inter" w:hAnsi="inter"/>
            <w:color w:val="#000"/>
            <w:sz w:val="21"/>
            <w:u w:val="single"/>
            <w:vertAlign w:val="superscript"/>
          </w:rPr>
          <w:t xml:space="preserve">[36]</w:t>
        </w:r>
      </w:hyperlink>
      <w:bookmarkStart w:id="166" w:name="fnref50_2"/>
      <w:bookmarkEnd w:id="166"/>
      <w:hyperlink w:anchor="fn50">
        <w:r>
          <w:rPr>
            <w:rFonts w:eastAsia="inter" w:cs="inter" w:ascii="inter" w:hAnsi="inter"/>
            <w:color w:val="#000"/>
            <w:sz w:val="21"/>
            <w:u w:val="single"/>
            <w:vertAlign w:val="superscript"/>
          </w:rPr>
          <w:t xml:space="preserve">[50]</w:t>
        </w:r>
      </w:hyperlink>
      <w:bookmarkStart w:id="167" w:name="fnref40_2"/>
      <w:bookmarkEnd w:id="167"/>
      <w:hyperlink w:anchor="fn40">
        <w:r>
          <w:rPr>
            <w:rFonts w:eastAsia="inter" w:cs="inter" w:ascii="inter" w:hAnsi="inter"/>
            <w:color w:val="#000"/>
            <w:sz w:val="21"/>
            <w:u w:val="single"/>
            <w:vertAlign w:val="superscript"/>
          </w:rPr>
          <w:t xml:space="preserve">[40]</w:t>
        </w:r>
      </w:hyperlink>
    </w:p>
    <w:p>
      <w:pPr>
        <w:numPr>
          <w:ilvl w:val="0"/>
          <w:numId w:val="33"/>
        </w:numPr>
        <w:spacing w:line="360" w:before="105" w:after="105" w:lineRule="auto"/>
      </w:pPr>
      <w:r>
        <w:rPr>
          <w:rFonts w:eastAsia="inter" w:cs="inter" w:ascii="inter" w:hAnsi="inter"/>
          <w:b/>
          <w:color w:val="000000"/>
          <w:sz w:val="21"/>
        </w:rPr>
        <w:t xml:space="preserve">Efficiency and productivity</w:t>
      </w:r>
      <w:r>
        <w:rPr>
          <w:rFonts w:eastAsia="inter" w:cs="inter" w:ascii="inter" w:hAnsi="inter"/>
          <w:color w:val="000000"/>
          <w:sz w:val="21"/>
        </w:rPr>
        <w:t xml:space="preserve"> (Sheynkman, Suliman; AI Factory, GenAI for Finance, WalkMe, Hear).</w:t>
      </w:r>
      <w:bookmarkStart w:id="168" w:name="fnref42_2"/>
      <w:bookmarkEnd w:id="168"/>
      <w:hyperlink w:anchor="fn42">
        <w:r>
          <w:rPr>
            <w:rFonts w:eastAsia="inter" w:cs="inter" w:ascii="inter" w:hAnsi="inter"/>
            <w:color w:val="#000"/>
            <w:sz w:val="21"/>
            <w:u w:val="single"/>
            <w:vertAlign w:val="superscript"/>
          </w:rPr>
          <w:t xml:space="preserve">[42]</w:t>
        </w:r>
      </w:hyperlink>
      <w:bookmarkStart w:id="169" w:name="fnref20_3"/>
      <w:bookmarkEnd w:id="169"/>
      <w:hyperlink w:anchor="fn20">
        <w:r>
          <w:rPr>
            <w:rFonts w:eastAsia="inter" w:cs="inter" w:ascii="inter" w:hAnsi="inter"/>
            <w:color w:val="#000"/>
            <w:sz w:val="21"/>
            <w:u w:val="single"/>
            <w:vertAlign w:val="superscript"/>
          </w:rPr>
          <w:t xml:space="preserve">[20]</w:t>
        </w:r>
      </w:hyperlink>
      <w:bookmarkStart w:id="170" w:name="fnref2_8"/>
      <w:bookmarkEnd w:id="170"/>
      <w:hyperlink w:anchor="fn2">
        <w:r>
          <w:rPr>
            <w:rFonts w:eastAsia="inter" w:cs="inter" w:ascii="inter" w:hAnsi="inter"/>
            <w:color w:val="#000"/>
            <w:sz w:val="21"/>
            <w:u w:val="single"/>
            <w:vertAlign w:val="superscript"/>
          </w:rPr>
          <w:t xml:space="preserve">[2]</w:t>
        </w:r>
      </w:hyperlink>
      <w:bookmarkStart w:id="171" w:name="fnref1_9"/>
      <w:bookmarkEnd w:id="171"/>
      <w:hyperlink w:anchor="fn1">
        <w:r>
          <w:rPr>
            <w:rFonts w:eastAsia="inter" w:cs="inter" w:ascii="inter" w:hAnsi="inter"/>
            <w:color w:val="#000"/>
            <w:sz w:val="21"/>
            <w:u w:val="single"/>
            <w:vertAlign w:val="superscript"/>
          </w:rPr>
          <w:t xml:space="preserve">[1]</w:t>
        </w:r>
      </w:hyperlink>
    </w:p>
    <w:p>
      <w:pPr>
        <w:numPr>
          <w:ilvl w:val="0"/>
          <w:numId w:val="33"/>
        </w:numPr>
        <w:spacing w:line="360" w:before="105" w:after="105" w:lineRule="auto"/>
      </w:pPr>
      <w:r>
        <w:rPr>
          <w:rFonts w:eastAsia="inter" w:cs="inter" w:ascii="inter" w:hAnsi="inter"/>
          <w:b/>
          <w:color w:val="000000"/>
          <w:sz w:val="21"/>
        </w:rPr>
        <w:t xml:space="preserve">New revenue and innovation</w:t>
      </w:r>
      <w:r>
        <w:rPr>
          <w:rFonts w:eastAsia="inter" w:cs="inter" w:ascii="inter" w:hAnsi="inter"/>
          <w:color w:val="000000"/>
          <w:sz w:val="21"/>
        </w:rPr>
        <w:t xml:space="preserve"> (alliances with OpenAI, Microsoft, Oracle, Sitecore and AI startups).</w:t>
      </w:r>
      <w:bookmarkStart w:id="172" w:name="fnref15_2"/>
      <w:bookmarkEnd w:id="172"/>
      <w:hyperlink w:anchor="fn15">
        <w:r>
          <w:rPr>
            <w:rFonts w:eastAsia="inter" w:cs="inter" w:ascii="inter" w:hAnsi="inter"/>
            <w:color w:val="#000"/>
            <w:sz w:val="21"/>
            <w:u w:val="single"/>
            <w:vertAlign w:val="superscript"/>
          </w:rPr>
          <w:t xml:space="preserve">[15]</w:t>
        </w:r>
      </w:hyperlink>
      <w:bookmarkStart w:id="173" w:name="fnref16_3"/>
      <w:bookmarkEnd w:id="173"/>
      <w:hyperlink w:anchor="fn16">
        <w:r>
          <w:rPr>
            <w:rFonts w:eastAsia="inter" w:cs="inter" w:ascii="inter" w:hAnsi="inter"/>
            <w:color w:val="#000"/>
            <w:sz w:val="21"/>
            <w:u w:val="single"/>
            <w:vertAlign w:val="superscript"/>
          </w:rPr>
          <w:t xml:space="preserve">[16]</w:t>
        </w:r>
      </w:hyperlink>
      <w:bookmarkStart w:id="174" w:name="fnref19_3"/>
      <w:bookmarkEnd w:id="174"/>
      <w:hyperlink w:anchor="fn19">
        <w:r>
          <w:rPr>
            <w:rFonts w:eastAsia="inter" w:cs="inter" w:ascii="inter" w:hAnsi="inter"/>
            <w:color w:val="#000"/>
            <w:sz w:val="21"/>
            <w:u w:val="single"/>
            <w:vertAlign w:val="superscript"/>
          </w:rPr>
          <w:t xml:space="preserve">[19]</w:t>
        </w:r>
      </w:hyperlink>
      <w:bookmarkStart w:id="175" w:name="fnref20_4"/>
      <w:bookmarkEnd w:id="175"/>
      <w:hyperlink w:anchor="fn20">
        <w:r>
          <w:rPr>
            <w:rFonts w:eastAsia="inter" w:cs="inter" w:ascii="inter" w:hAnsi="inter"/>
            <w:color w:val="#000"/>
            <w:sz w:val="21"/>
            <w:u w:val="single"/>
            <w:vertAlign w:val="superscript"/>
          </w:rPr>
          <w:t xml:space="preserve">[20]</w:t>
        </w:r>
      </w:hyperlink>
      <w:bookmarkStart w:id="176" w:name="fnref44_3"/>
      <w:bookmarkEnd w:id="176"/>
      <w:hyperlink w:anchor="fn44">
        <w:r>
          <w:rPr>
            <w:rFonts w:eastAsia="inter" w:cs="inter" w:ascii="inter" w:hAnsi="inter"/>
            <w:color w:val="#000"/>
            <w:sz w:val="21"/>
            <w:u w:val="single"/>
            <w:vertAlign w:val="superscript"/>
          </w:rPr>
          <w:t xml:space="preserve">[44]</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7" w:name="bm_9_local_technical_footprint_in_israel"/>
      <w:r>
        <w:rPr>
          <w:rFonts w:eastAsia="inter" w:cs="inter" w:ascii="inter" w:hAnsi="inter"/>
          <w:b/>
          <w:color w:val="000000"/>
          <w:sz w:val="24"/>
        </w:rPr>
        <w:t xml:space="preserve">9. Local Technical Footprint in Israel</w:t>
      </w:r>
      <w:bookmarkEnd w:id="177"/>
    </w:p>
    <w:p>
      <w:pPr>
        <w:spacing w:line="360" w:after="210" w:lineRule="auto"/>
      </w:pPr>
      <w:r>
        <w:rPr>
          <w:rFonts w:eastAsia="inter" w:cs="inter" w:ascii="inter" w:hAnsi="inter"/>
          <w:color w:val="000000"/>
        </w:rPr>
        <w:t xml:space="preserve">The following table summarizes PwC Israel’s main technical and AI‑adjacent departments: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Unit / Department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Mandate &amp; Capabilities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Evidence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Technology Consulting (PwC Israel)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IT strategy, enterprise architecture, application implementation (Oracle, SAP, Salesforce, NetSuite), project &amp; IT operations management; focus on technology as engine for business transformation.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Hebrew consulting page; Oracle Israel partner page highlighting AI use in Oracle Cloud; BDi profile.</w:t>
            </w:r>
            <w:hyperlink w:anchor="fn54">
              <w:r>
                <w:rPr>
                  <w:rFonts w:eastAsia="inter" w:cs="inter" w:ascii="inter" w:hAnsi="inter"/>
                  <w:color w:val="#000"/>
                  <w:sz w:val="17"/>
                  <w:u w:val="single"/>
                  <w:vertAlign w:val="superscript"/>
                </w:rPr>
                <w:t xml:space="preserve">[54]</w:t>
              </w:r>
            </w:hyperlink>
            <w:hyperlink w:anchor="fn55">
              <w:r>
                <w:rPr>
                  <w:rFonts w:eastAsia="inter" w:cs="inter" w:ascii="inter" w:hAnsi="inter"/>
                  <w:color w:val="#000"/>
                  <w:sz w:val="17"/>
                  <w:u w:val="single"/>
                  <w:vertAlign w:val="superscript"/>
                </w:rPr>
                <w:t xml:space="preserve">[55]</w:t>
              </w:r>
            </w:hyperlink>
            <w:hyperlink w:anchor="fn44">
              <w:r>
                <w:rPr>
                  <w:rFonts w:eastAsia="inter" w:cs="inter" w:ascii="inter" w:hAnsi="inter"/>
                  <w:color w:val="#000"/>
                  <w:sz w:val="17"/>
                  <w:u w:val="single"/>
                  <w:vertAlign w:val="superscript"/>
                </w:rPr>
                <w:t xml:space="preserve">[44]</w:t>
              </w:r>
            </w:hyperlink>
            <w:hyperlink w:anchor="fn7">
              <w:r>
                <w:rPr>
                  <w:rFonts w:eastAsia="inter" w:cs="inter" w:ascii="inter" w:hAnsi="inter"/>
                  <w:color w:val="#000"/>
                  <w:sz w:val="17"/>
                  <w:u w:val="single"/>
                  <w:vertAlign w:val="superscript"/>
                </w:rPr>
                <w:t xml:space="preserve">[7]</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PwC NEXT Technology Solutions (subsidiary)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Technology solutions consulting; cloud (AWS/Azure), cybersecurity, data platforms, AI/GenAI systems, Microsoft 365 security, legacy‑system modernization; Tel Aviv‑based.</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NEXT website and LinkedIn profile; AI page listing GenAI Strategy, Model Development, UX, Trust &amp; Security, and AI Factory Methodology.</w:t>
            </w:r>
            <w:hyperlink w:anchor="fn4">
              <w:r>
                <w:rPr>
                  <w:rFonts w:eastAsia="inter" w:cs="inter" w:ascii="inter" w:hAnsi="inter"/>
                  <w:color w:val="#000"/>
                  <w:sz w:val="17"/>
                  <w:u w:val="single"/>
                  <w:vertAlign w:val="superscript"/>
                </w:rPr>
                <w:t xml:space="preserve">[4]</w:t>
              </w:r>
            </w:hyperlink>
            <w:hyperlink w:anchor="fn21">
              <w:r>
                <w:rPr>
                  <w:rFonts w:eastAsia="inter" w:cs="inter" w:ascii="inter" w:hAnsi="inter"/>
                  <w:color w:val="#000"/>
                  <w:sz w:val="17"/>
                  <w:u w:val="single"/>
                  <w:vertAlign w:val="superscript"/>
                </w:rPr>
                <w:t xml:space="preserve">[21]</w:t>
              </w:r>
            </w:hyperlink>
            <w:hyperlink w:anchor="fn2">
              <w:r>
                <w:rPr>
                  <w:rFonts w:eastAsia="inter" w:cs="inter" w:ascii="inter" w:hAnsi="inter"/>
                  <w:color w:val="#000"/>
                  <w:sz w:val="17"/>
                  <w:u w:val="single"/>
                  <w:vertAlign w:val="superscript"/>
                </w:rPr>
                <w:t xml:space="preserve">[2]</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Digital Transformation, Cybersecurity &amp; Privacy Practice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Led by Talya Gazit; delivers enterprise digital transformation, cyber defense, cloud migration, data‑center strategy, and rapid tech change for boards and executives.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Gazit’s profile; NEXT site.</w:t>
            </w:r>
            <w:hyperlink w:anchor="fn50">
              <w:r>
                <w:rPr>
                  <w:rFonts w:eastAsia="inter" w:cs="inter" w:ascii="inter" w:hAnsi="inter"/>
                  <w:color w:val="#000"/>
                  <w:sz w:val="17"/>
                  <w:u w:val="single"/>
                  <w:vertAlign w:val="superscript"/>
                </w:rPr>
                <w:t xml:space="preserve">[50]</w:t>
              </w:r>
            </w:hyperlink>
            <w:hyperlink w:anchor="fn4">
              <w:r>
                <w:rPr>
                  <w:rFonts w:eastAsia="inter" w:cs="inter" w:ascii="inter" w:hAnsi="inter"/>
                  <w:color w:val="#000"/>
                  <w:sz w:val="17"/>
                  <w:u w:val="single"/>
                  <w:vertAlign w:val="superscript"/>
                </w:rPr>
                <w:t xml:space="preserve">[4]</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IT &amp; Digital Assurance Services (Risk Assurance)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ITGC reviews, automated control testing, data assurance, SOX and Israeli‑SOX implementations, process automation in banks, insurers, fintechs, telecoms and retailers.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Lior Mistriel’s profile.</w:t>
            </w:r>
            <w:hyperlink w:anchor="fn40">
              <w:r>
                <w:rPr>
                  <w:rFonts w:eastAsia="inter" w:cs="inter" w:ascii="inter" w:hAnsi="inter"/>
                  <w:color w:val="#000"/>
                  <w:sz w:val="17"/>
                  <w:u w:val="single"/>
                  <w:vertAlign w:val="superscript"/>
                </w:rPr>
                <w:t xml:space="preserve">[40]</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Banking &amp; Capital Markets Sector Team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Sector‑specific advisory and assurance for Israeli banks; connected to PwC’s global banking &amp; GenAI content.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Banking page noting role as PwC’s local banking advisor; global GenAI in banking report.</w:t>
            </w:r>
            <w:hyperlink w:anchor="fn35">
              <w:r>
                <w:rPr>
                  <w:rFonts w:eastAsia="inter" w:cs="inter" w:ascii="inter" w:hAnsi="inter"/>
                  <w:color w:val="#000"/>
                  <w:sz w:val="17"/>
                  <w:u w:val="single"/>
                  <w:vertAlign w:val="superscript"/>
                </w:rPr>
                <w:t xml:space="preserve">[35]</w:t>
              </w:r>
            </w:hyperlink>
            <w:hyperlink w:anchor="fn56">
              <w:r>
                <w:rPr>
                  <w:rFonts w:eastAsia="inter" w:cs="inter" w:ascii="inter" w:hAnsi="inter"/>
                  <w:color w:val="#000"/>
                  <w:sz w:val="17"/>
                  <w:u w:val="single"/>
                  <w:vertAlign w:val="superscript"/>
                </w:rPr>
                <w:t xml:space="preserve">[56]</w:t>
              </w:r>
            </w:hyperlink>
            <w:hyperlink w:anchor="fn57">
              <w:r>
                <w:rPr>
                  <w:rFonts w:eastAsia="inter" w:cs="inter" w:ascii="inter" w:hAnsi="inter"/>
                  <w:color w:val="#000"/>
                  <w:sz w:val="17"/>
                  <w:u w:val="single"/>
                  <w:vertAlign w:val="superscript"/>
                </w:rPr>
                <w:t xml:space="preserve">[57]</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Data &amp; Analytics / Generative AI (cross‑cutting)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Recognized as a distinct capability in STKI rankings; uses data science, GenAI, advanced analytics, cloud data‑migration and AI applications.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STKI 2024 ranking article; BDi technology division description.</w:t>
            </w:r>
            <w:hyperlink w:anchor="fn1">
              <w:r>
                <w:rPr>
                  <w:rFonts w:eastAsia="inter" w:cs="inter" w:ascii="inter" w:hAnsi="inter"/>
                  <w:color w:val="#000"/>
                  <w:sz w:val="17"/>
                  <w:u w:val="single"/>
                  <w:vertAlign w:val="superscript"/>
                </w:rPr>
                <w:t xml:space="preserve">[1]</w:t>
              </w:r>
            </w:hyperlink>
            <w:hyperlink w:anchor="fn7">
              <w:r>
                <w:rPr>
                  <w:rFonts w:eastAsia="inter" w:cs="inter" w:ascii="inter" w:hAnsi="inter"/>
                  <w:color w:val="#000"/>
                  <w:sz w:val="17"/>
                  <w:u w:val="single"/>
                  <w:vertAlign w:val="superscript"/>
                </w:rPr>
                <w:t xml:space="preserve">[7]</w:t>
              </w:r>
            </w:hyperlink>
          </w:p>
        </w:tc>
      </w:tr>
    </w:tbl>
    <w:p>
      <w:pPr>
        <w:spacing w:lineRule="auto"/>
      </w:pPr>
    </w:p>
    <w:p>
      <w:pPr>
        <w:spacing w:line="360" w:after="210" w:lineRule="auto"/>
      </w:pPr>
      <w:r>
        <w:rPr>
          <w:rFonts w:eastAsia="inter" w:cs="inter" w:ascii="inter" w:hAnsi="inter"/>
          <w:color w:val="000000"/>
        </w:rPr>
        <w:t xml:space="preserve">This structure strongly supports the assertion that PwC Israel has </w:t>
      </w:r>
      <w:r>
        <w:rPr>
          <w:rFonts w:eastAsia="inter" w:cs="inter" w:ascii="inter" w:hAnsi="inter"/>
          <w:b/>
          <w:color w:val="000000"/>
        </w:rPr>
        <w:t xml:space="preserve">local technical depth across data, cloud, development, and controls</w:t>
      </w:r>
      <w:r>
        <w:rPr>
          <w:rFonts w:eastAsia="inter" w:cs="inter" w:ascii="inter" w:hAnsi="inter"/>
          <w:color w:val="000000"/>
        </w:rPr>
        <w:t xml:space="preserve">, with PwC NEXT functioning as the </w:t>
      </w:r>
      <w:r>
        <w:rPr>
          <w:rFonts w:eastAsia="inter" w:cs="inter" w:ascii="inter" w:hAnsi="inter"/>
          <w:b/>
          <w:color w:val="000000"/>
        </w:rPr>
        <w:t xml:space="preserve">de facto delivery center</w:t>
      </w: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8" w:name="bm_10_assessment_is_pwc_israel_do_357d3d"/>
      <w:r>
        <w:rPr>
          <w:rFonts w:eastAsia="inter" w:cs="inter" w:ascii="inter" w:hAnsi="inter"/>
          <w:b/>
          <w:color w:val="000000"/>
          <w:sz w:val="24"/>
        </w:rPr>
        <w:t xml:space="preserve">10. Assessment: Is PwC Israel Dominating the Organizational‑Productivity AI Niche?</w:t>
      </w:r>
      <w:bookmarkEnd w:id="178"/>
    </w:p>
    <w:p>
      <w:pPr>
        <w:spacing w:line="360" w:after="210" w:lineRule="auto"/>
      </w:pPr>
      <w:r>
        <w:rPr>
          <w:rFonts w:eastAsia="inter" w:cs="inter" w:ascii="inter" w:hAnsi="inter"/>
          <w:color w:val="000000"/>
        </w:rPr>
        <w:t xml:space="preserve">Against the four lenses you care about—delivery capability, OpenAI/Microsoft access, internal productivity proof points, and sector‑specific client outcomes—the evidence can be synthesized as follows:</w:t>
      </w:r>
    </w:p>
    <w:p>
      <w:pPr>
        <w:numPr>
          <w:ilvl w:val="0"/>
          <w:numId w:val="34"/>
        </w:numPr>
        <w:spacing w:line="360" w:after="210" w:lineRule="auto"/>
      </w:pPr>
      <w:r>
        <w:rPr>
          <w:rFonts w:eastAsia="inter" w:cs="inter" w:ascii="inter" w:hAnsi="inter"/>
          <w:b/>
          <w:color w:val="000000"/>
          <w:sz w:val="21"/>
        </w:rPr>
        <w:t xml:space="preserve">AI Factory &amp; local delivery:</w:t>
      </w:r>
    </w:p>
    <w:p>
      <w:pPr>
        <w:numPr>
          <w:ilvl w:val="1"/>
          <w:numId w:val="34"/>
        </w:numPr>
        <w:spacing w:line="360" w:before="105" w:after="105" w:lineRule="auto"/>
      </w:pPr>
      <w:r>
        <w:rPr>
          <w:rFonts w:eastAsia="inter" w:cs="inter" w:ascii="inter" w:hAnsi="inter"/>
          <w:color w:val="000000"/>
          <w:sz w:val="21"/>
        </w:rPr>
        <w:t xml:space="preserve">Explicit </w:t>
      </w:r>
      <w:r>
        <w:rPr>
          <w:rFonts w:eastAsia="inter" w:cs="inter" w:ascii="inter" w:hAnsi="inter"/>
          <w:b/>
          <w:color w:val="000000"/>
          <w:sz w:val="21"/>
        </w:rPr>
        <w:t xml:space="preserve">AI Factory Methodology</w:t>
      </w:r>
      <w:r>
        <w:rPr>
          <w:rFonts w:eastAsia="inter" w:cs="inter" w:ascii="inter" w:hAnsi="inter"/>
          <w:color w:val="000000"/>
          <w:sz w:val="21"/>
        </w:rPr>
        <w:t xml:space="preserve"> marketed in Israel via PwC NEXT, led by a CTO with deep engineering and cloud experience.</w:t>
      </w:r>
      <w:bookmarkStart w:id="179" w:name="fnref2_10"/>
      <w:bookmarkEnd w:id="179"/>
      <w:hyperlink w:anchor="fn2">
        <w:r>
          <w:rPr>
            <w:rFonts w:eastAsia="inter" w:cs="inter" w:ascii="inter" w:hAnsi="inter"/>
            <w:color w:val="#000"/>
            <w:sz w:val="21"/>
            <w:u w:val="single"/>
            <w:vertAlign w:val="superscript"/>
          </w:rPr>
          <w:t xml:space="preserve">[2]</w:t>
        </w:r>
      </w:hyperlink>
    </w:p>
    <w:p>
      <w:pPr>
        <w:numPr>
          <w:ilvl w:val="1"/>
          <w:numId w:val="34"/>
        </w:numPr>
        <w:spacing w:line="360" w:before="105" w:after="105" w:lineRule="auto"/>
      </w:pPr>
      <w:r>
        <w:rPr>
          <w:rFonts w:eastAsia="inter" w:cs="inter" w:ascii="inter" w:hAnsi="inter"/>
          <w:color w:val="000000"/>
          <w:sz w:val="21"/>
        </w:rPr>
        <w:t xml:space="preserve">Independent validation via </w:t>
      </w:r>
      <w:r>
        <w:rPr>
          <w:rFonts w:eastAsia="inter" w:cs="inter" w:ascii="inter" w:hAnsi="inter"/>
          <w:b/>
          <w:color w:val="000000"/>
          <w:sz w:val="21"/>
        </w:rPr>
        <w:t xml:space="preserve">STKI</w:t>
      </w:r>
      <w:r>
        <w:rPr>
          <w:rFonts w:eastAsia="inter" w:cs="inter" w:ascii="inter" w:hAnsi="inter"/>
          <w:color w:val="000000"/>
          <w:sz w:val="21"/>
        </w:rPr>
        <w:t xml:space="preserve">, which names PwC Advisory Israel + PwC NEXT as leading players in Application Projects, Generative AI, Data &amp; Analytics and Customer &amp; Employee Experience.</w:t>
      </w:r>
      <w:bookmarkStart w:id="180" w:name="fnref1_11"/>
      <w:bookmarkEnd w:id="180"/>
      <w:hyperlink w:anchor="fn1">
        <w:r>
          <w:rPr>
            <w:rFonts w:eastAsia="inter" w:cs="inter" w:ascii="inter" w:hAnsi="inter"/>
            <w:color w:val="#000"/>
            <w:sz w:val="21"/>
            <w:u w:val="single"/>
            <w:vertAlign w:val="superscript"/>
          </w:rPr>
          <w:t xml:space="preserve">[1]</w:t>
        </w:r>
      </w:hyperlink>
    </w:p>
    <w:p>
      <w:pPr>
        <w:numPr>
          <w:ilvl w:val="1"/>
          <w:numId w:val="34"/>
        </w:numPr>
        <w:spacing w:line="360" w:before="105" w:after="105" w:lineRule="auto"/>
      </w:pPr>
      <w:r>
        <w:rPr>
          <w:rFonts w:eastAsia="inter" w:cs="inter" w:ascii="inter" w:hAnsi="inter"/>
          <w:color w:val="000000"/>
          <w:sz w:val="21"/>
        </w:rPr>
        <w:t xml:space="preserve">Multiple real‑world Israeli clients (law firm, bank, insurer, airline) where PwC Israel has delivered concrete system modernizations and measurable productivity improvements (e.g., 50% reduction in legal drafting time).</w:t>
      </w:r>
      <w:bookmarkStart w:id="181" w:name="fnref23_5"/>
      <w:bookmarkEnd w:id="181"/>
      <w:hyperlink w:anchor="fn23">
        <w:r>
          <w:rPr>
            <w:rFonts w:eastAsia="inter" w:cs="inter" w:ascii="inter" w:hAnsi="inter"/>
            <w:color w:val="#000"/>
            <w:sz w:val="21"/>
            <w:u w:val="single"/>
            <w:vertAlign w:val="superscript"/>
          </w:rPr>
          <w:t xml:space="preserve">[23]</w:t>
        </w:r>
      </w:hyperlink>
      <w:bookmarkStart w:id="182" w:name="fnref5_10"/>
      <w:bookmarkEnd w:id="182"/>
      <w:hyperlink w:anchor="fn5">
        <w:r>
          <w:rPr>
            <w:rFonts w:eastAsia="inter" w:cs="inter" w:ascii="inter" w:hAnsi="inter"/>
            <w:color w:val="#000"/>
            <w:sz w:val="21"/>
            <w:u w:val="single"/>
            <w:vertAlign w:val="superscript"/>
          </w:rPr>
          <w:t xml:space="preserve">[5]</w:t>
        </w:r>
      </w:hyperlink>
    </w:p>
    <w:p>
      <w:pPr>
        <w:numPr>
          <w:ilvl w:val="0"/>
          <w:numId w:val="34"/>
        </w:numPr>
        <w:spacing w:line="360" w:after="210" w:lineRule="auto"/>
      </w:pPr>
      <w:r>
        <w:rPr>
          <w:rFonts w:eastAsia="inter" w:cs="inter" w:ascii="inter" w:hAnsi="inter"/>
          <w:b/>
          <w:color w:val="000000"/>
          <w:sz w:val="21"/>
        </w:rPr>
        <w:t xml:space="preserve">OpenAI &amp; Microsoft power play:</w:t>
      </w:r>
    </w:p>
    <w:p>
      <w:pPr>
        <w:numPr>
          <w:ilvl w:val="1"/>
          <w:numId w:val="34"/>
        </w:numPr>
        <w:spacing w:line="360" w:before="105" w:after="105" w:lineRule="auto"/>
      </w:pPr>
      <w:r>
        <w:rPr>
          <w:rFonts w:eastAsia="inter" w:cs="inter" w:ascii="inter" w:hAnsi="inter"/>
          <w:color w:val="000000"/>
          <w:sz w:val="21"/>
        </w:rPr>
        <w:t xml:space="preserve">PwC is OpenAI’s </w:t>
      </w:r>
      <w:r>
        <w:rPr>
          <w:rFonts w:eastAsia="inter" w:cs="inter" w:ascii="inter" w:hAnsi="inter"/>
          <w:b/>
          <w:color w:val="000000"/>
          <w:sz w:val="21"/>
        </w:rPr>
        <w:t xml:space="preserve">largest enterprise customer</w:t>
      </w:r>
      <w:r>
        <w:rPr>
          <w:rFonts w:eastAsia="inter" w:cs="inter" w:ascii="inter" w:hAnsi="inter"/>
          <w:color w:val="000000"/>
          <w:sz w:val="21"/>
        </w:rPr>
        <w:t xml:space="preserve"> and </w:t>
      </w:r>
      <w:r>
        <w:rPr>
          <w:rFonts w:eastAsia="inter" w:cs="inter" w:ascii="inter" w:hAnsi="inter"/>
          <w:b/>
          <w:color w:val="000000"/>
          <w:sz w:val="21"/>
        </w:rPr>
        <w:t xml:space="preserve">first reseller</w:t>
      </w:r>
      <w:r>
        <w:rPr>
          <w:rFonts w:eastAsia="inter" w:cs="inter" w:ascii="inter" w:hAnsi="inter"/>
          <w:color w:val="000000"/>
          <w:sz w:val="21"/>
        </w:rPr>
        <w:t xml:space="preserve"> of ChatGPT Enterprise in US/UK; PwC Middle East holds analogous </w:t>
      </w:r>
      <w:r>
        <w:rPr>
          <w:rFonts w:eastAsia="inter" w:cs="inter" w:ascii="inter" w:hAnsi="inter"/>
          <w:b/>
          <w:color w:val="000000"/>
          <w:sz w:val="21"/>
        </w:rPr>
        <w:t xml:space="preserve">first‑reseller</w:t>
      </w:r>
      <w:r>
        <w:rPr>
          <w:rFonts w:eastAsia="inter" w:cs="inter" w:ascii="inter" w:hAnsi="inter"/>
          <w:color w:val="000000"/>
          <w:sz w:val="21"/>
        </w:rPr>
        <w:t xml:space="preserve"> status in the region.</w:t>
      </w:r>
      <w:bookmarkStart w:id="183" w:name="fnref17_2"/>
      <w:bookmarkEnd w:id="183"/>
      <w:hyperlink w:anchor="fn17">
        <w:r>
          <w:rPr>
            <w:rFonts w:eastAsia="inter" w:cs="inter" w:ascii="inter" w:hAnsi="inter"/>
            <w:color w:val="#000"/>
            <w:sz w:val="21"/>
            <w:u w:val="single"/>
            <w:vertAlign w:val="superscript"/>
          </w:rPr>
          <w:t xml:space="preserve">[17]</w:t>
        </w:r>
      </w:hyperlink>
      <w:bookmarkStart w:id="184" w:name="fnref18_2"/>
      <w:bookmarkEnd w:id="184"/>
      <w:hyperlink w:anchor="fn18">
        <w:r>
          <w:rPr>
            <w:rFonts w:eastAsia="inter" w:cs="inter" w:ascii="inter" w:hAnsi="inter"/>
            <w:color w:val="#000"/>
            <w:sz w:val="21"/>
            <w:u w:val="single"/>
            <w:vertAlign w:val="superscript"/>
          </w:rPr>
          <w:t xml:space="preserve">[18]</w:t>
        </w:r>
      </w:hyperlink>
      <w:bookmarkStart w:id="185" w:name="fnref14_2"/>
      <w:bookmarkEnd w:id="185"/>
      <w:hyperlink w:anchor="fn14">
        <w:r>
          <w:rPr>
            <w:rFonts w:eastAsia="inter" w:cs="inter" w:ascii="inter" w:hAnsi="inter"/>
            <w:color w:val="#000"/>
            <w:sz w:val="21"/>
            <w:u w:val="single"/>
            <w:vertAlign w:val="superscript"/>
          </w:rPr>
          <w:t xml:space="preserve">[14]</w:t>
        </w:r>
      </w:hyperlink>
      <w:bookmarkStart w:id="186" w:name="fnref16_4"/>
      <w:bookmarkEnd w:id="186"/>
      <w:hyperlink w:anchor="fn16">
        <w:r>
          <w:rPr>
            <w:rFonts w:eastAsia="inter" w:cs="inter" w:ascii="inter" w:hAnsi="inter"/>
            <w:color w:val="#000"/>
            <w:sz w:val="21"/>
            <w:u w:val="single"/>
            <w:vertAlign w:val="superscript"/>
          </w:rPr>
          <w:t xml:space="preserve">[16]</w:t>
        </w:r>
      </w:hyperlink>
      <w:bookmarkStart w:id="187" w:name="fnref12_3"/>
      <w:bookmarkEnd w:id="187"/>
      <w:hyperlink w:anchor="fn12">
        <w:r>
          <w:rPr>
            <w:rFonts w:eastAsia="inter" w:cs="inter" w:ascii="inter" w:hAnsi="inter"/>
            <w:color w:val="#000"/>
            <w:sz w:val="21"/>
            <w:u w:val="single"/>
            <w:vertAlign w:val="superscript"/>
          </w:rPr>
          <w:t xml:space="preserve">[12]</w:t>
        </w:r>
      </w:hyperlink>
      <w:bookmarkStart w:id="188" w:name="fnref13_2"/>
      <w:bookmarkEnd w:id="188"/>
      <w:hyperlink w:anchor="fn13">
        <w:r>
          <w:rPr>
            <w:rFonts w:eastAsia="inter" w:cs="inter" w:ascii="inter" w:hAnsi="inter"/>
            <w:color w:val="#000"/>
            <w:sz w:val="21"/>
            <w:u w:val="single"/>
            <w:vertAlign w:val="superscript"/>
          </w:rPr>
          <w:t xml:space="preserve">[13]</w:t>
        </w:r>
      </w:hyperlink>
      <w:bookmarkStart w:id="189" w:name="fnref15_3"/>
      <w:bookmarkEnd w:id="189"/>
      <w:hyperlink w:anchor="fn15">
        <w:r>
          <w:rPr>
            <w:rFonts w:eastAsia="inter" w:cs="inter" w:ascii="inter" w:hAnsi="inter"/>
            <w:color w:val="#000"/>
            <w:sz w:val="21"/>
            <w:u w:val="single"/>
            <w:vertAlign w:val="superscript"/>
          </w:rPr>
          <w:t xml:space="preserve">[15]</w:t>
        </w:r>
      </w:hyperlink>
    </w:p>
    <w:p>
      <w:pPr>
        <w:numPr>
          <w:ilvl w:val="1"/>
          <w:numId w:val="34"/>
        </w:numPr>
        <w:spacing w:line="360" w:before="105" w:after="105" w:lineRule="auto"/>
      </w:pPr>
      <w:r>
        <w:rPr>
          <w:rFonts w:eastAsia="inter" w:cs="inter" w:ascii="inter" w:hAnsi="inter"/>
          <w:color w:val="000000"/>
          <w:sz w:val="21"/>
        </w:rPr>
        <w:t xml:space="preserve">One of the </w:t>
      </w:r>
      <w:r>
        <w:rPr>
          <w:rFonts w:eastAsia="inter" w:cs="inter" w:ascii="inter" w:hAnsi="inter"/>
          <w:b/>
          <w:color w:val="000000"/>
          <w:sz w:val="21"/>
        </w:rPr>
        <w:t xml:space="preserve">largest Azure OpenAI implementations globally</w:t>
      </w:r>
      <w:r>
        <w:rPr>
          <w:rFonts w:eastAsia="inter" w:cs="inter" w:ascii="inter" w:hAnsi="inter"/>
          <w:color w:val="000000"/>
          <w:sz w:val="21"/>
        </w:rPr>
        <w:t xml:space="preserve">, with an AI factory operating model and deep Microsoft financial‑services solutions.</w:t>
      </w:r>
      <w:bookmarkStart w:id="190" w:name="fnref33_1"/>
      <w:bookmarkEnd w:id="190"/>
      <w:hyperlink w:anchor="fn33">
        <w:r>
          <w:rPr>
            <w:rFonts w:eastAsia="inter" w:cs="inter" w:ascii="inter" w:hAnsi="inter"/>
            <w:color w:val="#000"/>
            <w:sz w:val="21"/>
            <w:u w:val="single"/>
            <w:vertAlign w:val="superscript"/>
          </w:rPr>
          <w:t xml:space="preserve">[33]</w:t>
        </w:r>
      </w:hyperlink>
      <w:bookmarkStart w:id="191" w:name="fnref19_4"/>
      <w:bookmarkEnd w:id="191"/>
      <w:hyperlink w:anchor="fn19">
        <w:r>
          <w:rPr>
            <w:rFonts w:eastAsia="inter" w:cs="inter" w:ascii="inter" w:hAnsi="inter"/>
            <w:color w:val="#000"/>
            <w:sz w:val="21"/>
            <w:u w:val="single"/>
            <w:vertAlign w:val="superscript"/>
          </w:rPr>
          <w:t xml:space="preserve">[19]</w:t>
        </w:r>
      </w:hyperlink>
    </w:p>
    <w:p>
      <w:pPr>
        <w:numPr>
          <w:ilvl w:val="1"/>
          <w:numId w:val="34"/>
        </w:numPr>
        <w:spacing w:line="360" w:before="105" w:after="105" w:lineRule="auto"/>
      </w:pPr>
      <w:r>
        <w:rPr>
          <w:rFonts w:eastAsia="inter" w:cs="inter" w:ascii="inter" w:hAnsi="inter"/>
          <w:color w:val="000000"/>
          <w:sz w:val="21"/>
        </w:rPr>
        <w:t xml:space="preserve">For an Israeli bank, insurer, or law firm that wants </w:t>
      </w:r>
      <w:r>
        <w:rPr>
          <w:rFonts w:eastAsia="inter" w:cs="inter" w:ascii="inter" w:hAnsi="inter"/>
          <w:b/>
          <w:color w:val="000000"/>
          <w:sz w:val="21"/>
        </w:rPr>
        <w:t xml:space="preserve">ChatGPT Enterprise + Azure OpenAI + strong governance</w:t>
      </w:r>
      <w:r>
        <w:rPr>
          <w:rFonts w:eastAsia="inter" w:cs="inter" w:ascii="inter" w:hAnsi="inter"/>
          <w:color w:val="000000"/>
          <w:sz w:val="21"/>
        </w:rPr>
        <w:t xml:space="preserve">, PwC sits at the top of the shortlist.</w:t>
      </w:r>
    </w:p>
    <w:p>
      <w:pPr>
        <w:numPr>
          <w:ilvl w:val="0"/>
          <w:numId w:val="34"/>
        </w:numPr>
        <w:spacing w:line="360" w:after="210" w:lineRule="auto"/>
      </w:pPr>
      <w:r>
        <w:rPr>
          <w:rFonts w:eastAsia="inter" w:cs="inter" w:ascii="inter" w:hAnsi="inter"/>
          <w:b/>
          <w:color w:val="000000"/>
          <w:sz w:val="21"/>
        </w:rPr>
        <w:t xml:space="preserve">Internal productivity story:</w:t>
      </w:r>
    </w:p>
    <w:p>
      <w:pPr>
        <w:numPr>
          <w:ilvl w:val="1"/>
          <w:numId w:val="34"/>
        </w:numPr>
        <w:spacing w:line="360" w:before="105" w:after="105" w:lineRule="auto"/>
      </w:pPr>
      <w:r>
        <w:rPr>
          <w:rFonts w:eastAsia="inter" w:cs="inter" w:ascii="inter" w:hAnsi="inter"/>
          <w:color w:val="000000"/>
          <w:sz w:val="21"/>
        </w:rPr>
        <w:t xml:space="preserve">Network‑level data on hours saved and efficiency gains (5M+ hours saved on tax‑notice work; 20–30% efficiency uplift with GenAI prompting parties; 3.25 hours/week saved for civil‑service AI pilots) provide </w:t>
      </w:r>
      <w:r>
        <w:rPr>
          <w:rFonts w:eastAsia="inter" w:cs="inter" w:ascii="inter" w:hAnsi="inter"/>
          <w:b/>
          <w:color w:val="000000"/>
          <w:sz w:val="21"/>
        </w:rPr>
        <w:t xml:space="preserve">hard proof points</w:t>
      </w:r>
      <w:r>
        <w:rPr>
          <w:rFonts w:eastAsia="inter" w:cs="inter" w:ascii="inter" w:hAnsi="inter"/>
          <w:color w:val="000000"/>
          <w:sz w:val="21"/>
        </w:rPr>
        <w:t xml:space="preserve"> PwC can repurpose in Israel.</w:t>
      </w:r>
      <w:bookmarkStart w:id="192" w:name="fnref8_5"/>
      <w:bookmarkEnd w:id="192"/>
      <w:hyperlink w:anchor="fn8">
        <w:r>
          <w:rPr>
            <w:rFonts w:eastAsia="inter" w:cs="inter" w:ascii="inter" w:hAnsi="inter"/>
            <w:color w:val="#000"/>
            <w:sz w:val="21"/>
            <w:u w:val="single"/>
            <w:vertAlign w:val="superscript"/>
          </w:rPr>
          <w:t xml:space="preserve">[8]</w:t>
        </w:r>
      </w:hyperlink>
      <w:bookmarkStart w:id="193" w:name="fnref11_2"/>
      <w:bookmarkEnd w:id="193"/>
      <w:hyperlink w:anchor="fn11">
        <w:r>
          <w:rPr>
            <w:rFonts w:eastAsia="inter" w:cs="inter" w:ascii="inter" w:hAnsi="inter"/>
            <w:color w:val="#000"/>
            <w:sz w:val="21"/>
            <w:u w:val="single"/>
            <w:vertAlign w:val="superscript"/>
          </w:rPr>
          <w:t xml:space="preserve">[11]</w:t>
        </w:r>
      </w:hyperlink>
      <w:bookmarkStart w:id="194" w:name="fnref39_1"/>
      <w:bookmarkEnd w:id="194"/>
      <w:hyperlink w:anchor="fn39">
        <w:r>
          <w:rPr>
            <w:rFonts w:eastAsia="inter" w:cs="inter" w:ascii="inter" w:hAnsi="inter"/>
            <w:color w:val="#000"/>
            <w:sz w:val="21"/>
            <w:u w:val="single"/>
            <w:vertAlign w:val="superscript"/>
          </w:rPr>
          <w:t xml:space="preserve">[39]</w:t>
        </w:r>
      </w:hyperlink>
      <w:bookmarkStart w:id="195" w:name="fnref10_4"/>
      <w:bookmarkEnd w:id="195"/>
      <w:hyperlink w:anchor="fn10">
        <w:r>
          <w:rPr>
            <w:rFonts w:eastAsia="inter" w:cs="inter" w:ascii="inter" w:hAnsi="inter"/>
            <w:color w:val="#000"/>
            <w:sz w:val="21"/>
            <w:u w:val="single"/>
            <w:vertAlign w:val="superscript"/>
          </w:rPr>
          <w:t xml:space="preserve">[10]</w:t>
        </w:r>
      </w:hyperlink>
    </w:p>
    <w:p>
      <w:pPr>
        <w:numPr>
          <w:ilvl w:val="1"/>
          <w:numId w:val="34"/>
        </w:numPr>
        <w:spacing w:line="360" w:before="105" w:after="105" w:lineRule="auto"/>
      </w:pPr>
      <w:r>
        <w:rPr>
          <w:rFonts w:eastAsia="inter" w:cs="inter" w:ascii="inter" w:hAnsi="inter"/>
          <w:color w:val="000000"/>
          <w:sz w:val="21"/>
        </w:rPr>
        <w:t xml:space="preserve">PwC Israel’s own transparency reports show it is incorporating </w:t>
      </w:r>
      <w:r>
        <w:rPr>
          <w:rFonts w:eastAsia="inter" w:cs="inter" w:ascii="inter" w:hAnsi="inter"/>
          <w:b/>
          <w:color w:val="000000"/>
          <w:sz w:val="21"/>
        </w:rPr>
        <w:t xml:space="preserve">NextGen, AI‑driven tools</w:t>
      </w:r>
      <w:r>
        <w:rPr>
          <w:rFonts w:eastAsia="inter" w:cs="inter" w:ascii="inter" w:hAnsi="inter"/>
          <w:color w:val="000000"/>
          <w:sz w:val="21"/>
        </w:rPr>
        <w:t xml:space="preserve"> into audit and assurance, consistent with the global “client zero” story.</w:t>
      </w:r>
      <w:bookmarkStart w:id="196" w:name="fnref6_3"/>
      <w:bookmarkEnd w:id="196"/>
      <w:hyperlink w:anchor="fn6">
        <w:r>
          <w:rPr>
            <w:rFonts w:eastAsia="inter" w:cs="inter" w:ascii="inter" w:hAnsi="inter"/>
            <w:color w:val="#000"/>
            <w:sz w:val="21"/>
            <w:u w:val="single"/>
            <w:vertAlign w:val="superscript"/>
          </w:rPr>
          <w:t xml:space="preserve">[6]</w:t>
        </w:r>
      </w:hyperlink>
      <w:bookmarkStart w:id="197" w:name="fnref9_2"/>
      <w:bookmarkEnd w:id="197"/>
      <w:hyperlink w:anchor="fn9">
        <w:r>
          <w:rPr>
            <w:rFonts w:eastAsia="inter" w:cs="inter" w:ascii="inter" w:hAnsi="inter"/>
            <w:color w:val="#000"/>
            <w:sz w:val="21"/>
            <w:u w:val="single"/>
            <w:vertAlign w:val="superscript"/>
          </w:rPr>
          <w:t xml:space="preserve">[9]</w:t>
        </w:r>
      </w:hyperlink>
    </w:p>
    <w:p>
      <w:pPr>
        <w:numPr>
          <w:ilvl w:val="0"/>
          <w:numId w:val="34"/>
        </w:numPr>
        <w:spacing w:line="360" w:after="210" w:lineRule="auto"/>
      </w:pPr>
      <w:r>
        <w:rPr>
          <w:rFonts w:eastAsia="inter" w:cs="inter" w:ascii="inter" w:hAnsi="inter"/>
          <w:b/>
          <w:color w:val="000000"/>
          <w:sz w:val="21"/>
        </w:rPr>
        <w:t xml:space="preserve">Client outcomes &amp; vertical focus:</w:t>
      </w:r>
    </w:p>
    <w:p>
      <w:pPr>
        <w:numPr>
          <w:ilvl w:val="1"/>
          <w:numId w:val="34"/>
        </w:numPr>
        <w:spacing w:line="360" w:before="105" w:after="105" w:lineRule="auto"/>
      </w:pPr>
      <w:r>
        <w:rPr>
          <w:rFonts w:eastAsia="inter" w:cs="inter" w:ascii="inter" w:hAnsi="inter"/>
          <w:b/>
          <w:color w:val="000000"/>
          <w:sz w:val="21"/>
        </w:rPr>
        <w:t xml:space="preserve">Gold Use Case</w:t>
      </w:r>
      <w:r>
        <w:rPr>
          <w:rFonts w:eastAsia="inter" w:cs="inter" w:ascii="inter" w:hAnsi="inter"/>
          <w:color w:val="000000"/>
          <w:sz w:val="21"/>
        </w:rPr>
        <w:t xml:space="preserve">: Fischer Behar Chen legal AI project with ~50% reduction in research and drafting time.</w:t>
      </w:r>
      <w:bookmarkStart w:id="198" w:name="fnref5_11"/>
      <w:bookmarkEnd w:id="198"/>
      <w:hyperlink w:anchor="fn5">
        <w:r>
          <w:rPr>
            <w:rFonts w:eastAsia="inter" w:cs="inter" w:ascii="inter" w:hAnsi="inter"/>
            <w:color w:val="#000"/>
            <w:sz w:val="21"/>
            <w:u w:val="single"/>
            <w:vertAlign w:val="superscript"/>
          </w:rPr>
          <w:t xml:space="preserve">[5]</w:t>
        </w:r>
      </w:hyperlink>
    </w:p>
    <w:p>
      <w:pPr>
        <w:numPr>
          <w:ilvl w:val="1"/>
          <w:numId w:val="34"/>
        </w:numPr>
        <w:spacing w:line="360" w:before="105" w:after="105" w:lineRule="auto"/>
      </w:pPr>
      <w:r>
        <w:rPr>
          <w:rFonts w:eastAsia="inter" w:cs="inter" w:ascii="inter" w:hAnsi="inter"/>
          <w:color w:val="000000"/>
          <w:sz w:val="21"/>
        </w:rPr>
        <w:t xml:space="preserve">Financial and insurance sector modernization for </w:t>
      </w:r>
      <w:r>
        <w:rPr>
          <w:rFonts w:eastAsia="inter" w:cs="inter" w:ascii="inter" w:hAnsi="inter"/>
          <w:b/>
          <w:color w:val="000000"/>
          <w:sz w:val="21"/>
        </w:rPr>
        <w:t xml:space="preserve">Bank Hapoalim</w:t>
      </w:r>
      <w:r>
        <w:rPr>
          <w:rFonts w:eastAsia="inter" w:cs="inter" w:ascii="inter" w:hAnsi="inter"/>
          <w:color w:val="000000"/>
          <w:sz w:val="21"/>
        </w:rPr>
        <w:t xml:space="preserve"> and </w:t>
      </w:r>
      <w:r>
        <w:rPr>
          <w:rFonts w:eastAsia="inter" w:cs="inter" w:ascii="inter" w:hAnsi="inter"/>
          <w:b/>
          <w:color w:val="000000"/>
          <w:sz w:val="21"/>
        </w:rPr>
        <w:t xml:space="preserve">Migdal</w:t>
      </w:r>
      <w:r>
        <w:rPr>
          <w:rFonts w:eastAsia="inter" w:cs="inter" w:ascii="inter" w:hAnsi="inter"/>
          <w:color w:val="000000"/>
          <w:sz w:val="21"/>
        </w:rPr>
        <w:t xml:space="preserve"> focusing on risk reduction, reliability and service speed—core elements of organizational productivity.</w:t>
      </w:r>
      <w:bookmarkStart w:id="199" w:name="fnref23_6"/>
      <w:bookmarkEnd w:id="199"/>
      <w:hyperlink w:anchor="fn23">
        <w:r>
          <w:rPr>
            <w:rFonts w:eastAsia="inter" w:cs="inter" w:ascii="inter" w:hAnsi="inter"/>
            <w:color w:val="#000"/>
            <w:sz w:val="21"/>
            <w:u w:val="single"/>
            <w:vertAlign w:val="superscript"/>
          </w:rPr>
          <w:t xml:space="preserve">[23]</w:t>
        </w:r>
      </w:hyperlink>
      <w:bookmarkStart w:id="200" w:name="fnref5_12"/>
      <w:bookmarkEnd w:id="200"/>
      <w:hyperlink w:anchor="fn5">
        <w:r>
          <w:rPr>
            <w:rFonts w:eastAsia="inter" w:cs="inter" w:ascii="inter" w:hAnsi="inter"/>
            <w:color w:val="#000"/>
            <w:sz w:val="21"/>
            <w:u w:val="single"/>
            <w:vertAlign w:val="superscript"/>
          </w:rPr>
          <w:t xml:space="preserve">[5]</w:t>
        </w:r>
      </w:hyperlink>
    </w:p>
    <w:p>
      <w:pPr>
        <w:numPr>
          <w:ilvl w:val="1"/>
          <w:numId w:val="34"/>
        </w:numPr>
        <w:spacing w:line="360" w:before="105" w:after="105" w:lineRule="auto"/>
      </w:pPr>
      <w:r>
        <w:rPr>
          <w:rFonts w:eastAsia="inter" w:cs="inter" w:ascii="inter" w:hAnsi="inter"/>
          <w:color w:val="000000"/>
          <w:sz w:val="21"/>
        </w:rPr>
        <w:t xml:space="preserve">Targeted GenAI enablement for other legal and finance organizations (Lipa Meir workshop; GenAI for Finance event with Oracle and 200+ CFOs).</w:t>
      </w:r>
      <w:bookmarkStart w:id="201" w:name="fnref43_1"/>
      <w:bookmarkEnd w:id="201"/>
      <w:hyperlink w:anchor="fn43">
        <w:r>
          <w:rPr>
            <w:rFonts w:eastAsia="inter" w:cs="inter" w:ascii="inter" w:hAnsi="inter"/>
            <w:color w:val="#000"/>
            <w:sz w:val="21"/>
            <w:u w:val="single"/>
            <w:vertAlign w:val="superscript"/>
          </w:rPr>
          <w:t xml:space="preserve">[43]</w:t>
        </w:r>
      </w:hyperlink>
      <w:bookmarkStart w:id="202" w:name="fnref41_1"/>
      <w:bookmarkEnd w:id="202"/>
      <w:hyperlink w:anchor="fn41">
        <w:r>
          <w:rPr>
            <w:rFonts w:eastAsia="inter" w:cs="inter" w:ascii="inter" w:hAnsi="inter"/>
            <w:color w:val="#000"/>
            <w:sz w:val="21"/>
            <w:u w:val="single"/>
            <w:vertAlign w:val="superscript"/>
          </w:rPr>
          <w:t xml:space="preserve">[41]</w:t>
        </w:r>
      </w:hyperlink>
      <w:bookmarkStart w:id="203" w:name="fnref42_3"/>
      <w:bookmarkEnd w:id="203"/>
      <w:hyperlink w:anchor="fn42">
        <w:r>
          <w:rPr>
            <w:rFonts w:eastAsia="inter" w:cs="inter" w:ascii="inter" w:hAnsi="inter"/>
            <w:color w:val="#000"/>
            <w:sz w:val="21"/>
            <w:u w:val="single"/>
            <w:vertAlign w:val="superscript"/>
          </w:rPr>
          <w:t xml:space="preserve">[42]</w:t>
        </w:r>
      </w:hyperlink>
    </w:p>
    <w:p>
      <w:pPr>
        <w:numPr>
          <w:ilvl w:val="0"/>
          <w:numId w:val="34"/>
        </w:numPr>
        <w:spacing w:line="360" w:after="210" w:lineRule="auto"/>
      </w:pPr>
      <w:r>
        <w:rPr>
          <w:rFonts w:eastAsia="inter" w:cs="inter" w:ascii="inter" w:hAnsi="inter"/>
          <w:b/>
          <w:color w:val="000000"/>
          <w:sz w:val="21"/>
        </w:rPr>
        <w:t xml:space="preserve">Ecosystem orchestration and startup integration:</w:t>
      </w:r>
    </w:p>
    <w:p>
      <w:pPr>
        <w:numPr>
          <w:ilvl w:val="1"/>
          <w:numId w:val="34"/>
        </w:numPr>
        <w:spacing w:line="360" w:before="105" w:after="105" w:lineRule="auto"/>
      </w:pPr>
      <w:r>
        <w:rPr>
          <w:rFonts w:eastAsia="inter" w:cs="inter" w:ascii="inter" w:hAnsi="inter"/>
          <w:color w:val="000000"/>
          <w:sz w:val="21"/>
        </w:rPr>
        <w:t xml:space="preserve">Partnership with </w:t>
      </w:r>
      <w:r>
        <w:rPr>
          <w:rFonts w:eastAsia="inter" w:cs="inter" w:ascii="inter" w:hAnsi="inter"/>
          <w:b/>
          <w:color w:val="000000"/>
          <w:sz w:val="21"/>
        </w:rPr>
      </w:r>
      <w:hyperlink r:id="rId9">
        <w:r>
          <w:rPr>
            <w:rFonts w:eastAsia="inter" w:cs="inter" w:ascii="inter" w:hAnsi="inter"/>
            <w:b/>
            <w:color w:val="#000"/>
            <w:sz w:val="21"/>
            <w:u w:val="single"/>
          </w:rPr>
          <w:t xml:space="preserve">Hear.ai</w:t>
        </w:r>
      </w:hyperlink>
      <w:r>
        <w:rPr>
          <w:rFonts w:eastAsia="inter" w:cs="inter" w:ascii="inter" w:hAnsi="inter"/>
          <w:color w:val="000000"/>
          <w:sz w:val="21"/>
        </w:rPr>
        <w:t xml:space="preserve"> to bundle contact‑center GenAI analytics into enterprise operational‑excellence programs.</w:t>
      </w:r>
      <w:bookmarkStart w:id="204" w:name="fnref20_5"/>
      <w:bookmarkEnd w:id="204"/>
      <w:hyperlink w:anchor="fn20">
        <w:r>
          <w:rPr>
            <w:rFonts w:eastAsia="inter" w:cs="inter" w:ascii="inter" w:hAnsi="inter"/>
            <w:color w:val="#000"/>
            <w:sz w:val="21"/>
            <w:u w:val="single"/>
            <w:vertAlign w:val="superscript"/>
          </w:rPr>
          <w:t xml:space="preserve">[20]</w:t>
        </w:r>
      </w:hyperlink>
    </w:p>
    <w:p>
      <w:pPr>
        <w:numPr>
          <w:ilvl w:val="1"/>
          <w:numId w:val="34"/>
        </w:numPr>
        <w:spacing w:line="360" w:before="105" w:after="105" w:lineRule="auto"/>
      </w:pPr>
      <w:r>
        <w:rPr>
          <w:rFonts w:eastAsia="inter" w:cs="inter" w:ascii="inter" w:hAnsi="inter"/>
          <w:color w:val="000000"/>
          <w:sz w:val="21"/>
        </w:rPr>
        <w:t xml:space="preserve">Collaboration with </w:t>
      </w:r>
      <w:r>
        <w:rPr>
          <w:rFonts w:eastAsia="inter" w:cs="inter" w:ascii="inter" w:hAnsi="inter"/>
          <w:b/>
          <w:color w:val="000000"/>
          <w:sz w:val="21"/>
        </w:rPr>
        <w:t xml:space="preserve">OurCrowd’s Israel Resilience Fund</w:t>
      </w:r>
      <w:r>
        <w:rPr>
          <w:rFonts w:eastAsia="inter" w:cs="inter" w:ascii="inter" w:hAnsi="inter"/>
          <w:color w:val="000000"/>
          <w:sz w:val="21"/>
        </w:rPr>
        <w:t xml:space="preserve"> to mentor and support 34 deep‑tech startups, many AI‑native, further cementing PwC as a central orchestrator in Israel’s AI ecosystem.</w:t>
      </w:r>
      <w:bookmarkStart w:id="205" w:name="fnref47_1"/>
      <w:bookmarkEnd w:id="205"/>
      <w:hyperlink w:anchor="fn47">
        <w:r>
          <w:rPr>
            <w:rFonts w:eastAsia="inter" w:cs="inter" w:ascii="inter" w:hAnsi="inter"/>
            <w:color w:val="#000"/>
            <w:sz w:val="21"/>
            <w:u w:val="single"/>
            <w:vertAlign w:val="superscript"/>
          </w:rPr>
          <w:t xml:space="preserve">[47]</w:t>
        </w:r>
      </w:hyperlink>
      <w:bookmarkStart w:id="206" w:name="fnref46_1"/>
      <w:bookmarkEnd w:id="206"/>
      <w:hyperlink w:anchor="fn46">
        <w:r>
          <w:rPr>
            <w:rFonts w:eastAsia="inter" w:cs="inter" w:ascii="inter" w:hAnsi="inter"/>
            <w:color w:val="#000"/>
            <w:sz w:val="21"/>
            <w:u w:val="single"/>
            <w:vertAlign w:val="superscript"/>
          </w:rPr>
          <w:t xml:space="preserve">[46]</w:t>
        </w:r>
      </w:hyperlink>
      <w:bookmarkStart w:id="207" w:name="fnref22_4"/>
      <w:bookmarkEnd w:id="207"/>
      <w:hyperlink w:anchor="fn22">
        <w:r>
          <w:rPr>
            <w:rFonts w:eastAsia="inter" w:cs="inter" w:ascii="inter" w:hAnsi="inter"/>
            <w:color w:val="#000"/>
            <w:sz w:val="21"/>
            <w:u w:val="single"/>
            <w:vertAlign w:val="superscript"/>
          </w:rPr>
          <w:t xml:space="preserve">[22]</w:t>
        </w:r>
      </w:hyperlink>
    </w:p>
    <w:p>
      <w:pPr>
        <w:spacing w:line="360" w:after="210" w:lineRule="auto"/>
      </w:pPr>
      <w:r>
        <w:rPr>
          <w:rFonts w:eastAsia="inter" w:cs="inter" w:ascii="inter" w:hAnsi="inter"/>
          <w:b/>
          <w:color w:val="000000"/>
        </w:rPr>
        <w:t xml:space="preserve">Net assessment:</w:t>
      </w:r>
    </w:p>
    <w:p>
      <w:pPr>
        <w:numPr>
          <w:ilvl w:val="0"/>
          <w:numId w:val="35"/>
        </w:numPr>
        <w:spacing w:line="360" w:after="210" w:lineRule="auto"/>
      </w:pPr>
      <w:r>
        <w:rPr>
          <w:rFonts w:eastAsia="inter" w:cs="inter" w:ascii="inter" w:hAnsi="inter"/>
          <w:b/>
          <w:color w:val="000000"/>
          <w:sz w:val="21"/>
        </w:rPr>
        <w:t xml:space="preserve">Yes, PwC Israel has a credible claim to leadership in the organizational‑productivity AI niche</w:t>
      </w:r>
      <w:r>
        <w:rPr>
          <w:rFonts w:eastAsia="inter" w:cs="inter" w:ascii="inter" w:hAnsi="inter"/>
          <w:color w:val="000000"/>
          <w:sz w:val="21"/>
        </w:rPr>
        <w:t xml:space="preserve">, especially for:</w:t>
      </w:r>
    </w:p>
    <w:p>
      <w:pPr>
        <w:numPr>
          <w:ilvl w:val="1"/>
          <w:numId w:val="35"/>
        </w:numPr>
        <w:spacing w:line="360" w:before="105" w:after="105" w:lineRule="auto"/>
      </w:pPr>
      <w:r>
        <w:rPr>
          <w:rFonts w:eastAsia="inter" w:cs="inter" w:ascii="inter" w:hAnsi="inter"/>
          <w:color w:val="000000"/>
          <w:sz w:val="21"/>
        </w:rPr>
        <w:t xml:space="preserve">Microsoft/OpenAI‑centric stacks.</w:t>
      </w:r>
    </w:p>
    <w:p>
      <w:pPr>
        <w:numPr>
          <w:ilvl w:val="1"/>
          <w:numId w:val="35"/>
        </w:numPr>
        <w:spacing w:line="360" w:before="105" w:after="105" w:lineRule="auto"/>
      </w:pPr>
      <w:r>
        <w:rPr>
          <w:rFonts w:eastAsia="inter" w:cs="inter" w:ascii="inter" w:hAnsi="inter"/>
          <w:color w:val="000000"/>
          <w:sz w:val="21"/>
        </w:rPr>
        <w:t xml:space="preserve">Regulated sectors (banking, insurance, legal, audit).</w:t>
      </w:r>
    </w:p>
    <w:p>
      <w:pPr>
        <w:numPr>
          <w:ilvl w:val="1"/>
          <w:numId w:val="35"/>
        </w:numPr>
        <w:spacing w:line="360" w:before="105" w:after="105" w:lineRule="auto"/>
      </w:pPr>
      <w:r>
        <w:rPr>
          <w:rFonts w:eastAsia="inter" w:cs="inter" w:ascii="inter" w:hAnsi="inter"/>
          <w:color w:val="000000"/>
          <w:sz w:val="21"/>
        </w:rPr>
        <w:t xml:space="preserve">Programs that require both </w:t>
      </w:r>
      <w:r>
        <w:rPr>
          <w:rFonts w:eastAsia="inter" w:cs="inter" w:ascii="inter" w:hAnsi="inter"/>
          <w:b/>
          <w:color w:val="000000"/>
          <w:sz w:val="21"/>
        </w:rPr>
        <w:t xml:space="preserve">technical depth</w:t>
      </w:r>
      <w:r>
        <w:rPr>
          <w:rFonts w:eastAsia="inter" w:cs="inter" w:ascii="inter" w:hAnsi="inter"/>
          <w:color w:val="000000"/>
          <w:sz w:val="21"/>
        </w:rPr>
        <w:t xml:space="preserve"> and </w:t>
      </w:r>
      <w:r>
        <w:rPr>
          <w:rFonts w:eastAsia="inter" w:cs="inter" w:ascii="inter" w:hAnsi="inter"/>
          <w:b/>
          <w:color w:val="000000"/>
          <w:sz w:val="21"/>
        </w:rPr>
        <w:t xml:space="preserve">risk/governance sophistication</w:t>
      </w:r>
      <w:r>
        <w:rPr>
          <w:rFonts w:eastAsia="inter" w:cs="inter" w:ascii="inter" w:hAnsi="inter"/>
          <w:color w:val="000000"/>
          <w:sz w:val="21"/>
        </w:rPr>
        <w:t xml:space="preserve">.</w:t>
      </w:r>
    </w:p>
    <w:p>
      <w:pPr>
        <w:numPr>
          <w:ilvl w:val="0"/>
          <w:numId w:val="35"/>
        </w:numPr>
        <w:spacing w:line="360" w:after="210" w:lineRule="auto"/>
      </w:pPr>
      <w:r>
        <w:rPr>
          <w:rFonts w:eastAsia="inter" w:cs="inter" w:ascii="inter" w:hAnsi="inter"/>
          <w:b/>
          <w:color w:val="000000"/>
          <w:sz w:val="21"/>
        </w:rPr>
        <w:t xml:space="preserve">However, the public evidence does not support a definitive statement that PwC Israel is unchallenged or “exclusive”</w:t>
      </w:r>
      <w:r>
        <w:rPr>
          <w:rFonts w:eastAsia="inter" w:cs="inter" w:ascii="inter" w:hAnsi="inter"/>
          <w:color w:val="000000"/>
          <w:sz w:val="21"/>
        </w:rPr>
        <w:t xml:space="preserve"> in this space:</w:t>
      </w:r>
    </w:p>
    <w:p>
      <w:pPr>
        <w:numPr>
          <w:ilvl w:val="1"/>
          <w:numId w:val="35"/>
        </w:numPr>
        <w:spacing w:line="360" w:before="105" w:after="105" w:lineRule="auto"/>
      </w:pPr>
      <w:r>
        <w:rPr>
          <w:rFonts w:eastAsia="inter" w:cs="inter" w:ascii="inter" w:hAnsi="inter"/>
          <w:color w:val="000000"/>
          <w:sz w:val="21"/>
        </w:rPr>
        <w:t xml:space="preserve">Few fully detailed, quantified Israeli GenAI case studies are public.</w:t>
      </w:r>
    </w:p>
    <w:p>
      <w:pPr>
        <w:numPr>
          <w:ilvl w:val="1"/>
          <w:numId w:val="35"/>
        </w:numPr>
        <w:spacing w:line="360" w:before="105" w:after="105" w:lineRule="auto"/>
      </w:pPr>
      <w:r>
        <w:rPr>
          <w:rFonts w:eastAsia="inter" w:cs="inter" w:ascii="inter" w:hAnsi="inter"/>
          <w:color w:val="000000"/>
          <w:sz w:val="21"/>
        </w:rPr>
        <w:t xml:space="preserve">The market also hosts strong competitors (e.g., Deloitte, EY, Accenture, local boutiques) whose internal capabilities are less visible but non‑trivial.</w:t>
      </w:r>
    </w:p>
    <w:p>
      <w:pPr>
        <w:spacing w:line="360" w:after="210" w:lineRule="auto"/>
      </w:pPr>
      <w:r>
        <w:rPr>
          <w:rFonts w:eastAsia="inter" w:cs="inter" w:ascii="inter" w:hAnsi="inter"/>
          <w:color w:val="000000"/>
        </w:rPr>
        <w:t xml:space="preserve">For a strategic or competitive‑intelligence use case, PwC Israel should be treated as:</w:t>
      </w:r>
    </w:p>
    <w:p>
      <w:pPr>
        <w:numPr>
          <w:ilvl w:val="0"/>
          <w:numId w:val="36"/>
        </w:numPr>
        <w:spacing w:line="360" w:before="105" w:after="105" w:lineRule="auto"/>
      </w:pPr>
      <w:r>
        <w:rPr>
          <w:rFonts w:eastAsia="inter" w:cs="inter" w:ascii="inter" w:hAnsi="inter"/>
          <w:color w:val="000000"/>
          <w:sz w:val="21"/>
        </w:rPr>
        <w:t xml:space="preserve">The </w:t>
      </w:r>
      <w:r>
        <w:rPr>
          <w:rFonts w:eastAsia="inter" w:cs="inter" w:ascii="inter" w:hAnsi="inter"/>
          <w:b/>
          <w:color w:val="000000"/>
          <w:sz w:val="21"/>
        </w:rPr>
        <w:t xml:space="preserve">default Tier‑1 benchmark</w:t>
      </w:r>
      <w:r>
        <w:rPr>
          <w:rFonts w:eastAsia="inter" w:cs="inter" w:ascii="inter" w:hAnsi="inter"/>
          <w:color w:val="000000"/>
          <w:sz w:val="21"/>
        </w:rPr>
        <w:t xml:space="preserve"> for organizational‑productivity AI in Israel.</w:t>
      </w:r>
    </w:p>
    <w:p>
      <w:pPr>
        <w:numPr>
          <w:ilvl w:val="0"/>
          <w:numId w:val="36"/>
        </w:numPr>
        <w:spacing w:line="360" w:before="105" w:after="105" w:lineRule="auto"/>
      </w:pPr>
      <w:r>
        <w:rPr>
          <w:rFonts w:eastAsia="inter" w:cs="inter" w:ascii="inter" w:hAnsi="inter"/>
          <w:color w:val="000000"/>
          <w:sz w:val="21"/>
        </w:rPr>
        <w:t xml:space="preserve">A firm with </w:t>
      </w:r>
      <w:r>
        <w:rPr>
          <w:rFonts w:eastAsia="inter" w:cs="inter" w:ascii="inter" w:hAnsi="inter"/>
          <w:b/>
          <w:color w:val="000000"/>
          <w:sz w:val="21"/>
        </w:rPr>
        <w:t xml:space="preserve">privileged OpenAI/Microsoft access</w:t>
      </w:r>
      <w:r>
        <w:rPr>
          <w:rFonts w:eastAsia="inter" w:cs="inter" w:ascii="inter" w:hAnsi="inter"/>
          <w:color w:val="000000"/>
          <w:sz w:val="21"/>
        </w:rPr>
        <w:t xml:space="preserve"> and a mature AI Factory model.</w:t>
      </w:r>
    </w:p>
    <w:p>
      <w:pPr>
        <w:numPr>
          <w:ilvl w:val="0"/>
          <w:numId w:val="36"/>
        </w:numPr>
        <w:spacing w:line="360" w:before="105" w:after="105" w:lineRule="auto"/>
      </w:pPr>
      <w:r>
        <w:rPr>
          <w:rFonts w:eastAsia="inter" w:cs="inter" w:ascii="inter" w:hAnsi="inter"/>
          <w:color w:val="000000"/>
          <w:sz w:val="21"/>
        </w:rPr>
        <w:t xml:space="preserve">A player whose </w:t>
      </w:r>
      <w:r>
        <w:rPr>
          <w:rFonts w:eastAsia="inter" w:cs="inter" w:ascii="inter" w:hAnsi="inter"/>
          <w:b/>
          <w:color w:val="000000"/>
          <w:sz w:val="21"/>
        </w:rPr>
        <w:t xml:space="preserve">weakest link is transparency of ROI metrics</w:t>
      </w:r>
      <w:r>
        <w:rPr>
          <w:rFonts w:eastAsia="inter" w:cs="inter" w:ascii="inter" w:hAnsi="inter"/>
          <w:color w:val="000000"/>
          <w:sz w:val="21"/>
        </w:rPr>
        <w:t xml:space="preserve">—offering room for a challenger to differentiate with more visible, quantified Israeli case studies.</w:t>
      </w:r>
      <w:r>
        <w:rPr>
          <w:rFonts w:eastAsia="inter" w:cs="inter" w:ascii="inter" w:hAnsi="inter"/>
          <w:color w:val="000000"/>
          <w:sz w:val="21"/>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208" w:name="fn1"/>
    <w:bookmarkEnd w:id="208"/>
    <w:p>
      <w:pPr>
        <w:numPr>
          <w:ilvl w:val="0"/>
          <w:numId w:val="38"/>
        </w:numPr>
        <w:spacing w:line="360" w:after="210" w:lineRule="auto"/>
      </w:pPr>
      <w:hyperlink r:id="rId10">
        <w:r>
          <w:rPr>
            <w:rFonts w:eastAsia="inter" w:cs="inter" w:ascii="inter" w:hAnsi="inter"/>
            <w:color w:val="#000"/>
            <w:sz w:val="18"/>
            <w:u w:val="single"/>
          </w:rPr>
          <w:t xml:space="preserve">https://www.pc.co.il/advertisements/411642/</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09" w:name="fn2"/>
    <w:bookmarkEnd w:id="209"/>
    <w:p>
      <w:pPr>
        <w:numPr>
          <w:ilvl w:val="0"/>
          <w:numId w:val="38"/>
        </w:numPr>
        <w:spacing w:line="360" w:after="210" w:lineRule="auto"/>
      </w:pPr>
      <w:hyperlink r:id="rId11">
        <w:r>
          <w:rPr>
            <w:rFonts w:eastAsia="inter" w:cs="inter" w:ascii="inter" w:hAnsi="inter"/>
            <w:color w:val="#000"/>
            <w:sz w:val="18"/>
            <w:u w:val="single"/>
          </w:rPr>
          <w:t xml:space="preserve">https://nexttech.pwc.co.il/ai/</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10" w:name="fn3"/>
    <w:bookmarkEnd w:id="210"/>
    <w:p>
      <w:pPr>
        <w:numPr>
          <w:ilvl w:val="0"/>
          <w:numId w:val="38"/>
        </w:numPr>
        <w:spacing w:line="360" w:after="210" w:lineRule="auto"/>
      </w:pPr>
      <w:hyperlink r:id="rId12">
        <w:r>
          <w:rPr>
            <w:rFonts w:eastAsia="inter" w:cs="inter" w:ascii="inter" w:hAnsi="inter"/>
            <w:color w:val="#000"/>
            <w:sz w:val="18"/>
            <w:u w:val="single"/>
          </w:rPr>
          <w:t xml:space="preserve">https://www.pwc.com/us/en/tech-effect/ai-analytics/guide-to-generative-ai-for-the-cio.html</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11" w:name="fn4"/>
    <w:bookmarkEnd w:id="211"/>
    <w:p>
      <w:pPr>
        <w:numPr>
          <w:ilvl w:val="0"/>
          <w:numId w:val="38"/>
        </w:numPr>
        <w:spacing w:line="360" w:after="210" w:lineRule="auto"/>
      </w:pPr>
      <w:hyperlink r:id="rId13">
        <w:r>
          <w:rPr>
            <w:rFonts w:eastAsia="inter" w:cs="inter" w:ascii="inter" w:hAnsi="inter"/>
            <w:color w:val="#000"/>
            <w:sz w:val="18"/>
            <w:u w:val="single"/>
          </w:rPr>
          <w:t xml:space="preserve">https://nexttech.pwc.co.il</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12" w:name="fn5"/>
    <w:bookmarkEnd w:id="212"/>
    <w:p>
      <w:pPr>
        <w:numPr>
          <w:ilvl w:val="0"/>
          <w:numId w:val="38"/>
        </w:numPr>
        <w:spacing w:line="360" w:after="210" w:lineRule="auto"/>
      </w:pPr>
      <w:hyperlink r:id="rId14">
        <w:r>
          <w:rPr>
            <w:rFonts w:eastAsia="inter" w:cs="inter" w:ascii="inter" w:hAnsi="inter"/>
            <w:color w:val="#000"/>
            <w:sz w:val="18"/>
            <w:u w:val="single"/>
          </w:rPr>
          <w:t xml:space="preserve">https://guardian.ng/news/leading-the-charge-in-generative-ai-how-pavel-sheynkman-is-redefining-technological-boundaries/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13" w:name="fn6"/>
    <w:bookmarkEnd w:id="213"/>
    <w:p>
      <w:pPr>
        <w:numPr>
          <w:ilvl w:val="0"/>
          <w:numId w:val="38"/>
        </w:numPr>
        <w:spacing w:line="360" w:after="210" w:lineRule="auto"/>
      </w:pPr>
      <w:hyperlink r:id="rId15">
        <w:r>
          <w:rPr>
            <w:rFonts w:eastAsia="inter" w:cs="inter" w:ascii="inter" w:hAnsi="inter"/>
            <w:color w:val="#000"/>
            <w:sz w:val="18"/>
            <w:u w:val="single"/>
          </w:rPr>
          <w:t xml:space="preserve">https://www.pwc.com/il/en/assets/pdf-files/__pwc_israel-transparency-report-2023.pdf</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14" w:name="fn7"/>
    <w:bookmarkEnd w:id="214"/>
    <w:p>
      <w:pPr>
        <w:numPr>
          <w:ilvl w:val="0"/>
          <w:numId w:val="38"/>
        </w:numPr>
        <w:spacing w:line="360" w:after="210" w:lineRule="auto"/>
      </w:pPr>
      <w:hyperlink r:id="rId16">
        <w:r>
          <w:rPr>
            <w:rFonts w:eastAsia="inter" w:cs="inter" w:ascii="inter" w:hAnsi="inter"/>
            <w:color w:val="#000"/>
            <w:sz w:val="18"/>
            <w:u w:val="single"/>
          </w:rPr>
          <w:t xml:space="preserve">https://www.bdicode.co.il/en/company/pwc-israel/</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15" w:name="fn8"/>
    <w:bookmarkEnd w:id="215"/>
    <w:p>
      <w:pPr>
        <w:numPr>
          <w:ilvl w:val="0"/>
          <w:numId w:val="38"/>
        </w:numPr>
        <w:spacing w:line="360" w:after="210" w:lineRule="auto"/>
      </w:pPr>
      <w:hyperlink r:id="rId17">
        <w:r>
          <w:rPr>
            <w:rFonts w:eastAsia="inter" w:cs="inter" w:ascii="inter" w:hAnsi="inter"/>
            <w:color w:val="#000"/>
            <w:sz w:val="18"/>
            <w:u w:val="single"/>
          </w:rPr>
          <w:t xml:space="preserve">https://www.pwc.com/us/en/tech-effect/ai-analytics/generative-ai-impact-on-business.html</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16" w:name="fn9"/>
    <w:bookmarkEnd w:id="216"/>
    <w:p>
      <w:pPr>
        <w:numPr>
          <w:ilvl w:val="0"/>
          <w:numId w:val="38"/>
        </w:numPr>
        <w:spacing w:line="360" w:after="210" w:lineRule="auto"/>
      </w:pPr>
      <w:hyperlink r:id="rId18">
        <w:r>
          <w:rPr>
            <w:rFonts w:eastAsia="inter" w:cs="inter" w:ascii="inter" w:hAnsi="inter"/>
            <w:color w:val="#000"/>
            <w:sz w:val="18"/>
            <w:u w:val="single"/>
          </w:rPr>
          <w:t xml:space="preserve">https://www.pwc.com/il/en/assets/pdf-files/pwc_israel-transparency-report-2025.pdf</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17" w:name="fn10"/>
    <w:bookmarkEnd w:id="217"/>
    <w:p>
      <w:pPr>
        <w:numPr>
          <w:ilvl w:val="0"/>
          <w:numId w:val="38"/>
        </w:numPr>
        <w:spacing w:line="360" w:after="210" w:lineRule="auto"/>
      </w:pPr>
      <w:hyperlink r:id="rId19">
        <w:r>
          <w:rPr>
            <w:rFonts w:eastAsia="inter" w:cs="inter" w:ascii="inter" w:hAnsi="inter"/>
            <w:color w:val="#000"/>
            <w:sz w:val="18"/>
            <w:u w:val="single"/>
          </w:rPr>
          <w:t xml:space="preserve">https://www.pwc.com/id/en/services/risk-assurance-services/data-analytics/ai-automation-data-extraction.html</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18" w:name="fn11"/>
    <w:bookmarkEnd w:id="218"/>
    <w:p>
      <w:pPr>
        <w:numPr>
          <w:ilvl w:val="0"/>
          <w:numId w:val="38"/>
        </w:numPr>
        <w:spacing w:line="360" w:after="210" w:lineRule="auto"/>
      </w:pPr>
      <w:hyperlink r:id="rId20">
        <w:r>
          <w:rPr>
            <w:rFonts w:eastAsia="inter" w:cs="inter" w:ascii="inter" w:hAnsi="inter"/>
            <w:color w:val="#000"/>
            <w:sz w:val="18"/>
            <w:u w:val="single"/>
          </w:rPr>
          <w:t xml:space="preserve">https://www.unleash.ai/learning-and-development/how-pwc-opened-the-aperture-of-upskilling-possibilities-with-ai-prompting-parties/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19" w:name="fn12"/>
    <w:bookmarkEnd w:id="219"/>
    <w:p>
      <w:pPr>
        <w:numPr>
          <w:ilvl w:val="0"/>
          <w:numId w:val="38"/>
        </w:numPr>
        <w:spacing w:line="360" w:after="210" w:lineRule="auto"/>
      </w:pPr>
      <w:hyperlink r:id="rId21">
        <w:r>
          <w:rPr>
            <w:rFonts w:eastAsia="inter" w:cs="inter" w:ascii="inter" w:hAnsi="inter"/>
            <w:color w:val="#000"/>
            <w:sz w:val="18"/>
            <w:u w:val="single"/>
          </w:rPr>
          <w:t xml:space="preserve">https://www.techrepublic.com/article/openai-pwc-chatgpt-enterprise-deal/</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20" w:name="fn13"/>
    <w:bookmarkEnd w:id="220"/>
    <w:p>
      <w:pPr>
        <w:numPr>
          <w:ilvl w:val="0"/>
          <w:numId w:val="38"/>
        </w:numPr>
        <w:spacing w:line="360" w:after="210" w:lineRule="auto"/>
      </w:pPr>
      <w:hyperlink r:id="rId22">
        <w:r>
          <w:rPr>
            <w:rFonts w:eastAsia="inter" w:cs="inter" w:ascii="inter" w:hAnsi="inter"/>
            <w:color w:val="#000"/>
            <w:sz w:val="18"/>
            <w:u w:val="single"/>
          </w:rPr>
          <w:t xml:space="preserve">https://www.pwc.com/us/en/about-us/newsroom/press-releases/pwc-us-uk-accelerating-ai-chatgpt-enterprise-adoption.html</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21" w:name="fn14"/>
    <w:bookmarkEnd w:id="221"/>
    <w:p>
      <w:pPr>
        <w:numPr>
          <w:ilvl w:val="0"/>
          <w:numId w:val="38"/>
        </w:numPr>
        <w:spacing w:line="360" w:after="210" w:lineRule="auto"/>
      </w:pPr>
      <w:hyperlink r:id="rId23">
        <w:r>
          <w:rPr>
            <w:rFonts w:eastAsia="inter" w:cs="inter" w:ascii="inter" w:hAnsi="inter"/>
            <w:color w:val="#000"/>
            <w:sz w:val="18"/>
            <w:u w:val="single"/>
          </w:rPr>
          <w:t xml:space="preserve">https://www.reuters.com/technology/pwc-become-openai-largest-enterprise-customer-wsj-reports-2024-05-29/</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22" w:name="fn15"/>
    <w:bookmarkEnd w:id="222"/>
    <w:p>
      <w:pPr>
        <w:numPr>
          <w:ilvl w:val="0"/>
          <w:numId w:val="38"/>
        </w:numPr>
        <w:spacing w:line="360" w:after="210" w:lineRule="auto"/>
      </w:pPr>
      <w:hyperlink r:id="rId24">
        <w:r>
          <w:rPr>
            <w:rFonts w:eastAsia="inter" w:cs="inter" w:ascii="inter" w:hAnsi="inter"/>
            <w:color w:val="#000"/>
            <w:sz w:val="18"/>
            <w:u w:val="single"/>
          </w:rPr>
          <w:t xml:space="preserve">https://www.pwc.com/m1/en/services/consulting/technology/generative-ai.html</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23" w:name="fn16"/>
    <w:bookmarkEnd w:id="223"/>
    <w:p>
      <w:pPr>
        <w:numPr>
          <w:ilvl w:val="0"/>
          <w:numId w:val="38"/>
        </w:numPr>
        <w:spacing w:line="360" w:after="210" w:lineRule="auto"/>
      </w:pPr>
      <w:hyperlink r:id="rId25">
        <w:r>
          <w:rPr>
            <w:rFonts w:eastAsia="inter" w:cs="inter" w:ascii="inter" w:hAnsi="inter"/>
            <w:color w:val="#000"/>
            <w:sz w:val="18"/>
            <w:u w:val="single"/>
          </w:rPr>
          <w:t xml:space="preserve">https://www.pwc.com/m1/en/services/consulting/technology/alliances/openai.html</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24" w:name="fn17"/>
    <w:bookmarkEnd w:id="224"/>
    <w:p>
      <w:pPr>
        <w:numPr>
          <w:ilvl w:val="0"/>
          <w:numId w:val="38"/>
        </w:numPr>
        <w:spacing w:line="360" w:after="210" w:lineRule="auto"/>
      </w:pPr>
      <w:hyperlink r:id="rId26">
        <w:r>
          <w:rPr>
            <w:rFonts w:eastAsia="inter" w:cs="inter" w:ascii="inter" w:hAnsi="inter"/>
            <w:color w:val="#000"/>
            <w:sz w:val="18"/>
            <w:u w:val="single"/>
          </w:rPr>
          <w:t xml:space="preserve">https://www.pwc.com/m1/en/media-centre/2024/pwc-middle-east-partners-with-openai-to-bring-latest-ai-innovation-to-the-region.html</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25" w:name="fn18"/>
    <w:bookmarkEnd w:id="225"/>
    <w:p>
      <w:pPr>
        <w:numPr>
          <w:ilvl w:val="0"/>
          <w:numId w:val="38"/>
        </w:numPr>
        <w:spacing w:line="360" w:after="210" w:lineRule="auto"/>
      </w:pPr>
      <w:hyperlink r:id="rId27">
        <w:r>
          <w:rPr>
            <w:rFonts w:eastAsia="inter" w:cs="inter" w:ascii="inter" w:hAnsi="inter"/>
            <w:color w:val="#000"/>
            <w:sz w:val="18"/>
            <w:u w:val="single"/>
          </w:rPr>
          <w:t xml:space="preserve">https://www.zawya.com/en/world/middle-east/pwc-partners-with-openai-to-bring-latest-ai-innovation-to-middle-east-o5as2ik2</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26" w:name="fn19"/>
    <w:bookmarkEnd w:id="226"/>
    <w:p>
      <w:pPr>
        <w:numPr>
          <w:ilvl w:val="0"/>
          <w:numId w:val="38"/>
        </w:numPr>
        <w:spacing w:line="360" w:after="210" w:lineRule="auto"/>
      </w:pPr>
      <w:hyperlink r:id="rId28">
        <w:r>
          <w:rPr>
            <w:rFonts w:eastAsia="inter" w:cs="inter" w:ascii="inter" w:hAnsi="inter"/>
            <w:color w:val="#000"/>
            <w:sz w:val="18"/>
            <w:u w:val="single"/>
          </w:rPr>
          <w:t xml:space="preserve">https://www.pwc.com/gx/en/services/alliances/microsoft/generative-ai.html</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27" w:name="fn20"/>
    <w:bookmarkEnd w:id="227"/>
    <w:p>
      <w:pPr>
        <w:numPr>
          <w:ilvl w:val="0"/>
          <w:numId w:val="38"/>
        </w:numPr>
        <w:spacing w:line="360" w:after="210" w:lineRule="auto"/>
      </w:pPr>
      <w:hyperlink r:id="rId29">
        <w:r>
          <w:rPr>
            <w:rFonts w:eastAsia="inter" w:cs="inter" w:ascii="inter" w:hAnsi="inter"/>
            <w:color w:val="#000"/>
            <w:sz w:val="18"/>
            <w:u w:val="single"/>
          </w:rPr>
          <w:t xml:space="preserve">https://www.hear.ai/blog/hear-partners-with-pwc-israel-to-revolutionize-customer-service-with-ai-powered-insights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28" w:name="fn21"/>
    <w:bookmarkEnd w:id="228"/>
    <w:p>
      <w:pPr>
        <w:numPr>
          <w:ilvl w:val="0"/>
          <w:numId w:val="38"/>
        </w:numPr>
        <w:spacing w:line="360" w:after="210" w:lineRule="auto"/>
      </w:pPr>
      <w:hyperlink r:id="rId30">
        <w:r>
          <w:rPr>
            <w:rFonts w:eastAsia="inter" w:cs="inter" w:ascii="inter" w:hAnsi="inter"/>
            <w:color w:val="#000"/>
            <w:sz w:val="18"/>
            <w:u w:val="single"/>
          </w:rPr>
          <w:t xml:space="preserve">https://il.linkedin.com/company/pwc-digital-technology-services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29" w:name="fn22"/>
    <w:bookmarkEnd w:id="229"/>
    <w:p>
      <w:pPr>
        <w:numPr>
          <w:ilvl w:val="0"/>
          <w:numId w:val="38"/>
        </w:numPr>
        <w:spacing w:line="360" w:after="210" w:lineRule="auto"/>
      </w:pPr>
      <w:hyperlink r:id="rId31">
        <w:r>
          <w:rPr>
            <w:rFonts w:eastAsia="inter" w:cs="inter" w:ascii="inter" w:hAnsi="inter"/>
            <w:color w:val="#000"/>
            <w:sz w:val="18"/>
            <w:u w:val="single"/>
          </w:rPr>
          <w:t xml:space="preserve">https://www.businesswire.com/news/home/20240319551401/en/PwC-Israel-Collaborates-with-OurCrowds-Israel-Resilience-Fund-to-Support-Israels-Tech-Sector-at-Time-of-Crisis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30" w:name="fn23"/>
    <w:bookmarkEnd w:id="230"/>
    <w:p>
      <w:pPr>
        <w:numPr>
          <w:ilvl w:val="0"/>
          <w:numId w:val="38"/>
        </w:numPr>
        <w:spacing w:line="360" w:after="210" w:lineRule="auto"/>
      </w:pPr>
      <w:hyperlink r:id="rId32">
        <w:r>
          <w:rPr>
            <w:rFonts w:eastAsia="inter" w:cs="inter" w:ascii="inter" w:hAnsi="inter"/>
            <w:color w:val="#000"/>
            <w:sz w:val="18"/>
            <w:u w:val="single"/>
          </w:rPr>
          <w:t xml:space="preserve">https://zazzysub.substack.com/p/pwc-israel-and-the-epstein-network</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31" w:name="fn24"/>
    <w:bookmarkEnd w:id="231"/>
    <w:p>
      <w:pPr>
        <w:numPr>
          <w:ilvl w:val="0"/>
          <w:numId w:val="38"/>
        </w:numPr>
        <w:spacing w:line="360" w:after="210" w:lineRule="auto"/>
      </w:pPr>
      <w:hyperlink r:id="rId33">
        <w:r>
          <w:rPr>
            <w:rFonts w:eastAsia="inter" w:cs="inter" w:ascii="inter" w:hAnsi="inter"/>
            <w:color w:val="#000"/>
            <w:sz w:val="18"/>
            <w:u w:val="single"/>
          </w:rPr>
          <w:t xml:space="preserve">https://www.pwc.com/il/en/assets/pdf-files/-pwc_israel-transparency-report-2021-.pdf</w:t>
        </w:r>
      </w:hyperlink>
      <w:r>
        <w:rPr>
          <w:rFonts w:eastAsia="inter" w:cs="inter" w:ascii="inter" w:hAnsi="inter"/>
          <w:color w:val="000000"/>
          <w:sz w:val="18"/>
        </w:rPr>
        <w:t xml:space="preserve"> </w:t>
      </w:r>
    </w:p>
    <w:bookmarkStart w:id="232" w:name="fn25"/>
    <w:bookmarkEnd w:id="232"/>
    <w:p>
      <w:pPr>
        <w:numPr>
          <w:ilvl w:val="0"/>
          <w:numId w:val="38"/>
        </w:numPr>
        <w:spacing w:line="360" w:after="210" w:lineRule="auto"/>
      </w:pPr>
      <w:hyperlink r:id="rId34">
        <w:r>
          <w:rPr>
            <w:rFonts w:eastAsia="inter" w:cs="inter" w:ascii="inter" w:hAnsi="inter"/>
            <w:color w:val="#000"/>
            <w:sz w:val="18"/>
            <w:u w:val="single"/>
          </w:rPr>
          <w:t xml:space="preserve">https://www.pwc.com/il/en/assets/pdf-files/pwc_israel-transparency-report-2022.pdf</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33" w:name="fn26"/>
    <w:bookmarkEnd w:id="233"/>
    <w:p>
      <w:pPr>
        <w:numPr>
          <w:ilvl w:val="0"/>
          <w:numId w:val="38"/>
        </w:numPr>
        <w:spacing w:line="360" w:after="210" w:lineRule="auto"/>
      </w:pPr>
      <w:hyperlink r:id="rId35">
        <w:r>
          <w:rPr>
            <w:rFonts w:eastAsia="inter" w:cs="inter" w:ascii="inter" w:hAnsi="inter"/>
            <w:color w:val="#000"/>
            <w:sz w:val="18"/>
            <w:u w:val="single"/>
          </w:rPr>
          <w:t xml:space="preserve">https://www.pwc.com/im/en/the-new-equation/human-led-tech-powered-solve-business-challenges.html</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34" w:name="fn27"/>
    <w:bookmarkEnd w:id="234"/>
    <w:p>
      <w:pPr>
        <w:numPr>
          <w:ilvl w:val="0"/>
          <w:numId w:val="38"/>
        </w:numPr>
        <w:spacing w:line="360" w:after="210" w:lineRule="auto"/>
      </w:pPr>
      <w:hyperlink r:id="rId36">
        <w:r>
          <w:rPr>
            <w:rFonts w:eastAsia="inter" w:cs="inter" w:ascii="inter" w:hAnsi="inter"/>
            <w:color w:val="#000"/>
            <w:sz w:val="18"/>
            <w:u w:val="single"/>
          </w:rPr>
          <w:t xml:space="preserve">https://www.pwc.com/gx/en/services/ai.html</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35" w:name="fn28"/>
    <w:bookmarkEnd w:id="235"/>
    <w:p>
      <w:pPr>
        <w:numPr>
          <w:ilvl w:val="0"/>
          <w:numId w:val="38"/>
        </w:numPr>
        <w:spacing w:line="360" w:after="210" w:lineRule="auto"/>
      </w:pPr>
      <w:hyperlink r:id="rId37">
        <w:r>
          <w:rPr>
            <w:rFonts w:eastAsia="inter" w:cs="inter" w:ascii="inter" w:hAnsi="inter"/>
            <w:color w:val="#000"/>
            <w:sz w:val="18"/>
            <w:u w:val="single"/>
          </w:rPr>
          <w:t xml:space="preserve">https://il.linkedin.com/in/roey-zalta</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36" w:name="fn29"/>
    <w:bookmarkEnd w:id="236"/>
    <w:p>
      <w:pPr>
        <w:numPr>
          <w:ilvl w:val="0"/>
          <w:numId w:val="38"/>
        </w:numPr>
        <w:spacing w:line="360" w:after="210" w:lineRule="auto"/>
      </w:pPr>
      <w:hyperlink r:id="rId38">
        <w:r>
          <w:rPr>
            <w:rFonts w:eastAsia="inter" w:cs="inter" w:ascii="inter" w:hAnsi="inter"/>
            <w:color w:val="#000"/>
            <w:sz w:val="18"/>
            <w:u w:val="single"/>
          </w:rPr>
          <w:t xml:space="preserve">https://www.pwc.com/il/en/Advisory/walkme.html</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37" w:name="fn30"/>
    <w:bookmarkEnd w:id="237"/>
    <w:p>
      <w:pPr>
        <w:numPr>
          <w:ilvl w:val="0"/>
          <w:numId w:val="38"/>
        </w:numPr>
        <w:spacing w:line="360" w:after="210" w:lineRule="auto"/>
      </w:pPr>
      <w:hyperlink r:id="rId39">
        <w:r>
          <w:rPr>
            <w:rFonts w:eastAsia="inter" w:cs="inter" w:ascii="inter" w:hAnsi="inter"/>
            <w:color w:val="#000"/>
            <w:sz w:val="18"/>
            <w:u w:val="single"/>
          </w:rPr>
          <w:t xml:space="preserve">https://www.cfo-forum.org/events/טכנולוגיות-פרקטיות:-מהכספים-לביזנס-וחזרה</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38" w:name="fn31"/>
    <w:bookmarkEnd w:id="238"/>
    <w:p>
      <w:pPr>
        <w:numPr>
          <w:ilvl w:val="0"/>
          <w:numId w:val="38"/>
        </w:numPr>
        <w:spacing w:line="360" w:after="210" w:lineRule="auto"/>
      </w:pPr>
      <w:hyperlink r:id="rId40">
        <w:r>
          <w:rPr>
            <w:rFonts w:eastAsia="inter" w:cs="inter" w:ascii="inter" w:hAnsi="inter"/>
            <w:color w:val="#000"/>
            <w:sz w:val="18"/>
            <w:u w:val="single"/>
          </w:rPr>
          <w:t xml:space="preserve">https://www.linkedin.com/posts/pavelsheynkman_why-you-need-an-ai-factory-a-cios-guide-activity-7100468014470340608-Q0hp</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39" w:name="fn32"/>
    <w:bookmarkEnd w:id="239"/>
    <w:p>
      <w:pPr>
        <w:numPr>
          <w:ilvl w:val="0"/>
          <w:numId w:val="38"/>
        </w:numPr>
        <w:spacing w:line="360" w:after="210" w:lineRule="auto"/>
      </w:pPr>
      <w:hyperlink r:id="rId41">
        <w:r>
          <w:rPr>
            <w:rFonts w:eastAsia="inter" w:cs="inter" w:ascii="inter" w:hAnsi="inter"/>
            <w:color w:val="#000"/>
            <w:sz w:val="18"/>
            <w:u w:val="single"/>
          </w:rPr>
          <w:t xml:space="preserve">https://www.thenationalnews.com/future/technology/2024/10/29/pwc-to-offer-customised-chatgpt-enterprise-services-to-its-middle-east-clients/</w:t>
        </w:r>
      </w:hyperlink>
      <w:r>
        <w:rPr>
          <w:rFonts w:eastAsia="inter" w:cs="inter" w:ascii="inter" w:hAnsi="inter"/>
          <w:color w:val="000000"/>
          <w:sz w:val="18"/>
        </w:rPr>
        <w:t xml:space="preserve"> </w:t>
      </w:r>
    </w:p>
    <w:bookmarkStart w:id="240" w:name="fn33"/>
    <w:bookmarkEnd w:id="240"/>
    <w:p>
      <w:pPr>
        <w:numPr>
          <w:ilvl w:val="0"/>
          <w:numId w:val="38"/>
        </w:numPr>
        <w:spacing w:line="360" w:after="210" w:lineRule="auto"/>
      </w:pPr>
      <w:hyperlink r:id="rId42">
        <w:r>
          <w:rPr>
            <w:rFonts w:eastAsia="inter" w:cs="inter" w:ascii="inter" w:hAnsi="inter"/>
            <w:color w:val="#000"/>
            <w:sz w:val="18"/>
            <w:u w:val="single"/>
          </w:rPr>
          <w:t xml:space="preserve">https://www.pwc.com/us/en/technology/alliances/microsoft/financial-services-solutions.html</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41" w:name="fn34"/>
    <w:bookmarkEnd w:id="241"/>
    <w:p>
      <w:pPr>
        <w:numPr>
          <w:ilvl w:val="0"/>
          <w:numId w:val="38"/>
        </w:numPr>
        <w:spacing w:line="360" w:after="210" w:lineRule="auto"/>
      </w:pPr>
      <w:hyperlink r:id="rId43">
        <w:r>
          <w:rPr>
            <w:rFonts w:eastAsia="inter" w:cs="inter" w:ascii="inter" w:hAnsi="inter"/>
            <w:color w:val="#000"/>
            <w:sz w:val="18"/>
            <w:u w:val="single"/>
          </w:rPr>
          <w:t xml:space="preserve">https://www.pwc.com/us/en/technology/alliances/microsoft.html</w:t>
        </w:r>
      </w:hyperlink>
      <w:r>
        <w:rPr>
          <w:rFonts w:eastAsia="inter" w:cs="inter" w:ascii="inter" w:hAnsi="inter"/>
          <w:color w:val="000000"/>
          <w:sz w:val="18"/>
        </w:rPr>
        <w:t xml:space="preserve"> </w:t>
      </w:r>
    </w:p>
    <w:bookmarkStart w:id="242" w:name="fn35"/>
    <w:bookmarkEnd w:id="242"/>
    <w:p>
      <w:pPr>
        <w:numPr>
          <w:ilvl w:val="0"/>
          <w:numId w:val="38"/>
        </w:numPr>
        <w:spacing w:line="360" w:after="210" w:lineRule="auto"/>
      </w:pPr>
      <w:hyperlink r:id="rId44">
        <w:r>
          <w:rPr>
            <w:rFonts w:eastAsia="inter" w:cs="inter" w:ascii="inter" w:hAnsi="inter"/>
            <w:color w:val="#000"/>
            <w:sz w:val="18"/>
            <w:u w:val="single"/>
          </w:rPr>
          <w:t xml:space="preserve">https://www.pwc.com/il/en/banking-capital-markets.html</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43" w:name="fn36"/>
    <w:bookmarkEnd w:id="243"/>
    <w:p>
      <w:pPr>
        <w:numPr>
          <w:ilvl w:val="0"/>
          <w:numId w:val="38"/>
        </w:numPr>
        <w:spacing w:line="360" w:after="210" w:lineRule="auto"/>
      </w:pPr>
      <w:hyperlink r:id="rId45">
        <w:r>
          <w:rPr>
            <w:rFonts w:eastAsia="inter" w:cs="inter" w:ascii="inter" w:hAnsi="inter"/>
            <w:color w:val="#000"/>
            <w:sz w:val="18"/>
            <w:u w:val="single"/>
          </w:rPr>
          <w:t xml:space="preserve">https://www.pwc.com/us/en/tech-effect/ai-analytics/responsible-ai-survey.html</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44" w:name="fn37"/>
    <w:bookmarkEnd w:id="244"/>
    <w:p>
      <w:pPr>
        <w:numPr>
          <w:ilvl w:val="0"/>
          <w:numId w:val="38"/>
        </w:numPr>
        <w:spacing w:line="360" w:after="210" w:lineRule="auto"/>
      </w:pPr>
      <w:hyperlink r:id="rId46">
        <w:r>
          <w:rPr>
            <w:rFonts w:eastAsia="inter" w:cs="inter" w:ascii="inter" w:hAnsi="inter"/>
            <w:color w:val="#000"/>
            <w:sz w:val="18"/>
            <w:u w:val="single"/>
          </w:rPr>
          <w:t xml:space="preserve">https://www.pwc.com/m1/en/media-centre/2024/pwc-middle-east-launches-region-first-legal-genai-offering.html</w:t>
        </w:r>
      </w:hyperlink>
      <w:r>
        <w:rPr>
          <w:rFonts w:eastAsia="inter" w:cs="inter" w:ascii="inter" w:hAnsi="inter"/>
          <w:color w:val="000000"/>
          <w:sz w:val="18"/>
        </w:rPr>
        <w:t xml:space="preserve"> </w:t>
      </w:r>
    </w:p>
    <w:bookmarkStart w:id="245" w:name="fn38"/>
    <w:bookmarkEnd w:id="245"/>
    <w:p>
      <w:pPr>
        <w:numPr>
          <w:ilvl w:val="0"/>
          <w:numId w:val="38"/>
        </w:numPr>
        <w:spacing w:line="360" w:after="210" w:lineRule="auto"/>
      </w:pPr>
      <w:hyperlink r:id="rId47">
        <w:r>
          <w:rPr>
            <w:rFonts w:eastAsia="inter" w:cs="inter" w:ascii="inter" w:hAnsi="inter"/>
            <w:color w:val="#000"/>
            <w:sz w:val="18"/>
            <w:u w:val="single"/>
          </w:rPr>
          <w:t xml:space="preserve">https://www.pwc.com/gx/en/news-room/press-releases/2023/pwc-partners-with-openai-and-harvey.html</w:t>
        </w:r>
      </w:hyperlink>
      <w:r>
        <w:rPr>
          <w:rFonts w:eastAsia="inter" w:cs="inter" w:ascii="inter" w:hAnsi="inter"/>
          <w:color w:val="000000"/>
          <w:sz w:val="18"/>
        </w:rPr>
        <w:t xml:space="preserve"> </w:t>
      </w:r>
    </w:p>
    <w:bookmarkStart w:id="246" w:name="fn39"/>
    <w:bookmarkEnd w:id="246"/>
    <w:p>
      <w:pPr>
        <w:numPr>
          <w:ilvl w:val="0"/>
          <w:numId w:val="38"/>
        </w:numPr>
        <w:spacing w:line="360" w:after="210" w:lineRule="auto"/>
      </w:pPr>
      <w:hyperlink r:id="rId48">
        <w:r>
          <w:rPr>
            <w:rFonts w:eastAsia="inter" w:cs="inter" w:ascii="inter" w:hAnsi="inter"/>
            <w:color w:val="#000"/>
            <w:sz w:val="18"/>
            <w:u w:val="single"/>
          </w:rPr>
          <w:t xml:space="preserve">https://www.pwc.com/gx/en/ai-services/ai-works-for-governments.pdf</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47" w:name="fn40"/>
    <w:bookmarkEnd w:id="247"/>
    <w:p>
      <w:pPr>
        <w:numPr>
          <w:ilvl w:val="0"/>
          <w:numId w:val="38"/>
        </w:numPr>
        <w:spacing w:line="360" w:after="210" w:lineRule="auto"/>
      </w:pPr>
      <w:hyperlink r:id="rId49">
        <w:r>
          <w:rPr>
            <w:rFonts w:eastAsia="inter" w:cs="inter" w:ascii="inter" w:hAnsi="inter"/>
            <w:color w:val="#000"/>
            <w:sz w:val="18"/>
            <w:u w:val="single"/>
          </w:rPr>
          <w:t xml:space="preserve">https://www.pwc.com/il/en/contacts/l/lior-mistriel.html</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48" w:name="fn41"/>
    <w:bookmarkEnd w:id="248"/>
    <w:p>
      <w:pPr>
        <w:numPr>
          <w:ilvl w:val="0"/>
          <w:numId w:val="38"/>
        </w:numPr>
        <w:spacing w:line="360" w:after="210" w:lineRule="auto"/>
      </w:pPr>
      <w:hyperlink r:id="rId50">
        <w:r>
          <w:rPr>
            <w:rFonts w:eastAsia="inter" w:cs="inter" w:ascii="inter" w:hAnsi="inter"/>
            <w:color w:val="#000"/>
            <w:sz w:val="18"/>
            <w:u w:val="single"/>
          </w:rPr>
          <w:t xml:space="preserve">https://www.linkedin.com/posts/pwc-israel_pwc-next-technology-solutions-קיימה-activity-7256972558791548928-qMDK</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49" w:name="fn42"/>
    <w:bookmarkEnd w:id="249"/>
    <w:p>
      <w:pPr>
        <w:numPr>
          <w:ilvl w:val="0"/>
          <w:numId w:val="38"/>
        </w:numPr>
        <w:spacing w:line="360" w:after="210" w:lineRule="auto"/>
      </w:pPr>
      <w:hyperlink r:id="rId51">
        <w:r>
          <w:rPr>
            <w:rFonts w:eastAsia="inter" w:cs="inter" w:ascii="inter" w:hAnsi="inter"/>
            <w:color w:val="#000"/>
            <w:sz w:val="18"/>
            <w:u w:val="single"/>
          </w:rPr>
          <w:t xml:space="preserve">https://www.linkedin.com/posts/pwc-israel_pwc-israels-event-unlocking-genai-for-finance-activity-7336333315114700800-iJyc</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50" w:name="fn43"/>
    <w:bookmarkEnd w:id="250"/>
    <w:p>
      <w:pPr>
        <w:numPr>
          <w:ilvl w:val="0"/>
          <w:numId w:val="38"/>
        </w:numPr>
        <w:spacing w:line="360" w:after="210" w:lineRule="auto"/>
      </w:pPr>
      <w:hyperlink r:id="rId52">
        <w:r>
          <w:rPr>
            <w:rFonts w:eastAsia="inter" w:cs="inter" w:ascii="inter" w:hAnsi="inter"/>
            <w:color w:val="#000"/>
            <w:sz w:val="18"/>
            <w:u w:val="single"/>
          </w:rPr>
          <w:t xml:space="preserve">https://www.facebook.com/itsolutions.il/posts/כיצד-ישפיעו-כלי-ה-ai-או-בעצם-כבר-משפיעים-על-המנהיגות-הפיננסית-בארגונים-שמחנו-מאו/1330739005718486/</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51" w:name="fn44"/>
    <w:bookmarkEnd w:id="251"/>
    <w:p>
      <w:pPr>
        <w:numPr>
          <w:ilvl w:val="0"/>
          <w:numId w:val="38"/>
        </w:numPr>
        <w:spacing w:line="360" w:after="210" w:lineRule="auto"/>
      </w:pPr>
      <w:hyperlink r:id="rId53">
        <w:r>
          <w:rPr>
            <w:rFonts w:eastAsia="inter" w:cs="inter" w:ascii="inter" w:hAnsi="inter"/>
            <w:color w:val="#000"/>
            <w:sz w:val="18"/>
            <w:u w:val="single"/>
          </w:rPr>
          <w:t xml:space="preserve">https://www.oracle.com/il-en/partner/pwc/</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52" w:name="fn45"/>
    <w:bookmarkEnd w:id="252"/>
    <w:p>
      <w:pPr>
        <w:numPr>
          <w:ilvl w:val="0"/>
          <w:numId w:val="38"/>
        </w:numPr>
        <w:spacing w:line="360" w:after="210" w:lineRule="auto"/>
      </w:pPr>
      <w:hyperlink r:id="rId54">
        <w:r>
          <w:rPr>
            <w:rFonts w:eastAsia="inter" w:cs="inter" w:ascii="inter" w:hAnsi="inter"/>
            <w:color w:val="#000"/>
            <w:sz w:val="18"/>
            <w:u w:val="single"/>
          </w:rPr>
          <w:t xml:space="preserve">https://www.oracle.com/il-en/erp/financials/ai-finance/</w:t>
        </w:r>
      </w:hyperlink>
      <w:r>
        <w:rPr>
          <w:rFonts w:eastAsia="inter" w:cs="inter" w:ascii="inter" w:hAnsi="inter"/>
          <w:color w:val="000000"/>
          <w:sz w:val="18"/>
        </w:rPr>
        <w:t xml:space="preserve"> </w:t>
      </w:r>
    </w:p>
    <w:bookmarkStart w:id="253" w:name="fn46"/>
    <w:bookmarkEnd w:id="253"/>
    <w:p>
      <w:pPr>
        <w:numPr>
          <w:ilvl w:val="0"/>
          <w:numId w:val="38"/>
        </w:numPr>
        <w:spacing w:line="360" w:after="210" w:lineRule="auto"/>
      </w:pPr>
      <w:hyperlink r:id="rId55">
        <w:r>
          <w:rPr>
            <w:rFonts w:eastAsia="inter" w:cs="inter" w:ascii="inter" w:hAnsi="inter"/>
            <w:color w:val="#000"/>
            <w:sz w:val="18"/>
            <w:u w:val="single"/>
          </w:rPr>
          <w:t xml:space="preserve">https://www.calcalistech.com/ctechnews/article/rydg0upmzl</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54" w:name="fn47"/>
    <w:bookmarkEnd w:id="254"/>
    <w:p>
      <w:pPr>
        <w:numPr>
          <w:ilvl w:val="0"/>
          <w:numId w:val="38"/>
        </w:numPr>
        <w:spacing w:line="360" w:after="210" w:lineRule="auto"/>
      </w:pPr>
      <w:hyperlink r:id="rId56">
        <w:r>
          <w:rPr>
            <w:rFonts w:eastAsia="inter" w:cs="inter" w:ascii="inter" w:hAnsi="inter"/>
            <w:color w:val="#000"/>
            <w:sz w:val="18"/>
            <w:u w:val="single"/>
          </w:rPr>
          <w:t xml:space="preserve">https://www.vccafe.com/2025/12/16/2025-was-a-banner-year-for-israeli-startup-exits-but-theres-a-catch/</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55" w:name="fn48"/>
    <w:bookmarkEnd w:id="255"/>
    <w:p>
      <w:pPr>
        <w:numPr>
          <w:ilvl w:val="0"/>
          <w:numId w:val="38"/>
        </w:numPr>
        <w:spacing w:line="360" w:after="210" w:lineRule="auto"/>
      </w:pPr>
      <w:hyperlink r:id="rId57">
        <w:r>
          <w:rPr>
            <w:rFonts w:eastAsia="inter" w:cs="inter" w:ascii="inter" w:hAnsi="inter"/>
            <w:color w:val="#000"/>
            <w:sz w:val="18"/>
            <w:u w:val="single"/>
          </w:rPr>
          <w:t xml:space="preserve">https://www.pwc.com/m1/en/events/driving-digital-transformation-across-the-middle-east.html</w:t>
        </w:r>
      </w:hyperlink>
      <w:r>
        <w:rPr>
          <w:rFonts w:eastAsia="inter" w:cs="inter" w:ascii="inter" w:hAnsi="inter"/>
          <w:color w:val="000000"/>
          <w:sz w:val="18"/>
        </w:rPr>
        <w:t xml:space="preserve"> </w:t>
      </w:r>
    </w:p>
    <w:bookmarkStart w:id="256" w:name="fn49"/>
    <w:bookmarkEnd w:id="256"/>
    <w:p>
      <w:pPr>
        <w:numPr>
          <w:ilvl w:val="0"/>
          <w:numId w:val="38"/>
        </w:numPr>
        <w:spacing w:line="360" w:after="210" w:lineRule="auto"/>
      </w:pPr>
      <w:hyperlink r:id="rId58">
        <w:r>
          <w:rPr>
            <w:rFonts w:eastAsia="inter" w:cs="inter" w:ascii="inter" w:hAnsi="inter"/>
            <w:color w:val="#000"/>
            <w:sz w:val="18"/>
            <w:u w:val="single"/>
          </w:rPr>
          <w:t xml:space="preserve">https://www.pwc.com/il/en/our-people.html</w:t>
        </w:r>
      </w:hyperlink>
      <w:r>
        <w:rPr>
          <w:rFonts w:eastAsia="inter" w:cs="inter" w:ascii="inter" w:hAnsi="inter"/>
          <w:color w:val="000000"/>
          <w:sz w:val="18"/>
        </w:rPr>
        <w:t xml:space="preserve"> </w:t>
      </w:r>
    </w:p>
    <w:bookmarkStart w:id="257" w:name="fn50"/>
    <w:bookmarkEnd w:id="257"/>
    <w:p>
      <w:pPr>
        <w:numPr>
          <w:ilvl w:val="0"/>
          <w:numId w:val="38"/>
        </w:numPr>
        <w:spacing w:line="360" w:after="210" w:lineRule="auto"/>
      </w:pPr>
      <w:hyperlink r:id="rId59">
        <w:r>
          <w:rPr>
            <w:rFonts w:eastAsia="inter" w:cs="inter" w:ascii="inter" w:hAnsi="inter"/>
            <w:color w:val="#000"/>
            <w:sz w:val="18"/>
            <w:u w:val="single"/>
          </w:rPr>
          <w:t xml:space="preserve">https://www.pwc.com/il/en/contacts/t/talya_gazit.html</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58" w:name="fn51"/>
    <w:bookmarkEnd w:id="258"/>
    <w:p>
      <w:pPr>
        <w:numPr>
          <w:ilvl w:val="0"/>
          <w:numId w:val="38"/>
        </w:numPr>
        <w:spacing w:line="360" w:after="210" w:lineRule="auto"/>
      </w:pPr>
      <w:hyperlink r:id="rId60">
        <w:r>
          <w:rPr>
            <w:rFonts w:eastAsia="inter" w:cs="inter" w:ascii="inter" w:hAnsi="inter"/>
            <w:color w:val="#000"/>
            <w:sz w:val="18"/>
            <w:u w:val="single"/>
          </w:rPr>
          <w:t xml:space="preserve">https://www.calcalistech.com/ctechnews/article/4qzdcxoag</w:t>
        </w:r>
      </w:hyperlink>
      <w:r>
        <w:rPr>
          <w:rFonts w:eastAsia="inter" w:cs="inter" w:ascii="inter" w:hAnsi="inter"/>
          <w:color w:val="000000"/>
          <w:sz w:val="18"/>
        </w:rPr>
        <w:t xml:space="preserve"> </w:t>
      </w:r>
    </w:p>
    <w:bookmarkStart w:id="259" w:name="fn52"/>
    <w:bookmarkEnd w:id="259"/>
    <w:p>
      <w:pPr>
        <w:numPr>
          <w:ilvl w:val="0"/>
          <w:numId w:val="38"/>
        </w:numPr>
        <w:spacing w:line="360" w:after="210" w:lineRule="auto"/>
      </w:pPr>
      <w:hyperlink r:id="rId61">
        <w:r>
          <w:rPr>
            <w:rFonts w:eastAsia="inter" w:cs="inter" w:ascii="inter" w:hAnsi="inter"/>
            <w:color w:val="#000"/>
            <w:sz w:val="18"/>
            <w:u w:val="single"/>
          </w:rPr>
          <w:t xml:space="preserve">https://x.com/PwcIsrael/status/1862085172478308463</w:t>
        </w:r>
      </w:hyperlink>
      <w:r>
        <w:rPr>
          <w:rFonts w:eastAsia="inter" w:cs="inter" w:ascii="inter" w:hAnsi="inter"/>
          <w:color w:val="000000"/>
          <w:sz w:val="18"/>
        </w:rPr>
        <w:t xml:space="preserve"> </w:t>
      </w:r>
    </w:p>
    <w:bookmarkStart w:id="260" w:name="fn53"/>
    <w:bookmarkEnd w:id="260"/>
    <w:p>
      <w:pPr>
        <w:numPr>
          <w:ilvl w:val="0"/>
          <w:numId w:val="38"/>
        </w:numPr>
        <w:spacing w:line="360" w:after="210" w:lineRule="auto"/>
      </w:pPr>
      <w:hyperlink r:id="rId62">
        <w:r>
          <w:rPr>
            <w:rFonts w:eastAsia="inter" w:cs="inter" w:ascii="inter" w:hAnsi="inter"/>
            <w:color w:val="#000"/>
            <w:sz w:val="18"/>
            <w:u w:val="single"/>
          </w:rPr>
          <w:t xml:space="preserve">https://www.pwc.com/m1/en/so-you-can/artificial-intelligence.html</w:t>
        </w:r>
      </w:hyperlink>
      <w:r>
        <w:rPr>
          <w:rFonts w:eastAsia="inter" w:cs="inter" w:ascii="inter" w:hAnsi="inter"/>
          <w:color w:val="000000"/>
          <w:sz w:val="18"/>
        </w:rPr>
        <w:t xml:space="preserve"> </w:t>
      </w:r>
    </w:p>
    <w:bookmarkStart w:id="261" w:name="fn54"/>
    <w:bookmarkEnd w:id="261"/>
    <w:p>
      <w:pPr>
        <w:numPr>
          <w:ilvl w:val="0"/>
          <w:numId w:val="38"/>
        </w:numPr>
        <w:spacing w:line="360" w:after="210" w:lineRule="auto"/>
      </w:pPr>
      <w:hyperlink r:id="rId63">
        <w:r>
          <w:rPr>
            <w:rFonts w:eastAsia="inter" w:cs="inter" w:ascii="inter" w:hAnsi="inter"/>
            <w:color w:val="#000"/>
            <w:sz w:val="18"/>
            <w:u w:val="single"/>
          </w:rPr>
          <w:t xml:space="preserve">https://www.pwc.com/il/he/consulting.html</w:t>
        </w:r>
      </w:hyperlink>
      <w:r>
        <w:rPr>
          <w:rFonts w:eastAsia="inter" w:cs="inter" w:ascii="inter" w:hAnsi="inter"/>
          <w:color w:val="000000"/>
          <w:sz w:val="18"/>
        </w:rPr>
        <w:t xml:space="preserve"> </w:t>
      </w:r>
    </w:p>
    <w:bookmarkStart w:id="262" w:name="fn55"/>
    <w:bookmarkEnd w:id="262"/>
    <w:p>
      <w:pPr>
        <w:numPr>
          <w:ilvl w:val="0"/>
          <w:numId w:val="38"/>
        </w:numPr>
        <w:spacing w:line="360" w:after="210" w:lineRule="auto"/>
      </w:pPr>
      <w:hyperlink r:id="rId64">
        <w:r>
          <w:rPr>
            <w:rFonts w:eastAsia="inter" w:cs="inter" w:ascii="inter" w:hAnsi="inter"/>
            <w:color w:val="#000"/>
            <w:sz w:val="18"/>
            <w:u w:val="single"/>
          </w:rPr>
          <w:t xml:space="preserve">https://www.pwc.com/il/he/consulting/technology.html</w:t>
        </w:r>
      </w:hyperlink>
      <w:r>
        <w:rPr>
          <w:rFonts w:eastAsia="inter" w:cs="inter" w:ascii="inter" w:hAnsi="inter"/>
          <w:color w:val="000000"/>
          <w:sz w:val="18"/>
        </w:rPr>
        <w:t xml:space="preserve"> </w:t>
      </w:r>
    </w:p>
    <w:bookmarkStart w:id="263" w:name="fn56"/>
    <w:bookmarkEnd w:id="263"/>
    <w:p>
      <w:pPr>
        <w:numPr>
          <w:ilvl w:val="0"/>
          <w:numId w:val="38"/>
        </w:numPr>
        <w:spacing w:line="360" w:after="210" w:lineRule="auto"/>
      </w:pPr>
      <w:hyperlink r:id="rId65">
        <w:r>
          <w:rPr>
            <w:rFonts w:eastAsia="inter" w:cs="inter" w:ascii="inter" w:hAnsi="inter"/>
            <w:color w:val="#000"/>
            <w:sz w:val="18"/>
            <w:u w:val="single"/>
          </w:rPr>
          <w:t xml:space="preserve">https://www.pwc.com/m1/en/publications/documents/2024/leveraging-genAI-in-banking.pdf</w:t>
        </w:r>
      </w:hyperlink>
      <w:r>
        <w:rPr>
          <w:rFonts w:eastAsia="inter" w:cs="inter" w:ascii="inter" w:hAnsi="inter"/>
          <w:color w:val="000000"/>
          <w:sz w:val="18"/>
        </w:rPr>
        <w:t xml:space="preserve"> </w:t>
      </w:r>
    </w:p>
    <w:bookmarkStart w:id="264" w:name="fn57"/>
    <w:bookmarkEnd w:id="264"/>
    <w:p>
      <w:pPr>
        <w:numPr>
          <w:ilvl w:val="0"/>
          <w:numId w:val="38"/>
        </w:numPr>
        <w:spacing w:line="360" w:after="210" w:lineRule="auto"/>
      </w:pPr>
      <w:hyperlink r:id="rId66">
        <w:r>
          <w:rPr>
            <w:rFonts w:eastAsia="inter" w:cs="inter" w:ascii="inter" w:hAnsi="inter"/>
            <w:color w:val="#000"/>
            <w:sz w:val="18"/>
            <w:u w:val="single"/>
          </w:rPr>
          <w:t xml:space="preserve">https://www.pwc.com/m1/en/publications/leveraging-generative-ai-in-banking.html</w:t>
        </w:r>
      </w:hyperlink>
      <w:r>
        <w:rPr>
          <w:rFonts w:eastAsia="inter" w:cs="inter" w:ascii="inter" w:hAnsi="inter"/>
          <w:color w:val="000000"/>
          <w:sz w:val="18"/>
        </w:rPr>
        <w:t xml:space="preserve"> </w:t>
      </w:r>
    </w:p>
    <w:bookmarkStart w:id="265" w:name="fn58"/>
    <w:bookmarkEnd w:id="265"/>
    <w:p>
      <w:pPr>
        <w:numPr>
          <w:ilvl w:val="0"/>
          <w:numId w:val="38"/>
        </w:numPr>
        <w:spacing w:line="360" w:after="210" w:lineRule="auto"/>
      </w:pPr>
      <w:hyperlink r:id="rId67">
        <w:r>
          <w:rPr>
            <w:rFonts w:eastAsia="inter" w:cs="inter" w:ascii="inter" w:hAnsi="inter"/>
            <w:color w:val="#000"/>
            <w:sz w:val="18"/>
            <w:u w:val="single"/>
          </w:rPr>
          <w:t xml:space="preserve">https://www.mdpi.com/1424-8220/21/14/4656</w:t>
        </w:r>
      </w:hyperlink>
      <w:r>
        <w:rPr>
          <w:rFonts w:eastAsia="inter" w:cs="inter" w:ascii="inter" w:hAnsi="inter"/>
          <w:color w:val="000000"/>
          <w:sz w:val="18"/>
        </w:rPr>
        <w:t xml:space="preserve"> </w:t>
      </w:r>
    </w:p>
    <w:bookmarkStart w:id="266" w:name="fn59"/>
    <w:bookmarkEnd w:id="266"/>
    <w:p>
      <w:pPr>
        <w:numPr>
          <w:ilvl w:val="0"/>
          <w:numId w:val="38"/>
        </w:numPr>
        <w:spacing w:line="360" w:after="210" w:lineRule="auto"/>
      </w:pPr>
      <w:hyperlink r:id="rId68">
        <w:r>
          <w:rPr>
            <w:rFonts w:eastAsia="inter" w:cs="inter" w:ascii="inter" w:hAnsi="inter"/>
            <w:color w:val="#000"/>
            <w:sz w:val="18"/>
            <w:u w:val="single"/>
          </w:rPr>
          <w:t xml:space="preserve">https://ieeexplore.ieee.org/document/9982251/</w:t>
        </w:r>
      </w:hyperlink>
      <w:r>
        <w:rPr>
          <w:rFonts w:eastAsia="inter" w:cs="inter" w:ascii="inter" w:hAnsi="inter"/>
          <w:color w:val="000000"/>
          <w:sz w:val="18"/>
        </w:rPr>
        <w:t xml:space="preserve"> </w:t>
      </w:r>
    </w:p>
    <w:bookmarkStart w:id="267" w:name="fn60"/>
    <w:bookmarkEnd w:id="267"/>
    <w:p>
      <w:pPr>
        <w:numPr>
          <w:ilvl w:val="0"/>
          <w:numId w:val="38"/>
        </w:numPr>
        <w:spacing w:line="360" w:after="210" w:lineRule="auto"/>
      </w:pPr>
      <w:hyperlink r:id="rId69">
        <w:r>
          <w:rPr>
            <w:rFonts w:eastAsia="inter" w:cs="inter" w:ascii="inter" w:hAnsi="inter"/>
            <w:color w:val="#000"/>
            <w:sz w:val="18"/>
            <w:u w:val="single"/>
          </w:rPr>
          <w:t xml:space="preserve">https://www.mdpi.com/2071-1050/16/5/1790/pdf?version=1708581624</w:t>
        </w:r>
      </w:hyperlink>
      <w:r>
        <w:rPr>
          <w:rFonts w:eastAsia="inter" w:cs="inter" w:ascii="inter" w:hAnsi="inter"/>
          <w:color w:val="000000"/>
          <w:sz w:val="18"/>
        </w:rPr>
        <w:t xml:space="preserve"> </w:t>
      </w:r>
    </w:p>
    <w:bookmarkStart w:id="268" w:name="fn61"/>
    <w:bookmarkEnd w:id="268"/>
    <w:p>
      <w:pPr>
        <w:numPr>
          <w:ilvl w:val="0"/>
          <w:numId w:val="38"/>
        </w:numPr>
        <w:spacing w:line="360" w:after="210" w:lineRule="auto"/>
      </w:pPr>
      <w:hyperlink r:id="rId70">
        <w:r>
          <w:rPr>
            <w:rFonts w:eastAsia="inter" w:cs="inter" w:ascii="inter" w:hAnsi="inter"/>
            <w:color w:val="#000"/>
            <w:sz w:val="18"/>
            <w:u w:val="single"/>
          </w:rPr>
          <w:t xml:space="preserve">https://journals.sagepub.com/doi/pdf/10.1177/26349825231193226</w:t>
        </w:r>
      </w:hyperlink>
      <w:r>
        <w:rPr>
          <w:rFonts w:eastAsia="inter" w:cs="inter" w:ascii="inter" w:hAnsi="inter"/>
          <w:color w:val="000000"/>
          <w:sz w:val="18"/>
        </w:rPr>
        <w:t xml:space="preserve"> </w:t>
      </w:r>
    </w:p>
    <w:bookmarkStart w:id="269" w:name="fn62"/>
    <w:bookmarkEnd w:id="269"/>
    <w:p>
      <w:pPr>
        <w:numPr>
          <w:ilvl w:val="0"/>
          <w:numId w:val="38"/>
        </w:numPr>
        <w:spacing w:line="360" w:after="210" w:lineRule="auto"/>
      </w:pPr>
      <w:hyperlink r:id="rId71">
        <w:r>
          <w:rPr>
            <w:rFonts w:eastAsia="inter" w:cs="inter" w:ascii="inter" w:hAnsi="inter"/>
            <w:color w:val="#000"/>
            <w:sz w:val="18"/>
            <w:u w:val="single"/>
          </w:rPr>
          <w:t xml:space="preserve">https://www.pwc.com/il/en.html</w:t>
        </w:r>
      </w:hyperlink>
      <w:r>
        <w:rPr>
          <w:rFonts w:eastAsia="inter" w:cs="inter" w:ascii="inter" w:hAnsi="inter"/>
          <w:color w:val="000000"/>
          <w:sz w:val="18"/>
        </w:rPr>
        <w:t xml:space="preserve"> </w:t>
      </w:r>
    </w:p>
    <w:bookmarkStart w:id="270" w:name="fn63"/>
    <w:bookmarkEnd w:id="270"/>
    <w:p>
      <w:pPr>
        <w:numPr>
          <w:ilvl w:val="0"/>
          <w:numId w:val="38"/>
        </w:numPr>
        <w:spacing w:line="360" w:after="210" w:lineRule="auto"/>
      </w:pPr>
      <w:hyperlink r:id="rId72">
        <w:r>
          <w:rPr>
            <w:rFonts w:eastAsia="inter" w:cs="inter" w:ascii="inter" w:hAnsi="inter"/>
            <w:color w:val="#000"/>
            <w:sz w:val="18"/>
            <w:u w:val="single"/>
          </w:rPr>
          <w:t xml:space="preserve">https://www.pwc.com/us/en/services/ai.html</w:t>
        </w:r>
      </w:hyperlink>
      <w:r>
        <w:rPr>
          <w:rFonts w:eastAsia="inter" w:cs="inter" w:ascii="inter" w:hAnsi="inter"/>
          <w:color w:val="000000"/>
          <w:sz w:val="18"/>
        </w:rPr>
        <w:t xml:space="preserve"> </w:t>
      </w:r>
    </w:p>
    <w:bookmarkStart w:id="271" w:name="fn64"/>
    <w:bookmarkEnd w:id="271"/>
    <w:p>
      <w:pPr>
        <w:numPr>
          <w:ilvl w:val="0"/>
          <w:numId w:val="38"/>
        </w:numPr>
        <w:spacing w:line="360" w:after="210" w:lineRule="auto"/>
      </w:pPr>
      <w:hyperlink r:id="rId73">
        <w:r>
          <w:rPr>
            <w:rFonts w:eastAsia="inter" w:cs="inter" w:ascii="inter" w:hAnsi="inter"/>
            <w:color w:val="#000"/>
            <w:sz w:val="18"/>
            <w:u w:val="single"/>
          </w:rPr>
          <w:t xml:space="preserve">https://en.globes.co.il/en/article-pwc-israeli-tech-exits-up-340-in-2025-1001529258</w:t>
        </w:r>
      </w:hyperlink>
      <w:r>
        <w:rPr>
          <w:rFonts w:eastAsia="inter" w:cs="inter" w:ascii="inter" w:hAnsi="inter"/>
          <w:color w:val="000000"/>
          <w:sz w:val="18"/>
        </w:rPr>
        <w:t xml:space="preserve"> </w:t>
      </w:r>
    </w:p>
    <w:bookmarkStart w:id="272" w:name="fn65"/>
    <w:bookmarkEnd w:id="272"/>
    <w:p>
      <w:pPr>
        <w:numPr>
          <w:ilvl w:val="0"/>
          <w:numId w:val="38"/>
        </w:numPr>
        <w:spacing w:line="360" w:after="210" w:lineRule="auto"/>
      </w:pPr>
      <w:hyperlink r:id="rId74">
        <w:r>
          <w:rPr>
            <w:rFonts w:eastAsia="inter" w:cs="inter" w:ascii="inter" w:hAnsi="inter"/>
            <w:color w:val="#000"/>
            <w:sz w:val="18"/>
            <w:u w:val="single"/>
          </w:rPr>
          <w:t xml:space="preserve">https://www.pwc.com/ph/en/gen-ai.html</w:t>
        </w:r>
      </w:hyperlink>
      <w:r>
        <w:rPr>
          <w:rFonts w:eastAsia="inter" w:cs="inter" w:ascii="inter" w:hAnsi="inter"/>
          <w:color w:val="000000"/>
          <w:sz w:val="18"/>
        </w:rPr>
        <w:t xml:space="preserve"> </w:t>
      </w:r>
    </w:p>
    <w:bookmarkStart w:id="273" w:name="fn66"/>
    <w:bookmarkEnd w:id="273"/>
    <w:p>
      <w:pPr>
        <w:numPr>
          <w:ilvl w:val="0"/>
          <w:numId w:val="38"/>
        </w:numPr>
        <w:spacing w:line="360" w:after="210" w:lineRule="auto"/>
      </w:pPr>
      <w:hyperlink r:id="rId75">
        <w:r>
          <w:rPr>
            <w:rFonts w:eastAsia="inter" w:cs="inter" w:ascii="inter" w:hAnsi="inter"/>
            <w:color w:val="#000"/>
            <w:sz w:val="18"/>
            <w:u w:val="single"/>
          </w:rPr>
          <w:t xml:space="preserve">https://www.pwc.com/m1/en/services/consulting/technology/emerging-technology.html</w:t>
        </w:r>
      </w:hyperlink>
      <w:r>
        <w:rPr>
          <w:rFonts w:eastAsia="inter" w:cs="inter" w:ascii="inter" w:hAnsi="inter"/>
          <w:color w:val="000000"/>
          <w:sz w:val="18"/>
        </w:rPr>
        <w:t xml:space="preserve"> </w:t>
      </w:r>
    </w:p>
    <w:bookmarkStart w:id="274" w:name="fn67"/>
    <w:bookmarkEnd w:id="274"/>
    <w:p>
      <w:pPr>
        <w:numPr>
          <w:ilvl w:val="0"/>
          <w:numId w:val="38"/>
        </w:numPr>
        <w:spacing w:line="360" w:after="210" w:lineRule="auto"/>
      </w:pPr>
      <w:hyperlink r:id="rId76">
        <w:r>
          <w:rPr>
            <w:rFonts w:eastAsia="inter" w:cs="inter" w:ascii="inter" w:hAnsi="inter"/>
            <w:color w:val="#000"/>
            <w:sz w:val="18"/>
            <w:u w:val="single"/>
          </w:rPr>
          <w:t xml:space="preserve">https://www.pwc.com/bb/en/the-new-equation.html</w:t>
        </w:r>
      </w:hyperlink>
      <w:r>
        <w:rPr>
          <w:rFonts w:eastAsia="inter" w:cs="inter" w:ascii="inter" w:hAnsi="inter"/>
          <w:color w:val="000000"/>
          <w:sz w:val="18"/>
        </w:rPr>
        <w:t xml:space="preserve"> </w:t>
      </w:r>
    </w:p>
    <w:bookmarkStart w:id="275" w:name="fn68"/>
    <w:bookmarkEnd w:id="275"/>
    <w:p>
      <w:pPr>
        <w:numPr>
          <w:ilvl w:val="0"/>
          <w:numId w:val="38"/>
        </w:numPr>
        <w:spacing w:line="360" w:after="210" w:lineRule="auto"/>
      </w:pPr>
      <w:hyperlink r:id="rId77">
        <w:r>
          <w:rPr>
            <w:rFonts w:eastAsia="inter" w:cs="inter" w:ascii="inter" w:hAnsi="inter"/>
            <w:color w:val="#000"/>
            <w:sz w:val="18"/>
            <w:u w:val="single"/>
          </w:rPr>
          <w:t xml:space="preserve">https://services.igi-global.com/resolvedoi/resolve.aspx?doi=10.4018/JCIT.20211001.oa7</w:t>
        </w:r>
      </w:hyperlink>
      <w:r>
        <w:rPr>
          <w:rFonts w:eastAsia="inter" w:cs="inter" w:ascii="inter" w:hAnsi="inter"/>
          <w:color w:val="000000"/>
          <w:sz w:val="18"/>
        </w:rPr>
        <w:t xml:space="preserve"> </w:t>
      </w:r>
    </w:p>
    <w:bookmarkStart w:id="276" w:name="fn69"/>
    <w:bookmarkEnd w:id="276"/>
    <w:p>
      <w:pPr>
        <w:numPr>
          <w:ilvl w:val="0"/>
          <w:numId w:val="38"/>
        </w:numPr>
        <w:spacing w:line="360" w:after="210" w:lineRule="auto"/>
      </w:pPr>
      <w:hyperlink r:id="rId78">
        <w:r>
          <w:rPr>
            <w:rFonts w:eastAsia="inter" w:cs="inter" w:ascii="inter" w:hAnsi="inter"/>
            <w:color w:val="#000"/>
            <w:sz w:val="18"/>
            <w:u w:val="single"/>
          </w:rPr>
          <w:t xml:space="preserve">https://www.multidisciplinaryfrontiers.com/search?q=FMR-2025-2-126&amp;search=search</w:t>
        </w:r>
      </w:hyperlink>
      <w:r>
        <w:rPr>
          <w:rFonts w:eastAsia="inter" w:cs="inter" w:ascii="inter" w:hAnsi="inter"/>
          <w:color w:val="000000"/>
          <w:sz w:val="18"/>
        </w:rPr>
        <w:t xml:space="preserve"> </w:t>
      </w:r>
    </w:p>
    <w:bookmarkStart w:id="277" w:name="fn70"/>
    <w:bookmarkEnd w:id="277"/>
    <w:p>
      <w:pPr>
        <w:numPr>
          <w:ilvl w:val="0"/>
          <w:numId w:val="38"/>
        </w:numPr>
        <w:spacing w:line="360" w:after="210" w:lineRule="auto"/>
      </w:pPr>
      <w:hyperlink r:id="rId79">
        <w:r>
          <w:rPr>
            <w:rFonts w:eastAsia="inter" w:cs="inter" w:ascii="inter" w:hAnsi="inter"/>
            <w:color w:val="#000"/>
            <w:sz w:val="18"/>
            <w:u w:val="single"/>
          </w:rPr>
          <w:t xml:space="preserve">http://baltijapublishing.lv/index.php/threeseas/article/view/1534</w:t>
        </w:r>
      </w:hyperlink>
      <w:r>
        <w:rPr>
          <w:rFonts w:eastAsia="inter" w:cs="inter" w:ascii="inter" w:hAnsi="inter"/>
          <w:color w:val="000000"/>
          <w:sz w:val="18"/>
        </w:rPr>
        <w:t xml:space="preserve"> </w:t>
      </w:r>
    </w:p>
    <w:bookmarkStart w:id="278" w:name="fn71"/>
    <w:bookmarkEnd w:id="278"/>
    <w:p>
      <w:pPr>
        <w:numPr>
          <w:ilvl w:val="0"/>
          <w:numId w:val="38"/>
        </w:numPr>
        <w:spacing w:line="360" w:after="210" w:lineRule="auto"/>
      </w:pPr>
      <w:hyperlink r:id="rId80">
        <w:r>
          <w:rPr>
            <w:rFonts w:eastAsia="inter" w:cs="inter" w:ascii="inter" w:hAnsi="inter"/>
            <w:color w:val="#000"/>
            <w:sz w:val="18"/>
            <w:u w:val="single"/>
          </w:rPr>
          <w:t xml:space="preserve">https://www.mdpi.com/2220-9964/14/12/491</w:t>
        </w:r>
      </w:hyperlink>
      <w:r>
        <w:rPr>
          <w:rFonts w:eastAsia="inter" w:cs="inter" w:ascii="inter" w:hAnsi="inter"/>
          <w:color w:val="000000"/>
          <w:sz w:val="18"/>
        </w:rPr>
        <w:t xml:space="preserve"> </w:t>
      </w:r>
    </w:p>
    <w:bookmarkStart w:id="279" w:name="fn72"/>
    <w:bookmarkEnd w:id="279"/>
    <w:p>
      <w:pPr>
        <w:numPr>
          <w:ilvl w:val="0"/>
          <w:numId w:val="38"/>
        </w:numPr>
        <w:spacing w:line="360" w:after="210" w:lineRule="auto"/>
      </w:pPr>
      <w:hyperlink r:id="rId81">
        <w:r>
          <w:rPr>
            <w:rFonts w:eastAsia="inter" w:cs="inter" w:ascii="inter" w:hAnsi="inter"/>
            <w:color w:val="#000"/>
            <w:sz w:val="18"/>
            <w:u w:val="single"/>
          </w:rPr>
          <w:t xml:space="preserve">https://pathofscience.org/index.php/ps/article/view/3623</w:t>
        </w:r>
      </w:hyperlink>
      <w:r>
        <w:rPr>
          <w:rFonts w:eastAsia="inter" w:cs="inter" w:ascii="inter" w:hAnsi="inter"/>
          <w:color w:val="000000"/>
          <w:sz w:val="18"/>
        </w:rPr>
        <w:t xml:space="preserve"> </w:t>
      </w:r>
    </w:p>
    <w:bookmarkStart w:id="280" w:name="fn73"/>
    <w:bookmarkEnd w:id="280"/>
    <w:p>
      <w:pPr>
        <w:numPr>
          <w:ilvl w:val="0"/>
          <w:numId w:val="38"/>
        </w:numPr>
        <w:spacing w:line="360" w:after="210" w:lineRule="auto"/>
      </w:pPr>
      <w:hyperlink r:id="rId82">
        <w:r>
          <w:rPr>
            <w:rFonts w:eastAsia="inter" w:cs="inter" w:ascii="inter" w:hAnsi="inter"/>
            <w:color w:val="#000"/>
            <w:sz w:val="18"/>
            <w:u w:val="single"/>
          </w:rPr>
          <w:t xml:space="preserve">http://link.springer.com/10.1007/s38311-019-0187-z</w:t>
        </w:r>
      </w:hyperlink>
      <w:r>
        <w:rPr>
          <w:rFonts w:eastAsia="inter" w:cs="inter" w:ascii="inter" w:hAnsi="inter"/>
          <w:color w:val="000000"/>
          <w:sz w:val="18"/>
        </w:rPr>
        <w:t xml:space="preserve"> </w:t>
      </w:r>
    </w:p>
    <w:bookmarkStart w:id="281" w:name="fn74"/>
    <w:bookmarkEnd w:id="281"/>
    <w:p>
      <w:pPr>
        <w:numPr>
          <w:ilvl w:val="0"/>
          <w:numId w:val="38"/>
        </w:numPr>
        <w:spacing w:line="360" w:after="210" w:lineRule="auto"/>
      </w:pPr>
      <w:hyperlink r:id="rId83">
        <w:r>
          <w:rPr>
            <w:rFonts w:eastAsia="inter" w:cs="inter" w:ascii="inter" w:hAnsi="inter"/>
            <w:color w:val="#000"/>
            <w:sz w:val="18"/>
            <w:u w:val="single"/>
          </w:rPr>
          <w:t xml:space="preserve">https://journalajarr.com/index.php/AJARR/article/view/1215</w:t>
        </w:r>
      </w:hyperlink>
      <w:r>
        <w:rPr>
          <w:rFonts w:eastAsia="inter" w:cs="inter" w:ascii="inter" w:hAnsi="inter"/>
          <w:color w:val="000000"/>
          <w:sz w:val="18"/>
        </w:rPr>
        <w:t xml:space="preserve"> </w:t>
      </w:r>
    </w:p>
    <w:bookmarkStart w:id="282" w:name="fn75"/>
    <w:bookmarkEnd w:id="282"/>
    <w:p>
      <w:pPr>
        <w:numPr>
          <w:ilvl w:val="0"/>
          <w:numId w:val="38"/>
        </w:numPr>
        <w:spacing w:line="360" w:after="210" w:lineRule="auto"/>
      </w:pPr>
      <w:hyperlink r:id="rId84">
        <w:r>
          <w:rPr>
            <w:rFonts w:eastAsia="inter" w:cs="inter" w:ascii="inter" w:hAnsi="inter"/>
            <w:color w:val="#000"/>
            <w:sz w:val="18"/>
            <w:u w:val="single"/>
          </w:rPr>
          <w:t xml:space="preserve">https://www.business-inform.net/export_pdf/business-inform-2025-9_0-pages-168_176.pdf</w:t>
        </w:r>
      </w:hyperlink>
      <w:r>
        <w:rPr>
          <w:rFonts w:eastAsia="inter" w:cs="inter" w:ascii="inter" w:hAnsi="inter"/>
          <w:color w:val="000000"/>
          <w:sz w:val="18"/>
        </w:rPr>
        <w:t xml:space="preserve"> </w:t>
      </w:r>
    </w:p>
    <w:bookmarkStart w:id="283" w:name="fn76"/>
    <w:bookmarkEnd w:id="283"/>
    <w:p>
      <w:pPr>
        <w:numPr>
          <w:ilvl w:val="0"/>
          <w:numId w:val="38"/>
        </w:numPr>
        <w:spacing w:line="360" w:after="210" w:lineRule="auto"/>
      </w:pPr>
      <w:hyperlink r:id="rId85">
        <w:r>
          <w:rPr>
            <w:rFonts w:eastAsia="inter" w:cs="inter" w:ascii="inter" w:hAnsi="inter"/>
            <w:color w:val="#000"/>
            <w:sz w:val="18"/>
            <w:u w:val="single"/>
          </w:rPr>
          <w:t xml:space="preserve">https://onlinelibrary.wiley.com/doi/10.1111/jpim.12571</w:t>
        </w:r>
      </w:hyperlink>
      <w:r>
        <w:rPr>
          <w:rFonts w:eastAsia="inter" w:cs="inter" w:ascii="inter" w:hAnsi="inter"/>
          <w:color w:val="000000"/>
          <w:sz w:val="18"/>
        </w:rPr>
        <w:t xml:space="preserve"> </w:t>
      </w:r>
    </w:p>
    <w:bookmarkStart w:id="284" w:name="fn77"/>
    <w:bookmarkEnd w:id="284"/>
    <w:p>
      <w:pPr>
        <w:numPr>
          <w:ilvl w:val="0"/>
          <w:numId w:val="38"/>
        </w:numPr>
        <w:spacing w:line="360" w:after="210" w:lineRule="auto"/>
      </w:pPr>
      <w:hyperlink r:id="rId86">
        <w:r>
          <w:rPr>
            <w:rFonts w:eastAsia="inter" w:cs="inter" w:ascii="inter" w:hAnsi="inter"/>
            <w:color w:val="#000"/>
            <w:sz w:val="18"/>
            <w:u w:val="single"/>
          </w:rPr>
          <w:t xml:space="preserve">https://unisapressjournals.co.za/index.php/EAC/article/view/13828</w:t>
        </w:r>
      </w:hyperlink>
      <w:r>
        <w:rPr>
          <w:rFonts w:eastAsia="inter" w:cs="inter" w:ascii="inter" w:hAnsi="inter"/>
          <w:color w:val="000000"/>
          <w:sz w:val="18"/>
        </w:rPr>
        <w:t xml:space="preserve"> </w:t>
      </w:r>
    </w:p>
    <w:bookmarkStart w:id="285" w:name="fn78"/>
    <w:bookmarkEnd w:id="285"/>
    <w:p>
      <w:pPr>
        <w:numPr>
          <w:ilvl w:val="0"/>
          <w:numId w:val="38"/>
        </w:numPr>
        <w:spacing w:line="360" w:after="210" w:lineRule="auto"/>
      </w:pPr>
      <w:hyperlink r:id="rId87">
        <w:r>
          <w:rPr>
            <w:rFonts w:eastAsia="inter" w:cs="inter" w:ascii="inter" w:hAnsi="inter"/>
            <w:color w:val="#000"/>
            <w:sz w:val="18"/>
            <w:u w:val="single"/>
          </w:rPr>
          <w:t xml:space="preserve">https://linkinghub.elsevier.com/retrieve/pii/S2444569X23000318</w:t>
        </w:r>
      </w:hyperlink>
      <w:r>
        <w:rPr>
          <w:rFonts w:eastAsia="inter" w:cs="inter" w:ascii="inter" w:hAnsi="inter"/>
          <w:color w:val="000000"/>
          <w:sz w:val="18"/>
        </w:rPr>
        <w:t xml:space="preserve"> </w:t>
      </w:r>
    </w:p>
    <w:bookmarkStart w:id="286" w:name="fn79"/>
    <w:bookmarkEnd w:id="286"/>
    <w:p>
      <w:pPr>
        <w:numPr>
          <w:ilvl w:val="0"/>
          <w:numId w:val="38"/>
        </w:numPr>
        <w:spacing w:line="360" w:after="210" w:lineRule="auto"/>
      </w:pPr>
      <w:hyperlink r:id="rId88">
        <w:r>
          <w:rPr>
            <w:rFonts w:eastAsia="inter" w:cs="inter" w:ascii="inter" w:hAnsi="inter"/>
            <w:color w:val="#000"/>
            <w:sz w:val="18"/>
            <w:u w:val="single"/>
          </w:rPr>
          <w:t xml:space="preserve">https://linkinghub.elsevier.com/retrieve/pii/S0378720624000788</w:t>
        </w:r>
      </w:hyperlink>
      <w:r>
        <w:rPr>
          <w:rFonts w:eastAsia="inter" w:cs="inter" w:ascii="inter" w:hAnsi="inter"/>
          <w:color w:val="000000"/>
          <w:sz w:val="18"/>
        </w:rPr>
        <w:t xml:space="preserve"> </w:t>
      </w:r>
    </w:p>
    <w:bookmarkStart w:id="287" w:name="fn80"/>
    <w:bookmarkEnd w:id="287"/>
    <w:p>
      <w:pPr>
        <w:numPr>
          <w:ilvl w:val="0"/>
          <w:numId w:val="38"/>
        </w:numPr>
        <w:spacing w:line="360" w:after="210" w:lineRule="auto"/>
      </w:pPr>
      <w:hyperlink r:id="rId89">
        <w:r>
          <w:rPr>
            <w:rFonts w:eastAsia="inter" w:cs="inter" w:ascii="inter" w:hAnsi="inter"/>
            <w:color w:val="#000"/>
            <w:sz w:val="18"/>
            <w:u w:val="single"/>
          </w:rPr>
          <w:t xml:space="preserve">https://www.tandfonline.com/doi/full/10.1080/14719037.2023.2234917</w:t>
        </w:r>
      </w:hyperlink>
      <w:r>
        <w:rPr>
          <w:rFonts w:eastAsia="inter" w:cs="inter" w:ascii="inter" w:hAnsi="inter"/>
          <w:color w:val="000000"/>
          <w:sz w:val="18"/>
        </w:rPr>
        <w:t xml:space="preserve"> </w:t>
      </w:r>
    </w:p>
    <w:bookmarkStart w:id="288" w:name="fn81"/>
    <w:bookmarkEnd w:id="288"/>
    <w:p>
      <w:pPr>
        <w:numPr>
          <w:ilvl w:val="0"/>
          <w:numId w:val="38"/>
        </w:numPr>
        <w:spacing w:line="360" w:after="210" w:lineRule="auto"/>
      </w:pPr>
      <w:hyperlink r:id="rId90">
        <w:r>
          <w:rPr>
            <w:rFonts w:eastAsia="inter" w:cs="inter" w:ascii="inter" w:hAnsi="inter"/>
            <w:color w:val="#000"/>
            <w:sz w:val="18"/>
            <w:u w:val="single"/>
          </w:rPr>
          <w:t xml:space="preserve">https://www.mdpi.com/2071-1050/16/10/4087/pdf?version=1715612481</w:t>
        </w:r>
      </w:hyperlink>
      <w:r>
        <w:rPr>
          <w:rFonts w:eastAsia="inter" w:cs="inter" w:ascii="inter" w:hAnsi="inter"/>
          <w:color w:val="000000"/>
          <w:sz w:val="18"/>
        </w:rPr>
        <w:t xml:space="preserve"> </w:t>
      </w:r>
    </w:p>
    <w:bookmarkStart w:id="289" w:name="fn82"/>
    <w:bookmarkEnd w:id="289"/>
    <w:p>
      <w:pPr>
        <w:numPr>
          <w:ilvl w:val="0"/>
          <w:numId w:val="38"/>
        </w:numPr>
        <w:spacing w:line="360" w:after="210" w:lineRule="auto"/>
      </w:pPr>
      <w:hyperlink r:id="rId91">
        <w:r>
          <w:rPr>
            <w:rFonts w:eastAsia="inter" w:cs="inter" w:ascii="inter" w:hAnsi="inter"/>
            <w:color w:val="#000"/>
            <w:sz w:val="18"/>
            <w:u w:val="single"/>
          </w:rPr>
          <w:t xml:space="preserve">https://www.mdpi.com/2673-6470/3/2/8/pdf?version=1681281608</w:t>
        </w:r>
      </w:hyperlink>
      <w:r>
        <w:rPr>
          <w:rFonts w:eastAsia="inter" w:cs="inter" w:ascii="inter" w:hAnsi="inter"/>
          <w:color w:val="000000"/>
          <w:sz w:val="18"/>
        </w:rPr>
        <w:t xml:space="preserve"> </w:t>
      </w:r>
    </w:p>
    <w:bookmarkStart w:id="290" w:name="fn83"/>
    <w:bookmarkEnd w:id="290"/>
    <w:p>
      <w:pPr>
        <w:numPr>
          <w:ilvl w:val="0"/>
          <w:numId w:val="38"/>
        </w:numPr>
        <w:spacing w:line="360" w:after="210" w:lineRule="auto"/>
      </w:pPr>
      <w:hyperlink r:id="rId92">
        <w:r>
          <w:rPr>
            <w:rFonts w:eastAsia="inter" w:cs="inter" w:ascii="inter" w:hAnsi="inter"/>
            <w:color w:val="#000"/>
            <w:sz w:val="18"/>
            <w:u w:val="single"/>
          </w:rPr>
          <w:t xml:space="preserve">https://www.ijournalse.org/index.php/ESJ/article/download/1855/pdf</w:t>
        </w:r>
      </w:hyperlink>
      <w:r>
        <w:rPr>
          <w:rFonts w:eastAsia="inter" w:cs="inter" w:ascii="inter" w:hAnsi="inter"/>
          <w:color w:val="000000"/>
          <w:sz w:val="18"/>
        </w:rPr>
        <w:t xml:space="preserve"> </w:t>
      </w:r>
    </w:p>
    <w:bookmarkStart w:id="291" w:name="fn84"/>
    <w:bookmarkEnd w:id="291"/>
    <w:p>
      <w:pPr>
        <w:numPr>
          <w:ilvl w:val="0"/>
          <w:numId w:val="38"/>
        </w:numPr>
        <w:spacing w:line="360" w:after="210" w:lineRule="auto"/>
      </w:pPr>
      <w:hyperlink r:id="rId93">
        <w:r>
          <w:rPr>
            <w:rFonts w:eastAsia="inter" w:cs="inter" w:ascii="inter" w:hAnsi="inter"/>
            <w:color w:val="#000"/>
            <w:sz w:val="18"/>
            <w:u w:val="single"/>
          </w:rPr>
          <w:t xml:space="preserve">https://www.mdpi.com/2076-3417/12/7/3359/pdf?version=1648519201</w:t>
        </w:r>
      </w:hyperlink>
      <w:r>
        <w:rPr>
          <w:rFonts w:eastAsia="inter" w:cs="inter" w:ascii="inter" w:hAnsi="inter"/>
          <w:color w:val="000000"/>
          <w:sz w:val="18"/>
        </w:rPr>
        <w:t xml:space="preserve"> </w:t>
      </w:r>
    </w:p>
    <w:bookmarkStart w:id="292" w:name="fn85"/>
    <w:bookmarkEnd w:id="292"/>
    <w:p>
      <w:pPr>
        <w:numPr>
          <w:ilvl w:val="0"/>
          <w:numId w:val="38"/>
        </w:numPr>
        <w:spacing w:line="360" w:after="210" w:lineRule="auto"/>
      </w:pPr>
      <w:hyperlink r:id="rId94">
        <w:r>
          <w:rPr>
            <w:rFonts w:eastAsia="inter" w:cs="inter" w:ascii="inter" w:hAnsi="inter"/>
            <w:color w:val="#000"/>
            <w:sz w:val="18"/>
            <w:u w:val="single"/>
          </w:rPr>
          <w:t xml:space="preserve">https://arxiv.org/pdf/2309.11690.pdf</w:t>
        </w:r>
      </w:hyperlink>
      <w:r>
        <w:rPr>
          <w:rFonts w:eastAsia="inter" w:cs="inter" w:ascii="inter" w:hAnsi="inter"/>
          <w:color w:val="000000"/>
          <w:sz w:val="18"/>
        </w:rPr>
        <w:t xml:space="preserve"> </w:t>
      </w:r>
    </w:p>
    <w:bookmarkStart w:id="293" w:name="fn86"/>
    <w:bookmarkEnd w:id="293"/>
    <w:p>
      <w:pPr>
        <w:numPr>
          <w:ilvl w:val="0"/>
          <w:numId w:val="38"/>
        </w:numPr>
        <w:spacing w:line="360" w:after="210" w:lineRule="auto"/>
      </w:pPr>
      <w:hyperlink r:id="rId95">
        <w:r>
          <w:rPr>
            <w:rFonts w:eastAsia="inter" w:cs="inter" w:ascii="inter" w:hAnsi="inter"/>
            <w:color w:val="#000"/>
            <w:sz w:val="18"/>
            <w:u w:val="single"/>
          </w:rPr>
          <w:t xml:space="preserve">https://arxiv.org/pdf/2011.10672.pdf</w:t>
        </w:r>
      </w:hyperlink>
      <w:r>
        <w:rPr>
          <w:rFonts w:eastAsia="inter" w:cs="inter" w:ascii="inter" w:hAnsi="inter"/>
          <w:color w:val="000000"/>
          <w:sz w:val="18"/>
        </w:rPr>
        <w:t xml:space="preserve"> </w:t>
      </w:r>
    </w:p>
    <w:bookmarkStart w:id="294" w:name="fn87"/>
    <w:bookmarkEnd w:id="294"/>
    <w:p>
      <w:pPr>
        <w:numPr>
          <w:ilvl w:val="0"/>
          <w:numId w:val="38"/>
        </w:numPr>
        <w:spacing w:line="360" w:after="210" w:lineRule="auto"/>
      </w:pPr>
      <w:hyperlink r:id="rId96">
        <w:r>
          <w:rPr>
            <w:rFonts w:eastAsia="inter" w:cs="inter" w:ascii="inter" w:hAnsi="inter"/>
            <w:color w:val="#000"/>
            <w:sz w:val="18"/>
            <w:u w:val="single"/>
          </w:rPr>
          <w:t xml:space="preserve">https://peerj.com/articles/cs-661.pdf</w:t>
        </w:r>
      </w:hyperlink>
      <w:r>
        <w:rPr>
          <w:rFonts w:eastAsia="inter" w:cs="inter" w:ascii="inter" w:hAnsi="inter"/>
          <w:color w:val="000000"/>
          <w:sz w:val="18"/>
        </w:rPr>
        <w:t xml:space="preserve"> </w:t>
      </w:r>
    </w:p>
    <w:bookmarkStart w:id="295" w:name="fn88"/>
    <w:bookmarkEnd w:id="295"/>
    <w:p>
      <w:pPr>
        <w:numPr>
          <w:ilvl w:val="0"/>
          <w:numId w:val="38"/>
        </w:numPr>
        <w:spacing w:line="360" w:after="210" w:lineRule="auto"/>
      </w:pPr>
      <w:hyperlink r:id="rId97">
        <w:r>
          <w:rPr>
            <w:rFonts w:eastAsia="inter" w:cs="inter" w:ascii="inter" w:hAnsi="inter"/>
            <w:color w:val="#000"/>
            <w:sz w:val="18"/>
            <w:u w:val="single"/>
          </w:rPr>
          <w:t xml:space="preserve">https://arxiv.org/pdf/2407.19439.pdf</w:t>
        </w:r>
      </w:hyperlink>
      <w:r>
        <w:rPr>
          <w:rFonts w:eastAsia="inter" w:cs="inter" w:ascii="inter" w:hAnsi="inter"/>
          <w:color w:val="000000"/>
          <w:sz w:val="18"/>
        </w:rPr>
        <w:t xml:space="preserve"> </w:t>
      </w:r>
    </w:p>
    <w:bookmarkStart w:id="296" w:name="fn89"/>
    <w:bookmarkEnd w:id="296"/>
    <w:p>
      <w:pPr>
        <w:numPr>
          <w:ilvl w:val="0"/>
          <w:numId w:val="38"/>
        </w:numPr>
        <w:spacing w:line="360" w:after="210" w:lineRule="auto"/>
      </w:pPr>
      <w:hyperlink r:id="rId98">
        <w:r>
          <w:rPr>
            <w:rFonts w:eastAsia="inter" w:cs="inter" w:ascii="inter" w:hAnsi="inter"/>
            <w:color w:val="#000"/>
            <w:sz w:val="18"/>
            <w:u w:val="single"/>
          </w:rPr>
          <w:t xml:space="preserve">https://arxiv.org/pdf/2206.09511.pdf</w:t>
        </w:r>
      </w:hyperlink>
      <w:r>
        <w:rPr>
          <w:rFonts w:eastAsia="inter" w:cs="inter" w:ascii="inter" w:hAnsi="inter"/>
          <w:color w:val="000000"/>
          <w:sz w:val="18"/>
        </w:rPr>
        <w:t xml:space="preserve"> </w:t>
      </w:r>
    </w:p>
    <w:bookmarkStart w:id="297" w:name="fn90"/>
    <w:bookmarkEnd w:id="297"/>
    <w:p>
      <w:pPr>
        <w:numPr>
          <w:ilvl w:val="0"/>
          <w:numId w:val="38"/>
        </w:numPr>
        <w:spacing w:line="360" w:after="210" w:lineRule="auto"/>
      </w:pPr>
      <w:hyperlink r:id="rId99">
        <w:r>
          <w:rPr>
            <w:rFonts w:eastAsia="inter" w:cs="inter" w:ascii="inter" w:hAnsi="inter"/>
            <w:color w:val="#000"/>
            <w:sz w:val="18"/>
            <w:u w:val="single"/>
          </w:rPr>
          <w:t xml:space="preserve">https://www.jmir.org/2021/9/e24295</w:t>
        </w:r>
      </w:hyperlink>
      <w:r>
        <w:rPr>
          <w:rFonts w:eastAsia="inter" w:cs="inter" w:ascii="inter" w:hAnsi="inter"/>
          <w:color w:val="000000"/>
          <w:sz w:val="18"/>
        </w:rPr>
        <w:t xml:space="preserve"> </w:t>
      </w:r>
    </w:p>
    <w:bookmarkStart w:id="298" w:name="fn91"/>
    <w:bookmarkEnd w:id="298"/>
    <w:p>
      <w:pPr>
        <w:numPr>
          <w:ilvl w:val="0"/>
          <w:numId w:val="38"/>
        </w:numPr>
        <w:spacing w:line="360" w:after="210" w:lineRule="auto"/>
      </w:pPr>
      <w:hyperlink r:id="rId100">
        <w:r>
          <w:rPr>
            <w:rFonts w:eastAsia="inter" w:cs="inter" w:ascii="inter" w:hAnsi="inter"/>
            <w:color w:val="#000"/>
            <w:sz w:val="18"/>
            <w:u w:val="single"/>
          </w:rPr>
          <w:t xml:space="preserve">https://arxiv.org/pdf/2302.02337.pdf</w:t>
        </w:r>
      </w:hyperlink>
      <w:r>
        <w:rPr>
          <w:rFonts w:eastAsia="inter" w:cs="inter" w:ascii="inter" w:hAnsi="inter"/>
          <w:color w:val="000000"/>
          <w:sz w:val="18"/>
        </w:rPr>
        <w:t xml:space="preserve"> </w:t>
      </w:r>
    </w:p>
    <w:bookmarkStart w:id="299" w:name="fn92"/>
    <w:bookmarkEnd w:id="299"/>
    <w:p>
      <w:pPr>
        <w:numPr>
          <w:ilvl w:val="0"/>
          <w:numId w:val="38"/>
        </w:numPr>
        <w:spacing w:line="360" w:after="210" w:lineRule="auto"/>
      </w:pPr>
      <w:hyperlink r:id="rId101">
        <w:r>
          <w:rPr>
            <w:rFonts w:eastAsia="inter" w:cs="inter" w:ascii="inter" w:hAnsi="inter"/>
            <w:color w:val="#000"/>
            <w:sz w:val="18"/>
            <w:u w:val="single"/>
          </w:rPr>
          <w:t xml:space="preserve">https://arxiv.org/pdf/2209.09780.pdf</w:t>
        </w:r>
      </w:hyperlink>
      <w:r>
        <w:rPr>
          <w:rFonts w:eastAsia="inter" w:cs="inter" w:ascii="inter" w:hAnsi="inter"/>
          <w:color w:val="000000"/>
          <w:sz w:val="18"/>
        </w:rPr>
        <w:t xml:space="preserve"> </w:t>
      </w:r>
    </w:p>
    <w:bookmarkStart w:id="300" w:name="fn93"/>
    <w:bookmarkEnd w:id="300"/>
    <w:p>
      <w:pPr>
        <w:numPr>
          <w:ilvl w:val="0"/>
          <w:numId w:val="38"/>
        </w:numPr>
        <w:spacing w:line="360" w:after="210" w:lineRule="auto"/>
      </w:pPr>
      <w:hyperlink r:id="rId102">
        <w:r>
          <w:rPr>
            <w:rFonts w:eastAsia="inter" w:cs="inter" w:ascii="inter" w:hAnsi="inter"/>
            <w:color w:val="#000"/>
            <w:sz w:val="18"/>
            <w:u w:val="single"/>
          </w:rPr>
          <w:t xml:space="preserve">https://cris.biu.ac.il/en/persons/dror-ehrlich/</w:t>
        </w:r>
      </w:hyperlink>
      <w:r>
        <w:rPr>
          <w:rFonts w:eastAsia="inter" w:cs="inter" w:ascii="inter" w:hAnsi="inter"/>
          <w:color w:val="000000"/>
          <w:sz w:val="18"/>
        </w:rPr>
        <w:t xml:space="preserve"> </w:t>
      </w:r>
    </w:p>
    <w:bookmarkStart w:id="301" w:name="fn94"/>
    <w:bookmarkEnd w:id="301"/>
    <w:p>
      <w:pPr>
        <w:numPr>
          <w:ilvl w:val="0"/>
          <w:numId w:val="38"/>
        </w:numPr>
        <w:spacing w:line="360" w:after="210" w:lineRule="auto"/>
      </w:pPr>
      <w:hyperlink r:id="rId103">
        <w:r>
          <w:rPr>
            <w:rFonts w:eastAsia="inter" w:cs="inter" w:ascii="inter" w:hAnsi="inter"/>
            <w:color w:val="#000"/>
            <w:sz w:val="18"/>
            <w:u w:val="single"/>
          </w:rPr>
          <w:t xml:space="preserve">https://www.linkedin.com/posts/tamir-hay-300203a3_dror-gideon-yael-keren-and-the-entire-activity-6849373129924481024-njdA</w:t>
        </w:r>
      </w:hyperlink>
      <w:r>
        <w:rPr>
          <w:rFonts w:eastAsia="inter" w:cs="inter" w:ascii="inter" w:hAnsi="inter"/>
          <w:color w:val="000000"/>
          <w:sz w:val="18"/>
        </w:rPr>
        <w:t xml:space="preserve"> </w:t>
      </w:r>
    </w:p>
    <w:bookmarkStart w:id="302" w:name="fn95"/>
    <w:bookmarkEnd w:id="302"/>
    <w:p>
      <w:pPr>
        <w:numPr>
          <w:ilvl w:val="0"/>
          <w:numId w:val="38"/>
        </w:numPr>
        <w:spacing w:line="360" w:after="210" w:lineRule="auto"/>
      </w:pPr>
      <w:hyperlink r:id="rId104">
        <w:r>
          <w:rPr>
            <w:rFonts w:eastAsia="inter" w:cs="inter" w:ascii="inter" w:hAnsi="inter"/>
            <w:color w:val="#000"/>
            <w:sz w:val="18"/>
            <w:u w:val="single"/>
          </w:rPr>
          <w:t xml:space="preserve">https://www.vccafe.com/page/135/</w:t>
        </w:r>
      </w:hyperlink>
      <w:r>
        <w:rPr>
          <w:rFonts w:eastAsia="inter" w:cs="inter" w:ascii="inter" w:hAnsi="inter"/>
          <w:color w:val="000000"/>
          <w:sz w:val="18"/>
        </w:rPr>
        <w:t xml:space="preserve"> </w:t>
      </w:r>
    </w:p>
    <w:bookmarkStart w:id="303" w:name="fn96"/>
    <w:bookmarkEnd w:id="303"/>
    <w:p>
      <w:pPr>
        <w:numPr>
          <w:ilvl w:val="0"/>
          <w:numId w:val="38"/>
        </w:numPr>
        <w:spacing w:line="360" w:after="210" w:lineRule="auto"/>
      </w:pPr>
      <w:hyperlink r:id="rId105">
        <w:r>
          <w:rPr>
            <w:rFonts w:eastAsia="inter" w:cs="inter" w:ascii="inter" w:hAnsi="inter"/>
            <w:color w:val="#000"/>
            <w:sz w:val="18"/>
            <w:u w:val="single"/>
          </w:rPr>
          <w:t xml:space="preserve">https://www.sec.gov/Archives/edgar/data/1109345/000117891319000711/zk1922740.htm</w:t>
        </w:r>
      </w:hyperlink>
      <w:r>
        <w:rPr>
          <w:rFonts w:eastAsia="inter" w:cs="inter" w:ascii="inter" w:hAnsi="inter"/>
          <w:color w:val="000000"/>
          <w:sz w:val="18"/>
        </w:rPr>
        <w:t xml:space="preserve"> </w:t>
      </w:r>
    </w:p>
    <w:bookmarkStart w:id="304" w:name="fn97"/>
    <w:bookmarkEnd w:id="304"/>
    <w:p>
      <w:pPr>
        <w:numPr>
          <w:ilvl w:val="0"/>
          <w:numId w:val="38"/>
        </w:numPr>
        <w:spacing w:line="360" w:after="210" w:lineRule="auto"/>
      </w:pPr>
      <w:hyperlink r:id="rId106">
        <w:r>
          <w:rPr>
            <w:rFonts w:eastAsia="inter" w:cs="inter" w:ascii="inter" w:hAnsi="inter"/>
            <w:color w:val="#000"/>
            <w:sz w:val="18"/>
            <w:u w:val="single"/>
          </w:rPr>
          <w:t xml:space="preserve">https://www.runi.ac.il/media/k23fjaqc/idc-herzliyan-spring-2017.pdf</w:t>
        </w:r>
      </w:hyperlink>
      <w:r>
        <w:rPr>
          <w:rFonts w:eastAsia="inter" w:cs="inter" w:ascii="inter" w:hAnsi="inter"/>
          <w:color w:val="000000"/>
          <w:sz w:val="18"/>
        </w:rPr>
        <w:t xml:space="preserve"> </w:t>
      </w:r>
    </w:p>
    <w:bookmarkStart w:id="305" w:name="fn98"/>
    <w:bookmarkEnd w:id="305"/>
    <w:p>
      <w:pPr>
        <w:numPr>
          <w:ilvl w:val="0"/>
          <w:numId w:val="38"/>
        </w:numPr>
        <w:spacing w:line="360" w:after="210" w:lineRule="auto"/>
      </w:pPr>
      <w:hyperlink r:id="rId107">
        <w:r>
          <w:rPr>
            <w:rFonts w:eastAsia="inter" w:cs="inter" w:ascii="inter" w:hAnsi="inter"/>
            <w:color w:val="#000"/>
            <w:sz w:val="18"/>
            <w:u w:val="single"/>
          </w:rPr>
          <w:t xml:space="preserve">https://www.pwc.com/m1/en/services/assurance/manage-risk-in-business/digital-and-technology-risk/responsible-and-explainable-ai/responsible-ai.html</w:t>
        </w:r>
      </w:hyperlink>
      <w:r>
        <w:rPr>
          <w:rFonts w:eastAsia="inter" w:cs="inter" w:ascii="inter" w:hAnsi="inter"/>
          <w:color w:val="000000"/>
          <w:sz w:val="18"/>
        </w:rPr>
        <w:t xml:space="preserve"> </w:t>
      </w:r>
    </w:p>
    <w:bookmarkStart w:id="306" w:name="fn99"/>
    <w:bookmarkEnd w:id="306"/>
    <w:p>
      <w:pPr>
        <w:numPr>
          <w:ilvl w:val="0"/>
          <w:numId w:val="38"/>
        </w:numPr>
        <w:spacing w:line="360" w:after="210" w:lineRule="auto"/>
      </w:pPr>
      <w:hyperlink r:id="rId108">
        <w:r>
          <w:rPr>
            <w:rFonts w:eastAsia="inter" w:cs="inter" w:ascii="inter" w:hAnsi="inter"/>
            <w:color w:val="#000"/>
            <w:sz w:val="18"/>
            <w:u w:val="single"/>
          </w:rPr>
          <w:t xml:space="preserve">https://chambers.com/downloads/rankings/791/israel.pdf</w:t>
        </w:r>
      </w:hyperlink>
      <w:r>
        <w:rPr>
          <w:rFonts w:eastAsia="inter" w:cs="inter" w:ascii="inter" w:hAnsi="inter"/>
          <w:color w:val="000000"/>
          <w:sz w:val="18"/>
        </w:rPr>
        <w:t xml:space="preserve"> </w:t>
      </w:r>
    </w:p>
    <w:bookmarkStart w:id="307" w:name="fn100"/>
    <w:bookmarkEnd w:id="307"/>
    <w:p>
      <w:pPr>
        <w:numPr>
          <w:ilvl w:val="0"/>
          <w:numId w:val="38"/>
        </w:numPr>
        <w:spacing w:line="360" w:after="210" w:lineRule="auto"/>
      </w:pPr>
      <w:hyperlink r:id="rId109">
        <w:r>
          <w:rPr>
            <w:rFonts w:eastAsia="inter" w:cs="inter" w:ascii="inter" w:hAnsi="inter"/>
            <w:color w:val="#000"/>
            <w:sz w:val="18"/>
            <w:u w:val="single"/>
          </w:rPr>
          <w:t xml:space="preserve">https://www.pwc.com/gx/en/about/pwc-asia-pacific/the-new-reality-to-transform-in-asia-pacific.html</w:t>
        </w:r>
      </w:hyperlink>
      <w:r>
        <w:rPr>
          <w:rFonts w:eastAsia="inter" w:cs="inter" w:ascii="inter" w:hAnsi="inter"/>
          <w:color w:val="000000"/>
          <w:sz w:val="18"/>
        </w:rPr>
        <w:t xml:space="preserve"> </w:t>
      </w:r>
    </w:p>
    <w:bookmarkStart w:id="308" w:name="fn101"/>
    <w:bookmarkEnd w:id="308"/>
    <w:p>
      <w:pPr>
        <w:numPr>
          <w:ilvl w:val="0"/>
          <w:numId w:val="38"/>
        </w:numPr>
        <w:spacing w:line="360" w:after="210" w:lineRule="auto"/>
      </w:pPr>
      <w:hyperlink r:id="rId110">
        <w:r>
          <w:rPr>
            <w:rFonts w:eastAsia="inter" w:cs="inter" w:ascii="inter" w:hAnsi="inter"/>
            <w:color w:val="#000"/>
            <w:sz w:val="18"/>
            <w:u w:val="single"/>
          </w:rPr>
          <w:t xml:space="preserve">https://www.annualreports.com/HostedData/AnnualReportArchive/p/NASDAQ_PERI_2018.pdf</w:t>
        </w:r>
      </w:hyperlink>
      <w:r>
        <w:rPr>
          <w:rFonts w:eastAsia="inter" w:cs="inter" w:ascii="inter" w:hAnsi="inter"/>
          <w:color w:val="000000"/>
          <w:sz w:val="18"/>
        </w:rPr>
        <w:t xml:space="preserve"> </w:t>
      </w:r>
    </w:p>
    <w:bookmarkStart w:id="309" w:name="fn102"/>
    <w:bookmarkEnd w:id="309"/>
    <w:p>
      <w:pPr>
        <w:numPr>
          <w:ilvl w:val="0"/>
          <w:numId w:val="38"/>
        </w:numPr>
        <w:spacing w:line="360" w:after="210" w:lineRule="auto"/>
      </w:pPr>
      <w:hyperlink r:id="rId111">
        <w:r>
          <w:rPr>
            <w:rFonts w:eastAsia="inter" w:cs="inter" w:ascii="inter" w:hAnsi="inter"/>
            <w:color w:val="#000"/>
            <w:sz w:val="18"/>
            <w:u w:val="single"/>
          </w:rPr>
          <w:t xml:space="preserve">https://www.pwc.nl/en/the-new-equation.html</w:t>
        </w:r>
      </w:hyperlink>
      <w:r>
        <w:rPr>
          <w:rFonts w:eastAsia="inter" w:cs="inter" w:ascii="inter" w:hAnsi="inter"/>
          <w:color w:val="000000"/>
          <w:sz w:val="18"/>
        </w:rPr>
        <w:t xml:space="preserve"> </w:t>
      </w:r>
    </w:p>
    <w:bookmarkStart w:id="310" w:name="fn103"/>
    <w:bookmarkEnd w:id="310"/>
    <w:p>
      <w:pPr>
        <w:numPr>
          <w:ilvl w:val="0"/>
          <w:numId w:val="38"/>
        </w:numPr>
        <w:spacing w:line="360" w:after="210" w:lineRule="auto"/>
      </w:pPr>
      <w:hyperlink r:id="rId112">
        <w:r>
          <w:rPr>
            <w:rFonts w:eastAsia="inter" w:cs="inter" w:ascii="inter" w:hAnsi="inter"/>
            <w:color w:val="#000"/>
            <w:sz w:val="18"/>
            <w:u w:val="single"/>
          </w:rPr>
          <w:t xml:space="preserve">https://www.facebook.com/HulaValleyy/posts/?locale=en_GB</w:t>
        </w:r>
      </w:hyperlink>
      <w:r>
        <w:rPr>
          <w:rFonts w:eastAsia="inter" w:cs="inter" w:ascii="inter" w:hAnsi="inter"/>
          <w:color w:val="000000"/>
          <w:sz w:val="18"/>
        </w:rPr>
        <w:t xml:space="preserve"> </w:t>
      </w:r>
    </w:p>
    <w:bookmarkStart w:id="311" w:name="fn104"/>
    <w:bookmarkEnd w:id="311"/>
    <w:p>
      <w:pPr>
        <w:numPr>
          <w:ilvl w:val="0"/>
          <w:numId w:val="38"/>
        </w:numPr>
        <w:spacing w:line="360" w:after="210" w:lineRule="auto"/>
      </w:pPr>
      <w:hyperlink r:id="rId113">
        <w:r>
          <w:rPr>
            <w:rFonts w:eastAsia="inter" w:cs="inter" w:ascii="inter" w:hAnsi="inter"/>
            <w:color w:val="#000"/>
            <w:sz w:val="18"/>
            <w:u w:val="single"/>
          </w:rPr>
          <w:t xml:space="preserve">https://www.pwc.be/en/news-publications/2025/responsible-ai-tprm.html</w:t>
        </w:r>
      </w:hyperlink>
      <w:r>
        <w:rPr>
          <w:rFonts w:eastAsia="inter" w:cs="inter" w:ascii="inter" w:hAnsi="inter"/>
          <w:color w:val="000000"/>
          <w:sz w:val="18"/>
        </w:rPr>
        <w:t xml:space="preserve"> </w:t>
      </w:r>
    </w:p>
    <w:bookmarkStart w:id="312" w:name="fn105"/>
    <w:bookmarkEnd w:id="312"/>
    <w:p>
      <w:pPr>
        <w:numPr>
          <w:ilvl w:val="0"/>
          <w:numId w:val="38"/>
        </w:numPr>
        <w:spacing w:line="360" w:after="210" w:lineRule="auto"/>
      </w:pPr>
      <w:hyperlink r:id="rId114">
        <w:r>
          <w:rPr>
            <w:rFonts w:eastAsia="inter" w:cs="inter" w:ascii="inter" w:hAnsi="inter"/>
            <w:color w:val="#000"/>
            <w:sz w:val="18"/>
            <w:u w:val="single"/>
          </w:rPr>
          <w:t xml:space="preserve">https://linkinghub.elsevier.com/retrieve/pii/S0148296324000468</w:t>
        </w:r>
      </w:hyperlink>
      <w:r>
        <w:rPr>
          <w:rFonts w:eastAsia="inter" w:cs="inter" w:ascii="inter" w:hAnsi="inter"/>
          <w:color w:val="000000"/>
          <w:sz w:val="18"/>
        </w:rPr>
        <w:t xml:space="preserve"> </w:t>
      </w:r>
    </w:p>
    <w:bookmarkStart w:id="313" w:name="fn106"/>
    <w:bookmarkEnd w:id="313"/>
    <w:p>
      <w:pPr>
        <w:numPr>
          <w:ilvl w:val="0"/>
          <w:numId w:val="38"/>
        </w:numPr>
        <w:spacing w:line="360" w:after="210" w:lineRule="auto"/>
      </w:pPr>
      <w:hyperlink r:id="rId115">
        <w:r>
          <w:rPr>
            <w:rFonts w:eastAsia="inter" w:cs="inter" w:ascii="inter" w:hAnsi="inter"/>
            <w:color w:val="#000"/>
            <w:sz w:val="18"/>
            <w:u w:val="single"/>
          </w:rPr>
          <w:t xml:space="preserve">https://ijsra.net/sites/default/files/IJSRA-2024-0639.pdf</w:t>
        </w:r>
      </w:hyperlink>
      <w:r>
        <w:rPr>
          <w:rFonts w:eastAsia="inter" w:cs="inter" w:ascii="inter" w:hAnsi="inter"/>
          <w:color w:val="000000"/>
          <w:sz w:val="18"/>
        </w:rPr>
        <w:t xml:space="preserve"> </w:t>
      </w:r>
    </w:p>
    <w:bookmarkStart w:id="314" w:name="fn107"/>
    <w:bookmarkEnd w:id="314"/>
    <w:p>
      <w:pPr>
        <w:numPr>
          <w:ilvl w:val="0"/>
          <w:numId w:val="38"/>
        </w:numPr>
        <w:spacing w:line="360" w:after="210" w:lineRule="auto"/>
      </w:pPr>
      <w:hyperlink r:id="rId116">
        <w:r>
          <w:rPr>
            <w:rFonts w:eastAsia="inter" w:cs="inter" w:ascii="inter" w:hAnsi="inter"/>
            <w:color w:val="#000"/>
            <w:sz w:val="18"/>
            <w:u w:val="single"/>
          </w:rPr>
          <w:t xml:space="preserve">https://ijcsrr.org/wp-content/uploads/2024/01/07-0501-2024.pdf</w:t>
        </w:r>
      </w:hyperlink>
      <w:r>
        <w:rPr>
          <w:rFonts w:eastAsia="inter" w:cs="inter" w:ascii="inter" w:hAnsi="inter"/>
          <w:color w:val="000000"/>
          <w:sz w:val="18"/>
        </w:rPr>
        <w:t xml:space="preserve"> </w:t>
      </w:r>
    </w:p>
    <w:bookmarkStart w:id="315" w:name="fn108"/>
    <w:bookmarkEnd w:id="315"/>
    <w:p>
      <w:pPr>
        <w:numPr>
          <w:ilvl w:val="0"/>
          <w:numId w:val="38"/>
        </w:numPr>
        <w:spacing w:line="360" w:after="210" w:lineRule="auto"/>
      </w:pPr>
      <w:hyperlink r:id="rId117">
        <w:r>
          <w:rPr>
            <w:rFonts w:eastAsia="inter" w:cs="inter" w:ascii="inter" w:hAnsi="inter"/>
            <w:color w:val="#000"/>
            <w:sz w:val="18"/>
            <w:u w:val="single"/>
          </w:rPr>
          <w:t xml:space="preserve">https://arxiv.org/pdf/2410.15653.pdf</w:t>
        </w:r>
      </w:hyperlink>
      <w:r>
        <w:rPr>
          <w:rFonts w:eastAsia="inter" w:cs="inter" w:ascii="inter" w:hAnsi="inter"/>
          <w:color w:val="000000"/>
          <w:sz w:val="18"/>
        </w:rPr>
        <w:t xml:space="preserve"> </w:t>
      </w:r>
    </w:p>
    <w:bookmarkStart w:id="316" w:name="fn109"/>
    <w:bookmarkEnd w:id="316"/>
    <w:p>
      <w:pPr>
        <w:numPr>
          <w:ilvl w:val="0"/>
          <w:numId w:val="38"/>
        </w:numPr>
        <w:spacing w:line="360" w:after="210" w:lineRule="auto"/>
      </w:pPr>
      <w:hyperlink r:id="rId118">
        <w:r>
          <w:rPr>
            <w:rFonts w:eastAsia="inter" w:cs="inter" w:ascii="inter" w:hAnsi="inter"/>
            <w:color w:val="#000"/>
            <w:sz w:val="18"/>
            <w:u w:val="single"/>
          </w:rPr>
          <w:t xml:space="preserve">https://arxiv.org/pdf/2503.18029.pdf</w:t>
        </w:r>
      </w:hyperlink>
      <w:r>
        <w:rPr>
          <w:rFonts w:eastAsia="inter" w:cs="inter" w:ascii="inter" w:hAnsi="inter"/>
          <w:color w:val="000000"/>
          <w:sz w:val="18"/>
        </w:rPr>
        <w:t xml:space="preserve"> </w:t>
      </w:r>
    </w:p>
    <w:bookmarkStart w:id="317" w:name="fn110"/>
    <w:bookmarkEnd w:id="317"/>
    <w:p>
      <w:pPr>
        <w:numPr>
          <w:ilvl w:val="0"/>
          <w:numId w:val="38"/>
        </w:numPr>
        <w:spacing w:line="360" w:after="210" w:lineRule="auto"/>
      </w:pPr>
      <w:hyperlink r:id="rId119">
        <w:r>
          <w:rPr>
            <w:rFonts w:eastAsia="inter" w:cs="inter" w:ascii="inter" w:hAnsi="inter"/>
            <w:color w:val="#000"/>
            <w:sz w:val="18"/>
            <w:u w:val="single"/>
          </w:rPr>
          <w:t xml:space="preserve">https://www.ijfmr.com/papers/2024/1/14015.pdf</w:t>
        </w:r>
      </w:hyperlink>
      <w:r>
        <w:rPr>
          <w:rFonts w:eastAsia="inter" w:cs="inter" w:ascii="inter" w:hAnsi="inter"/>
          <w:color w:val="000000"/>
          <w:sz w:val="18"/>
        </w:rPr>
        <w:t xml:space="preserve"> </w:t>
      </w:r>
    </w:p>
    <w:bookmarkStart w:id="318" w:name="fn111"/>
    <w:bookmarkEnd w:id="318"/>
    <w:p>
      <w:pPr>
        <w:numPr>
          <w:ilvl w:val="0"/>
          <w:numId w:val="38"/>
        </w:numPr>
        <w:spacing w:line="360" w:after="210" w:lineRule="auto"/>
      </w:pPr>
      <w:hyperlink r:id="rId120">
        <w:r>
          <w:rPr>
            <w:rFonts w:eastAsia="inter" w:cs="inter" w:ascii="inter" w:hAnsi="inter"/>
            <w:color w:val="#000"/>
            <w:sz w:val="18"/>
            <w:u w:val="single"/>
          </w:rPr>
          <w:t xml:space="preserve">http://arxiv.org/pdf/2411.14437.pdf</w:t>
        </w:r>
      </w:hyperlink>
      <w:r>
        <w:rPr>
          <w:rFonts w:eastAsia="inter" w:cs="inter" w:ascii="inter" w:hAnsi="inter"/>
          <w:color w:val="000000"/>
          <w:sz w:val="18"/>
        </w:rPr>
        <w:t xml:space="preserve"> </w:t>
      </w:r>
    </w:p>
    <w:bookmarkStart w:id="319" w:name="fn112"/>
    <w:bookmarkEnd w:id="319"/>
    <w:p>
      <w:pPr>
        <w:numPr>
          <w:ilvl w:val="0"/>
          <w:numId w:val="38"/>
        </w:numPr>
        <w:spacing w:line="360" w:after="210" w:lineRule="auto"/>
      </w:pPr>
      <w:hyperlink r:id="rId121">
        <w:r>
          <w:rPr>
            <w:rFonts w:eastAsia="inter" w:cs="inter" w:ascii="inter" w:hAnsi="inter"/>
            <w:color w:val="#000"/>
            <w:sz w:val="18"/>
            <w:u w:val="single"/>
          </w:rPr>
          <w:t xml:space="preserve">https://arxiv.org/pdf/2308.16538.pdf</w:t>
        </w:r>
      </w:hyperlink>
      <w:r>
        <w:rPr>
          <w:rFonts w:eastAsia="inter" w:cs="inter" w:ascii="inter" w:hAnsi="inter"/>
          <w:color w:val="000000"/>
          <w:sz w:val="18"/>
        </w:rPr>
        <w:t xml:space="preserve"> </w:t>
      </w:r>
    </w:p>
    <w:bookmarkStart w:id="320" w:name="fn113"/>
    <w:bookmarkEnd w:id="320"/>
    <w:p>
      <w:pPr>
        <w:numPr>
          <w:ilvl w:val="0"/>
          <w:numId w:val="38"/>
        </w:numPr>
        <w:spacing w:line="360" w:after="210" w:lineRule="auto"/>
      </w:pPr>
      <w:hyperlink r:id="rId122">
        <w:r>
          <w:rPr>
            <w:rFonts w:eastAsia="inter" w:cs="inter" w:ascii="inter" w:hAnsi="inter"/>
            <w:color w:val="#000"/>
            <w:sz w:val="18"/>
            <w:u w:val="single"/>
          </w:rPr>
          <w:t xml:space="preserve">https://www.pwc.com/gx/en/government-public-services/assets/genai-for-next-gen-governments.pdf</w:t>
        </w:r>
      </w:hyperlink>
      <w:r>
        <w:rPr>
          <w:rFonts w:eastAsia="inter" w:cs="inter" w:ascii="inter" w:hAnsi="inter"/>
          <w:color w:val="000000"/>
          <w:sz w:val="18"/>
        </w:rPr>
        <w:t xml:space="preserve"> </w:t>
      </w:r>
    </w:p>
    <w:bookmarkStart w:id="321" w:name="fn114"/>
    <w:bookmarkEnd w:id="321"/>
    <w:p>
      <w:pPr>
        <w:numPr>
          <w:ilvl w:val="0"/>
          <w:numId w:val="38"/>
        </w:numPr>
        <w:spacing w:line="360" w:after="210" w:lineRule="auto"/>
      </w:pPr>
      <w:hyperlink r:id="rId123">
        <w:r>
          <w:rPr>
            <w:rFonts w:eastAsia="inter" w:cs="inter" w:ascii="inter" w:hAnsi="inter"/>
            <w:color w:val="#000"/>
            <w:sz w:val="18"/>
            <w:u w:val="single"/>
          </w:rPr>
          <w:t xml:space="preserve">https://www.pwc.com/gx/en/services/deals/trends/2025/financial-services.html</w:t>
        </w:r>
      </w:hyperlink>
      <w:r>
        <w:rPr>
          <w:rFonts w:eastAsia="inter" w:cs="inter" w:ascii="inter" w:hAnsi="inter"/>
          <w:color w:val="000000"/>
          <w:sz w:val="18"/>
        </w:rPr>
        <w:t xml:space="preserve"> </w:t>
      </w:r>
    </w:p>
    <w:bookmarkStart w:id="322" w:name="fn115"/>
    <w:bookmarkEnd w:id="322"/>
    <w:p>
      <w:pPr>
        <w:numPr>
          <w:ilvl w:val="0"/>
          <w:numId w:val="38"/>
        </w:numPr>
        <w:spacing w:line="360" w:after="210" w:lineRule="auto"/>
      </w:pPr>
      <w:hyperlink r:id="rId124">
        <w:r>
          <w:rPr>
            <w:rFonts w:eastAsia="inter" w:cs="inter" w:ascii="inter" w:hAnsi="inter"/>
            <w:color w:val="#000"/>
            <w:sz w:val="18"/>
            <w:u w:val="single"/>
          </w:rPr>
          <w:t xml:space="preserve">https://www.pwc.com/us/en/industries/financial-services/library/re-engineering-the-bank-for-growth.html</w:t>
        </w:r>
      </w:hyperlink>
      <w:r>
        <w:rPr>
          <w:rFonts w:eastAsia="inter" w:cs="inter" w:ascii="inter" w:hAnsi="inter"/>
          <w:color w:val="000000"/>
          <w:sz w:val="18"/>
        </w:rPr>
        <w:t xml:space="preserve"> </w:t>
      </w:r>
    </w:p>
    <w:bookmarkStart w:id="323" w:name="fn116"/>
    <w:bookmarkEnd w:id="323"/>
    <w:p>
      <w:pPr>
        <w:numPr>
          <w:ilvl w:val="0"/>
          <w:numId w:val="38"/>
        </w:numPr>
        <w:spacing w:line="360" w:after="210" w:lineRule="auto"/>
      </w:pPr>
      <w:hyperlink r:id="rId125">
        <w:r>
          <w:rPr>
            <w:rFonts w:eastAsia="inter" w:cs="inter" w:ascii="inter" w:hAnsi="inter"/>
            <w:color w:val="#000"/>
            <w:sz w:val="18"/>
            <w:u w:val="single"/>
          </w:rPr>
          <w:t xml:space="preserve">https://www.pwc.lu/en/banking/banking-luxembourg-trends-figures-2024.html</w:t>
        </w:r>
      </w:hyperlink>
      <w:r>
        <w:rPr>
          <w:rFonts w:eastAsia="inter" w:cs="inter" w:ascii="inter" w:hAnsi="inter"/>
          <w:color w:val="000000"/>
          <w:sz w:val="18"/>
        </w:rPr>
        <w:t xml:space="preserve"> </w:t>
      </w:r>
    </w:p>
    <w:bookmarkStart w:id="324" w:name="fn117"/>
    <w:bookmarkEnd w:id="324"/>
    <w:p>
      <w:pPr>
        <w:numPr>
          <w:ilvl w:val="0"/>
          <w:numId w:val="38"/>
        </w:numPr>
        <w:spacing w:line="360" w:after="210" w:lineRule="auto"/>
      </w:pPr>
      <w:hyperlink r:id="rId126">
        <w:r>
          <w:rPr>
            <w:rFonts w:eastAsia="inter" w:cs="inter" w:ascii="inter" w:hAnsi="inter"/>
            <w:color w:val="#000"/>
            <w:sz w:val="18"/>
            <w:u w:val="single"/>
          </w:rPr>
          <w:t xml:space="preserve">https://www.pwc.ch/en/insights/gen-ai-case-study.html</w:t>
        </w:r>
      </w:hyperlink>
      <w:r>
        <w:rPr>
          <w:rFonts w:eastAsia="inter" w:cs="inter" w:ascii="inter" w:hAnsi="inter"/>
          <w:color w:val="000000"/>
          <w:sz w:val="18"/>
        </w:rPr>
        <w:t xml:space="preserve"> </w:t>
      </w:r>
    </w:p>
    <w:bookmarkStart w:id="325" w:name="fn118"/>
    <w:bookmarkEnd w:id="325"/>
    <w:p>
      <w:pPr>
        <w:numPr>
          <w:ilvl w:val="0"/>
          <w:numId w:val="38"/>
        </w:numPr>
        <w:spacing w:line="360" w:after="210" w:lineRule="auto"/>
      </w:pPr>
      <w:hyperlink r:id="rId127">
        <w:r>
          <w:rPr>
            <w:rFonts w:eastAsia="inter" w:cs="inter" w:ascii="inter" w:hAnsi="inter"/>
            <w:color w:val="#000"/>
            <w:sz w:val="18"/>
            <w:u w:val="single"/>
          </w:rPr>
          <w:t xml:space="preserve">https://www.pwchk.com/en/industries/financial-services/banking-and-capital-markets/publications/unleashing-power-genai-to-reshape-hk-banking-sector-jul2024.html</w:t>
        </w:r>
      </w:hyperlink>
      <w:r>
        <w:rPr>
          <w:rFonts w:eastAsia="inter" w:cs="inter" w:ascii="inter" w:hAnsi="inter"/>
          <w:color w:val="000000"/>
          <w:sz w:val="18"/>
        </w:rPr>
        <w:t xml:space="preserve"> </w:t>
      </w:r>
    </w:p>
    <w:bookmarkStart w:id="326" w:name="fn119"/>
    <w:bookmarkEnd w:id="326"/>
    <w:p>
      <w:pPr>
        <w:numPr>
          <w:ilvl w:val="0"/>
          <w:numId w:val="38"/>
        </w:numPr>
        <w:spacing w:line="360" w:after="210" w:lineRule="auto"/>
      </w:pPr>
      <w:hyperlink r:id="rId128">
        <w:r>
          <w:rPr>
            <w:rFonts w:eastAsia="inter" w:cs="inter" w:ascii="inter" w:hAnsi="inter"/>
            <w:color w:val="#000"/>
            <w:sz w:val="18"/>
            <w:u w:val="single"/>
          </w:rPr>
          <w:t xml:space="preserve">https://www.pwc.com/ca/en/today-s-issues/generative-ai/democratizing-gen-ai-case-study.html</w:t>
        </w:r>
      </w:hyperlink>
      <w:r>
        <w:rPr>
          <w:rFonts w:eastAsia="inter" w:cs="inter" w:ascii="inter" w:hAnsi="inter"/>
          <w:color w:val="000000"/>
          <w:sz w:val="18"/>
        </w:rPr>
        <w:t xml:space="preserve"> </w:t>
      </w:r>
    </w:p>
    <w:bookmarkStart w:id="327" w:name="fn120"/>
    <w:bookmarkEnd w:id="327"/>
    <w:p>
      <w:pPr>
        <w:numPr>
          <w:ilvl w:val="0"/>
          <w:numId w:val="38"/>
        </w:numPr>
        <w:spacing w:line="360" w:after="210" w:lineRule="auto"/>
      </w:pPr>
      <w:hyperlink r:id="rId129">
        <w:r>
          <w:rPr>
            <w:rFonts w:eastAsia="inter" w:cs="inter" w:ascii="inter" w:hAnsi="inter"/>
            <w:color w:val="#000"/>
            <w:sz w:val="18"/>
            <w:u w:val="single"/>
          </w:rPr>
          <w:t xml:space="preserve">https://www.business-humanrights.org/en/latest-news/microsoft-openai-allegedly-aided-israeli-targeting-in-gaza-through-ai-cloud-services/</w:t>
        </w:r>
      </w:hyperlink>
      <w:r>
        <w:rPr>
          <w:rFonts w:eastAsia="inter" w:cs="inter" w:ascii="inter" w:hAnsi="inter"/>
          <w:color w:val="000000"/>
          <w:sz w:val="18"/>
        </w:rPr>
        <w:t xml:space="preserve"> </w:t>
      </w:r>
    </w:p>
    <w:bookmarkStart w:id="328" w:name="fn121"/>
    <w:bookmarkEnd w:id="328"/>
    <w:p>
      <w:pPr>
        <w:numPr>
          <w:ilvl w:val="0"/>
          <w:numId w:val="38"/>
        </w:numPr>
        <w:spacing w:line="360" w:after="210" w:lineRule="auto"/>
      </w:pPr>
      <w:hyperlink r:id="rId130">
        <w:r>
          <w:rPr>
            <w:rFonts w:eastAsia="inter" w:cs="inter" w:ascii="inter" w:hAnsi="inter"/>
            <w:color w:val="#000"/>
            <w:sz w:val="18"/>
            <w:u w:val="single"/>
          </w:rPr>
          <w:t xml:space="preserve">https://www.pwc.com/gh/en/assets/pdf/ghana-banking-survey-2025.pdf</w:t>
        </w:r>
      </w:hyperlink>
      <w:r>
        <w:rPr>
          <w:rFonts w:eastAsia="inter" w:cs="inter" w:ascii="inter" w:hAnsi="inter"/>
          <w:color w:val="000000"/>
          <w:sz w:val="18"/>
        </w:rPr>
        <w:t xml:space="preserve"> </w:t>
      </w:r>
    </w:p>
    <w:bookmarkStart w:id="329" w:name="fn122"/>
    <w:bookmarkEnd w:id="329"/>
    <w:p>
      <w:pPr>
        <w:numPr>
          <w:ilvl w:val="0"/>
          <w:numId w:val="38"/>
        </w:numPr>
        <w:spacing w:line="360" w:after="210" w:lineRule="auto"/>
      </w:pPr>
      <w:hyperlink r:id="rId131">
        <w:r>
          <w:rPr>
            <w:rFonts w:eastAsia="inter" w:cs="inter" w:ascii="inter" w:hAnsi="inter"/>
            <w:color w:val="#000"/>
            <w:sz w:val="18"/>
            <w:u w:val="single"/>
          </w:rPr>
          <w:t xml:space="preserve">https://www.pwc.co.uk/services/technology/generative-artificial-intelligence/virgin-money.html</w:t>
        </w:r>
      </w:hyperlink>
      <w:r>
        <w:rPr>
          <w:rFonts w:eastAsia="inter" w:cs="inter" w:ascii="inter" w:hAnsi="inter"/>
          <w:color w:val="000000"/>
          <w:sz w:val="18"/>
        </w:rPr>
        <w:t xml:space="preserve"> </w:t>
      </w:r>
    </w:p>
    <w:bookmarkStart w:id="330" w:name="fn123"/>
    <w:bookmarkEnd w:id="330"/>
    <w:p>
      <w:pPr>
        <w:numPr>
          <w:ilvl w:val="0"/>
          <w:numId w:val="38"/>
        </w:numPr>
        <w:spacing w:line="360" w:after="210" w:lineRule="auto"/>
      </w:pPr>
      <w:hyperlink r:id="rId132">
        <w:r>
          <w:rPr>
            <w:rFonts w:eastAsia="inter" w:cs="inter" w:ascii="inter" w:hAnsi="inter"/>
            <w:color w:val="#000"/>
            <w:sz w:val="18"/>
            <w:u w:val="single"/>
          </w:rPr>
          <w:t xml:space="preserve">https://www.pwc.com/m1/en/media-centre/2024/pwc-microsoft-launch-ai-centre-of-excellence-dedicated-to-upskilling-saudi-engineering-talent.html</w:t>
        </w:r>
      </w:hyperlink>
      <w:r>
        <w:rPr>
          <w:rFonts w:eastAsia="inter" w:cs="inter" w:ascii="inter" w:hAnsi="inter"/>
          <w:color w:val="000000"/>
          <w:sz w:val="18"/>
        </w:rPr>
        <w:t xml:space="preserve"> </w:t>
      </w:r>
    </w:p>
    <w:bookmarkStart w:id="331" w:name="fn124"/>
    <w:bookmarkEnd w:id="331"/>
    <w:p>
      <w:pPr>
        <w:numPr>
          <w:ilvl w:val="0"/>
          <w:numId w:val="38"/>
        </w:numPr>
        <w:spacing w:line="360" w:after="210" w:lineRule="auto"/>
      </w:pPr>
      <w:hyperlink r:id="rId133">
        <w:r>
          <w:rPr>
            <w:rFonts w:eastAsia="inter" w:cs="inter" w:ascii="inter" w:hAnsi="inter"/>
            <w:color w:val="#000"/>
            <w:sz w:val="18"/>
            <w:u w:val="single"/>
          </w:rPr>
          <w:t xml:space="preserve">https://www.pwc.com/us/en/industries/financial-services/library/how-ai-is-reshaping-banking.html</w:t>
        </w:r>
      </w:hyperlink>
      <w:r>
        <w:rPr>
          <w:rFonts w:eastAsia="inter" w:cs="inter" w:ascii="inter" w:hAnsi="inter"/>
          <w:color w:val="000000"/>
          <w:sz w:val="18"/>
        </w:rPr>
        <w:t xml:space="preserve"> </w:t>
      </w:r>
    </w:p>
    <w:bookmarkStart w:id="332" w:name="fn125"/>
    <w:bookmarkEnd w:id="332"/>
    <w:p>
      <w:pPr>
        <w:numPr>
          <w:ilvl w:val="0"/>
          <w:numId w:val="38"/>
        </w:numPr>
        <w:spacing w:line="360" w:after="210" w:lineRule="auto"/>
      </w:pPr>
      <w:hyperlink r:id="rId134">
        <w:r>
          <w:rPr>
            <w:rFonts w:eastAsia="inter" w:cs="inter" w:ascii="inter" w:hAnsi="inter"/>
            <w:color w:val="#000"/>
            <w:sz w:val="18"/>
            <w:u w:val="single"/>
          </w:rPr>
          <w:t xml:space="preserve">https://journalcontent.mediatheoryjournal.org/index.php/mt/article/view/1169</w:t>
        </w:r>
      </w:hyperlink>
      <w:r>
        <w:rPr>
          <w:rFonts w:eastAsia="inter" w:cs="inter" w:ascii="inter" w:hAnsi="inter"/>
          <w:color w:val="000000"/>
          <w:sz w:val="18"/>
        </w:rPr>
        <w:t xml:space="preserve"> </w:t>
      </w:r>
    </w:p>
    <w:bookmarkStart w:id="333" w:name="fn126"/>
    <w:bookmarkEnd w:id="333"/>
    <w:p>
      <w:pPr>
        <w:numPr>
          <w:ilvl w:val="0"/>
          <w:numId w:val="38"/>
        </w:numPr>
        <w:spacing w:line="360" w:after="210" w:lineRule="auto"/>
      </w:pPr>
      <w:hyperlink r:id="rId135">
        <w:r>
          <w:rPr>
            <w:rFonts w:eastAsia="inter" w:cs="inter" w:ascii="inter" w:hAnsi="inter"/>
            <w:color w:val="#000"/>
            <w:sz w:val="18"/>
            <w:u w:val="single"/>
          </w:rPr>
          <w:t xml:space="preserve">https://www.semanticscholar.org/paper/de6436d2524ea4ad2acabaafd5c97dc4c806b3aa</w:t>
        </w:r>
      </w:hyperlink>
      <w:r>
        <w:rPr>
          <w:rFonts w:eastAsia="inter" w:cs="inter" w:ascii="inter" w:hAnsi="inter"/>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7">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5">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7">
    <w:multiLevelType w:val="hybridMultilevel"/>
  </w:abstractNum>
  <w:abstractNum w:abstractNumId="38">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ca90180b4d1f41101c639b8c9d23eb8fff6344ee.png" TargetMode="Internal"/><Relationship Id="rId6" Type="http://schemas.openxmlformats.org/officeDocument/2006/relationships/hyperlink" Target="http://GL.ai" TargetMode="External"/><Relationship Id="rId7" Type="http://schemas.openxmlformats.org/officeDocument/2006/relationships/hyperlink" Target="http://Cash.ai" TargetMode="External"/><Relationship Id="rId8" Type="http://schemas.openxmlformats.org/officeDocument/2006/relationships/hyperlink" Target="http://Hear.ai" TargetMode="External"/><Relationship Id="rId9" Type="http://schemas.openxmlformats.org/officeDocument/2006/relationships/hyperlink" Target="http://Hear.ai" TargetMode="External"/><Relationship Id="rId10" Type="http://schemas.openxmlformats.org/officeDocument/2006/relationships/hyperlink" Target="https://www.pc.co.il/advertisements/411642/" TargetMode="External"/><Relationship Id="rId11" Type="http://schemas.openxmlformats.org/officeDocument/2006/relationships/hyperlink" Target="https://nexttech.pwc.co.il/ai/" TargetMode="External"/><Relationship Id="rId12" Type="http://schemas.openxmlformats.org/officeDocument/2006/relationships/hyperlink" Target="https://www.pwc.com/us/en/tech-effect/ai-analytics/guide-to-generative-ai-for-the-cio.html" TargetMode="External"/><Relationship Id="rId13" Type="http://schemas.openxmlformats.org/officeDocument/2006/relationships/hyperlink" Target="https://nexttech.pwc.co.il" TargetMode="External"/><Relationship Id="rId14" Type="http://schemas.openxmlformats.org/officeDocument/2006/relationships/hyperlink" Target="https://guardian.ng/news/leading-the-charge-in-generative-ai-how-pavel-sheynkman-is-redefining-technological-boundaries/" TargetMode="External"/><Relationship Id="rId15" Type="http://schemas.openxmlformats.org/officeDocument/2006/relationships/hyperlink" Target="https://www.pwc.com/il/en/assets/pdf-files/__pwc_israel-transparency-report-2023.pdf" TargetMode="External"/><Relationship Id="rId16" Type="http://schemas.openxmlformats.org/officeDocument/2006/relationships/hyperlink" Target="https://www.bdicode.co.il/en/company/pwc-israel/" TargetMode="External"/><Relationship Id="rId17" Type="http://schemas.openxmlformats.org/officeDocument/2006/relationships/hyperlink" Target="https://www.pwc.com/us/en/tech-effect/ai-analytics/generative-ai-impact-on-business.html" TargetMode="External"/><Relationship Id="rId18" Type="http://schemas.openxmlformats.org/officeDocument/2006/relationships/hyperlink" Target="https://www.pwc.com/il/en/assets/pdf-files/pwc_israel-transparency-report-2025.pdf" TargetMode="External"/><Relationship Id="rId19" Type="http://schemas.openxmlformats.org/officeDocument/2006/relationships/hyperlink" Target="https://www.pwc.com/id/en/services/risk-assurance-services/data-analytics/ai-automation-data-extraction.html" TargetMode="External"/><Relationship Id="rId20" Type="http://schemas.openxmlformats.org/officeDocument/2006/relationships/hyperlink" Target="https://www.unleash.ai/learning-and-development/how-pwc-opened-the-aperture-of-upskilling-possibilities-with-ai-prompting-parties/" TargetMode="External"/><Relationship Id="rId21" Type="http://schemas.openxmlformats.org/officeDocument/2006/relationships/hyperlink" Target="https://www.techrepublic.com/article/openai-pwc-chatgpt-enterprise-deal/" TargetMode="External"/><Relationship Id="rId22" Type="http://schemas.openxmlformats.org/officeDocument/2006/relationships/hyperlink" Target="https://www.pwc.com/us/en/about-us/newsroom/press-releases/pwc-us-uk-accelerating-ai-chatgpt-enterprise-adoption.html" TargetMode="External"/><Relationship Id="rId23" Type="http://schemas.openxmlformats.org/officeDocument/2006/relationships/hyperlink" Target="https://www.reuters.com/technology/pwc-become-openai-largest-enterprise-customer-wsj-reports-2024-05-29/" TargetMode="External"/><Relationship Id="rId24" Type="http://schemas.openxmlformats.org/officeDocument/2006/relationships/hyperlink" Target="https://www.pwc.com/m1/en/services/consulting/technology/generative-ai.html" TargetMode="External"/><Relationship Id="rId25" Type="http://schemas.openxmlformats.org/officeDocument/2006/relationships/hyperlink" Target="https://www.pwc.com/m1/en/services/consulting/technology/alliances/openai.html" TargetMode="External"/><Relationship Id="rId26" Type="http://schemas.openxmlformats.org/officeDocument/2006/relationships/hyperlink" Target="https://www.pwc.com/m1/en/media-centre/2024/pwc-middle-east-partners-with-openai-to-bring-latest-ai-innovation-to-the-region.html" TargetMode="External"/><Relationship Id="rId27" Type="http://schemas.openxmlformats.org/officeDocument/2006/relationships/hyperlink" Target="https://www.zawya.com/en/world/middle-east/pwc-partners-with-openai-to-bring-latest-ai-innovation-to-middle-east-o5as2ik2" TargetMode="External"/><Relationship Id="rId28" Type="http://schemas.openxmlformats.org/officeDocument/2006/relationships/hyperlink" Target="https://www.pwc.com/gx/en/services/alliances/microsoft/generative-ai.html" TargetMode="External"/><Relationship Id="rId29" Type="http://schemas.openxmlformats.org/officeDocument/2006/relationships/hyperlink" Target="https://www.hear.ai/blog/hear-partners-with-pwc-israel-to-revolutionize-customer-service-with-ai-powered-insights" TargetMode="External"/><Relationship Id="rId30" Type="http://schemas.openxmlformats.org/officeDocument/2006/relationships/hyperlink" Target="https://il.linkedin.com/company/pwc-digital-technology-services" TargetMode="External"/><Relationship Id="rId31" Type="http://schemas.openxmlformats.org/officeDocument/2006/relationships/hyperlink" Target="https://www.businesswire.com/news/home/20240319551401/en/PwC-Israel-Collaborates-with-OurCrowds-Israel-Resilience-Fund-to-Support-Israels-Tech-Sector-at-Time-of-Crisis" TargetMode="External"/><Relationship Id="rId32" Type="http://schemas.openxmlformats.org/officeDocument/2006/relationships/hyperlink" Target="https://zazzysub.substack.com/p/pwc-israel-and-the-epstein-network" TargetMode="External"/><Relationship Id="rId33" Type="http://schemas.openxmlformats.org/officeDocument/2006/relationships/hyperlink" Target="https://www.pwc.com/il/en/assets/pdf-files/-pwc_israel-transparency-report-2021-.pdf" TargetMode="External"/><Relationship Id="rId34" Type="http://schemas.openxmlformats.org/officeDocument/2006/relationships/hyperlink" Target="https://www.pwc.com/il/en/assets/pdf-files/pwc_israel-transparency-report-2022.pdf" TargetMode="External"/><Relationship Id="rId35" Type="http://schemas.openxmlformats.org/officeDocument/2006/relationships/hyperlink" Target="https://www.pwc.com/im/en/the-new-equation/human-led-tech-powered-solve-business-challenges.html" TargetMode="External"/><Relationship Id="rId36" Type="http://schemas.openxmlformats.org/officeDocument/2006/relationships/hyperlink" Target="https://www.pwc.com/gx/en/services/ai.html" TargetMode="External"/><Relationship Id="rId37" Type="http://schemas.openxmlformats.org/officeDocument/2006/relationships/hyperlink" Target="https://il.linkedin.com/in/roey-zalta" TargetMode="External"/><Relationship Id="rId38" Type="http://schemas.openxmlformats.org/officeDocument/2006/relationships/hyperlink" Target="https://www.pwc.com/il/en/Advisory/walkme.html" TargetMode="External"/><Relationship Id="rId39" Type="http://schemas.openxmlformats.org/officeDocument/2006/relationships/hyperlink" Target="https://www.cfo-forum.org/events/%D7%98%D7%9B%D7%A0%D7%95%D7%9C%D7%95%D7%92%D7%99%D7%95%D7%AA-%D7%A4%D7%A8%D7%A7%D7%98%D7%99%D7%95%D7%AA:-%D7%9E%D7%94%D7%9B%D7%A1%D7%A4%D7%99%D7%9D-%D7%9C%D7%91%D7%99%D7%96%D7%A0%D7%A1-%D7%95%D7%97%D7%96%D7%A8%D7%94" TargetMode="External"/><Relationship Id="rId40" Type="http://schemas.openxmlformats.org/officeDocument/2006/relationships/hyperlink" Target="https://www.linkedin.com/posts/pavelsheynkman_why-you-need-an-ai-factory-a-cios-guide-activity-7100468014470340608-Q0hp" TargetMode="External"/><Relationship Id="rId41" Type="http://schemas.openxmlformats.org/officeDocument/2006/relationships/hyperlink" Target="https://www.thenationalnews.com/future/technology/2024/10/29/pwc-to-offer-customised-chatgpt-enterprise-services-to-its-middle-east-clients/" TargetMode="External"/><Relationship Id="rId42" Type="http://schemas.openxmlformats.org/officeDocument/2006/relationships/hyperlink" Target="https://www.pwc.com/us/en/technology/alliances/microsoft/financial-services-solutions.html" TargetMode="External"/><Relationship Id="rId43" Type="http://schemas.openxmlformats.org/officeDocument/2006/relationships/hyperlink" Target="https://www.pwc.com/us/en/technology/alliances/microsoft.html" TargetMode="External"/><Relationship Id="rId44" Type="http://schemas.openxmlformats.org/officeDocument/2006/relationships/hyperlink" Target="https://www.pwc.com/il/en/banking-capital-markets.html" TargetMode="External"/><Relationship Id="rId45" Type="http://schemas.openxmlformats.org/officeDocument/2006/relationships/hyperlink" Target="https://www.pwc.com/us/en/tech-effect/ai-analytics/responsible-ai-survey.html" TargetMode="External"/><Relationship Id="rId46" Type="http://schemas.openxmlformats.org/officeDocument/2006/relationships/hyperlink" Target="https://www.pwc.com/m1/en/media-centre/2024/pwc-middle-east-launches-region-first-legal-genai-offering.html" TargetMode="External"/><Relationship Id="rId47" Type="http://schemas.openxmlformats.org/officeDocument/2006/relationships/hyperlink" Target="https://www.pwc.com/gx/en/news-room/press-releases/2023/pwc-partners-with-openai-and-harvey.html" TargetMode="External"/><Relationship Id="rId48" Type="http://schemas.openxmlformats.org/officeDocument/2006/relationships/hyperlink" Target="https://www.pwc.com/gx/en/ai-services/ai-works-for-governments.pdf" TargetMode="External"/><Relationship Id="rId49" Type="http://schemas.openxmlformats.org/officeDocument/2006/relationships/hyperlink" Target="https://www.pwc.com/il/en/contacts/l/lior-mistriel.html" TargetMode="External"/><Relationship Id="rId50" Type="http://schemas.openxmlformats.org/officeDocument/2006/relationships/hyperlink" Target="https://www.linkedin.com/posts/pwc-israel_pwc-next-technology-solutions-%D7%A7%D7%99%D7%99%D7%9E%D7%94-activity-7256972558791548928-qMDK" TargetMode="External"/><Relationship Id="rId51" Type="http://schemas.openxmlformats.org/officeDocument/2006/relationships/hyperlink" Target="https://www.linkedin.com/posts/pwc-israel_pwc-israels-event-unlocking-genai-for-finance-activity-7336333315114700800-iJyc" TargetMode="External"/><Relationship Id="rId52" Type="http://schemas.openxmlformats.org/officeDocument/2006/relationships/hyperlink" Target="https://www.facebook.com/itsolutions.il/posts/%D7%9B%D7%99%D7%A6%D7%93-%D7%99%D7%A9%D7%A4%D7%99%D7%A2%D7%95-%D7%9B%D7%9C%D7%99-%D7%94-ai-%D7%90%D7%95-%D7%91%D7%A2%D7%A6%D7%9D-%D7%9B%D7%91%D7%A8-%D7%9E%D7%A9%D7%A4%D7%99%D7%A2%D7%99%D7%9D-%D7%A2%D7%9C-%D7%94%D7%9E%D7%A0%D7%94%D7%99%D7%92%D7%95%D7%AA-%D7%94%D7%A4%D7%99%D7%A0%D7%A0%D7%A1%D7%99%D7%AA-%D7%91%D7%90%D7%A8%D7%92%D7%95%D7%A0%D7%99%D7%9D-%D7%A9%D7%9E%D7%97%D7%A0%D7%95-%D7%9E%D7%90%D7%95/1330739005718486/" TargetMode="External"/><Relationship Id="rId53" Type="http://schemas.openxmlformats.org/officeDocument/2006/relationships/hyperlink" Target="https://www.oracle.com/il-en/partner/pwc/" TargetMode="External"/><Relationship Id="rId54" Type="http://schemas.openxmlformats.org/officeDocument/2006/relationships/hyperlink" Target="https://www.oracle.com/il-en/erp/financials/ai-finance/" TargetMode="External"/><Relationship Id="rId55" Type="http://schemas.openxmlformats.org/officeDocument/2006/relationships/hyperlink" Target="https://www.calcalistech.com/ctechnews/article/rydg0upmzl" TargetMode="External"/><Relationship Id="rId56" Type="http://schemas.openxmlformats.org/officeDocument/2006/relationships/hyperlink" Target="https://www.vccafe.com/2025/12/16/2025-was-a-banner-year-for-israeli-startup-exits-but-theres-a-catch/" TargetMode="External"/><Relationship Id="rId57" Type="http://schemas.openxmlformats.org/officeDocument/2006/relationships/hyperlink" Target="https://www.pwc.com/m1/en/events/driving-digital-transformation-across-the-middle-east.html" TargetMode="External"/><Relationship Id="rId58" Type="http://schemas.openxmlformats.org/officeDocument/2006/relationships/hyperlink" Target="https://www.pwc.com/il/en/our-people.html" TargetMode="External"/><Relationship Id="rId59" Type="http://schemas.openxmlformats.org/officeDocument/2006/relationships/hyperlink" Target="https://www.pwc.com/il/en/contacts/t/talya_gazit.html" TargetMode="External"/><Relationship Id="rId60" Type="http://schemas.openxmlformats.org/officeDocument/2006/relationships/hyperlink" Target="https://www.calcalistech.com/ctechnews/article/4qzdcxoag" TargetMode="External"/><Relationship Id="rId61" Type="http://schemas.openxmlformats.org/officeDocument/2006/relationships/hyperlink" Target="https://x.com/PwcIsrael/status/1862085172478308463" TargetMode="External"/><Relationship Id="rId62" Type="http://schemas.openxmlformats.org/officeDocument/2006/relationships/hyperlink" Target="https://www.pwc.com/m1/en/so-you-can/artificial-intelligence.html" TargetMode="External"/><Relationship Id="rId63" Type="http://schemas.openxmlformats.org/officeDocument/2006/relationships/hyperlink" Target="https://www.pwc.com/il/he/consulting.html" TargetMode="External"/><Relationship Id="rId64" Type="http://schemas.openxmlformats.org/officeDocument/2006/relationships/hyperlink" Target="https://www.pwc.com/il/he/consulting/technology.html" TargetMode="External"/><Relationship Id="rId65" Type="http://schemas.openxmlformats.org/officeDocument/2006/relationships/hyperlink" Target="https://www.pwc.com/m1/en/publications/documents/2024/leveraging-genAI-in-banking.pdf" TargetMode="External"/><Relationship Id="rId66" Type="http://schemas.openxmlformats.org/officeDocument/2006/relationships/hyperlink" Target="https://www.pwc.com/m1/en/publications/leveraging-generative-ai-in-banking.html" TargetMode="External"/><Relationship Id="rId67" Type="http://schemas.openxmlformats.org/officeDocument/2006/relationships/hyperlink" Target="https://www.mdpi.com/1424-8220/21/14/4656" TargetMode="External"/><Relationship Id="rId68" Type="http://schemas.openxmlformats.org/officeDocument/2006/relationships/hyperlink" Target="https://ieeexplore.ieee.org/document/9982251/" TargetMode="External"/><Relationship Id="rId69" Type="http://schemas.openxmlformats.org/officeDocument/2006/relationships/hyperlink" Target="https://www.mdpi.com/2071-1050/16/5/1790/pdf?version=1708581624" TargetMode="External"/><Relationship Id="rId70" Type="http://schemas.openxmlformats.org/officeDocument/2006/relationships/hyperlink" Target="https://journals.sagepub.com/doi/pdf/10.1177/26349825231193226" TargetMode="External"/><Relationship Id="rId71" Type="http://schemas.openxmlformats.org/officeDocument/2006/relationships/hyperlink" Target="https://www.pwc.com/il/en.html" TargetMode="External"/><Relationship Id="rId72" Type="http://schemas.openxmlformats.org/officeDocument/2006/relationships/hyperlink" Target="https://www.pwc.com/us/en/services/ai.html" TargetMode="External"/><Relationship Id="rId73" Type="http://schemas.openxmlformats.org/officeDocument/2006/relationships/hyperlink" Target="https://en.globes.co.il/en/article-pwc-israeli-tech-exits-up-340-in-2025-1001529258" TargetMode="External"/><Relationship Id="rId74" Type="http://schemas.openxmlformats.org/officeDocument/2006/relationships/hyperlink" Target="https://www.pwc.com/ph/en/gen-ai.html" TargetMode="External"/><Relationship Id="rId75" Type="http://schemas.openxmlformats.org/officeDocument/2006/relationships/hyperlink" Target="https://www.pwc.com/m1/en/services/consulting/technology/emerging-technology.html" TargetMode="External"/><Relationship Id="rId76" Type="http://schemas.openxmlformats.org/officeDocument/2006/relationships/hyperlink" Target="https://www.pwc.com/bb/en/the-new-equation.html" TargetMode="External"/><Relationship Id="rId77" Type="http://schemas.openxmlformats.org/officeDocument/2006/relationships/hyperlink" Target="https://services.igi-global.com/resolvedoi/resolve.aspx?doi=10.4018/JCIT.20211001.oa7" TargetMode="External"/><Relationship Id="rId78" Type="http://schemas.openxmlformats.org/officeDocument/2006/relationships/hyperlink" Target="https://www.multidisciplinaryfrontiers.com/search?q=FMR-2025-2-126&amp;search=search" TargetMode="External"/><Relationship Id="rId79" Type="http://schemas.openxmlformats.org/officeDocument/2006/relationships/hyperlink" Target="http://baltijapublishing.lv/index.php/threeseas/article/view/1534" TargetMode="External"/><Relationship Id="rId80" Type="http://schemas.openxmlformats.org/officeDocument/2006/relationships/hyperlink" Target="https://www.mdpi.com/2220-9964/14/12/491" TargetMode="External"/><Relationship Id="rId81" Type="http://schemas.openxmlformats.org/officeDocument/2006/relationships/hyperlink" Target="https://pathofscience.org/index.php/ps/article/view/3623" TargetMode="External"/><Relationship Id="rId82" Type="http://schemas.openxmlformats.org/officeDocument/2006/relationships/hyperlink" Target="http://link.springer.com/10.1007/s38311-019-0187-z" TargetMode="External"/><Relationship Id="rId83" Type="http://schemas.openxmlformats.org/officeDocument/2006/relationships/hyperlink" Target="https://journalajarr.com/index.php/AJARR/article/view/1215" TargetMode="External"/><Relationship Id="rId84" Type="http://schemas.openxmlformats.org/officeDocument/2006/relationships/hyperlink" Target="https://www.business-inform.net/export_pdf/business-inform-2025-9_0-pages-168_176.pdf" TargetMode="External"/><Relationship Id="rId85" Type="http://schemas.openxmlformats.org/officeDocument/2006/relationships/hyperlink" Target="https://onlinelibrary.wiley.com/doi/10.1111/jpim.12571" TargetMode="External"/><Relationship Id="rId86" Type="http://schemas.openxmlformats.org/officeDocument/2006/relationships/hyperlink" Target="https://unisapressjournals.co.za/index.php/EAC/article/view/13828" TargetMode="External"/><Relationship Id="rId87" Type="http://schemas.openxmlformats.org/officeDocument/2006/relationships/hyperlink" Target="https://linkinghub.elsevier.com/retrieve/pii/S2444569X23000318" TargetMode="External"/><Relationship Id="rId88" Type="http://schemas.openxmlformats.org/officeDocument/2006/relationships/hyperlink" Target="https://linkinghub.elsevier.com/retrieve/pii/S0378720624000788" TargetMode="External"/><Relationship Id="rId89" Type="http://schemas.openxmlformats.org/officeDocument/2006/relationships/hyperlink" Target="https://www.tandfonline.com/doi/full/10.1080/14719037.2023.2234917" TargetMode="External"/><Relationship Id="rId90" Type="http://schemas.openxmlformats.org/officeDocument/2006/relationships/hyperlink" Target="https://www.mdpi.com/2071-1050/16/10/4087/pdf?version=1715612481" TargetMode="External"/><Relationship Id="rId91" Type="http://schemas.openxmlformats.org/officeDocument/2006/relationships/hyperlink" Target="https://www.mdpi.com/2673-6470/3/2/8/pdf?version=1681281608" TargetMode="External"/><Relationship Id="rId92" Type="http://schemas.openxmlformats.org/officeDocument/2006/relationships/hyperlink" Target="https://www.ijournalse.org/index.php/ESJ/article/download/1855/pdf" TargetMode="External"/><Relationship Id="rId93" Type="http://schemas.openxmlformats.org/officeDocument/2006/relationships/hyperlink" Target="https://www.mdpi.com/2076-3417/12/7/3359/pdf?version=1648519201" TargetMode="External"/><Relationship Id="rId94" Type="http://schemas.openxmlformats.org/officeDocument/2006/relationships/hyperlink" Target="https://arxiv.org/pdf/2309.11690.pdf" TargetMode="External"/><Relationship Id="rId95" Type="http://schemas.openxmlformats.org/officeDocument/2006/relationships/hyperlink" Target="https://arxiv.org/pdf/2011.10672.pdf" TargetMode="External"/><Relationship Id="rId96" Type="http://schemas.openxmlformats.org/officeDocument/2006/relationships/hyperlink" Target="https://peerj.com/articles/cs-661.pdf" TargetMode="External"/><Relationship Id="rId97" Type="http://schemas.openxmlformats.org/officeDocument/2006/relationships/hyperlink" Target="https://arxiv.org/pdf/2407.19439.pdf" TargetMode="External"/><Relationship Id="rId98" Type="http://schemas.openxmlformats.org/officeDocument/2006/relationships/hyperlink" Target="https://arxiv.org/pdf/2206.09511.pdf" TargetMode="External"/><Relationship Id="rId99" Type="http://schemas.openxmlformats.org/officeDocument/2006/relationships/hyperlink" Target="https://www.jmir.org/2021/9/e24295" TargetMode="External"/><Relationship Id="rId100" Type="http://schemas.openxmlformats.org/officeDocument/2006/relationships/hyperlink" Target="https://arxiv.org/pdf/2302.02337.pdf" TargetMode="External"/><Relationship Id="rId101" Type="http://schemas.openxmlformats.org/officeDocument/2006/relationships/hyperlink" Target="https://arxiv.org/pdf/2209.09780.pdf" TargetMode="External"/><Relationship Id="rId102" Type="http://schemas.openxmlformats.org/officeDocument/2006/relationships/hyperlink" Target="https://cris.biu.ac.il/en/persons/dror-ehrlich/" TargetMode="External"/><Relationship Id="rId103" Type="http://schemas.openxmlformats.org/officeDocument/2006/relationships/hyperlink" Target="https://www.linkedin.com/posts/tamir-hay-300203a3_dror-gideon-yael-keren-and-the-entire-activity-6849373129924481024-njdA" TargetMode="External"/><Relationship Id="rId104" Type="http://schemas.openxmlformats.org/officeDocument/2006/relationships/hyperlink" Target="https://www.vccafe.com/page/135/" TargetMode="External"/><Relationship Id="rId105" Type="http://schemas.openxmlformats.org/officeDocument/2006/relationships/hyperlink" Target="https://www.sec.gov/Archives/edgar/data/1109345/000117891319000711/zk1922740.htm" TargetMode="External"/><Relationship Id="rId106" Type="http://schemas.openxmlformats.org/officeDocument/2006/relationships/hyperlink" Target="https://www.runi.ac.il/media/k23fjaqc/idc-herzliyan-spring-2017.pdf" TargetMode="External"/><Relationship Id="rId107" Type="http://schemas.openxmlformats.org/officeDocument/2006/relationships/hyperlink" Target="https://www.pwc.com/m1/en/services/assurance/manage-risk-in-business/digital-and-technology-risk/responsible-and-explainable-ai/responsible-ai.html" TargetMode="External"/><Relationship Id="rId108" Type="http://schemas.openxmlformats.org/officeDocument/2006/relationships/hyperlink" Target="https://chambers.com/downloads/rankings/791/israel.pdf" TargetMode="External"/><Relationship Id="rId109" Type="http://schemas.openxmlformats.org/officeDocument/2006/relationships/hyperlink" Target="https://www.pwc.com/gx/en/about/pwc-asia-pacific/the-new-reality-to-transform-in-asia-pacific.html" TargetMode="External"/><Relationship Id="rId110" Type="http://schemas.openxmlformats.org/officeDocument/2006/relationships/hyperlink" Target="https://www.annualreports.com/HostedData/AnnualReportArchive/p/NASDAQ_PERI_2018.pdf" TargetMode="External"/><Relationship Id="rId111" Type="http://schemas.openxmlformats.org/officeDocument/2006/relationships/hyperlink" Target="https://www.pwc.nl/en/the-new-equation.html" TargetMode="External"/><Relationship Id="rId112" Type="http://schemas.openxmlformats.org/officeDocument/2006/relationships/hyperlink" Target="https://www.facebook.com/HulaValleyy/posts/?locale=en_GB" TargetMode="External"/><Relationship Id="rId113" Type="http://schemas.openxmlformats.org/officeDocument/2006/relationships/hyperlink" Target="https://www.pwc.be/en/news-publications/2025/responsible-ai-tprm.html" TargetMode="External"/><Relationship Id="rId114" Type="http://schemas.openxmlformats.org/officeDocument/2006/relationships/hyperlink" Target="https://linkinghub.elsevier.com/retrieve/pii/S0148296324000468" TargetMode="External"/><Relationship Id="rId115" Type="http://schemas.openxmlformats.org/officeDocument/2006/relationships/hyperlink" Target="https://ijsra.net/sites/default/files/IJSRA-2024-0639.pdf" TargetMode="External"/><Relationship Id="rId116" Type="http://schemas.openxmlformats.org/officeDocument/2006/relationships/hyperlink" Target="https://ijcsrr.org/wp-content/uploads/2024/01/07-0501-2024.pdf" TargetMode="External"/><Relationship Id="rId117" Type="http://schemas.openxmlformats.org/officeDocument/2006/relationships/hyperlink" Target="https://arxiv.org/pdf/2410.15653.pdf" TargetMode="External"/><Relationship Id="rId118" Type="http://schemas.openxmlformats.org/officeDocument/2006/relationships/hyperlink" Target="https://arxiv.org/pdf/2503.18029.pdf" TargetMode="External"/><Relationship Id="rId119" Type="http://schemas.openxmlformats.org/officeDocument/2006/relationships/hyperlink" Target="https://www.ijfmr.com/papers/2024/1/14015.pdf" TargetMode="External"/><Relationship Id="rId120" Type="http://schemas.openxmlformats.org/officeDocument/2006/relationships/hyperlink" Target="http://arxiv.org/pdf/2411.14437.pdf" TargetMode="External"/><Relationship Id="rId121" Type="http://schemas.openxmlformats.org/officeDocument/2006/relationships/hyperlink" Target="https://arxiv.org/pdf/2308.16538.pdf" TargetMode="External"/><Relationship Id="rId122" Type="http://schemas.openxmlformats.org/officeDocument/2006/relationships/hyperlink" Target="https://www.pwc.com/gx/en/government-public-services/assets/genai-for-next-gen-governments.pdf" TargetMode="External"/><Relationship Id="rId123" Type="http://schemas.openxmlformats.org/officeDocument/2006/relationships/hyperlink" Target="https://www.pwc.com/gx/en/services/deals/trends/2025/financial-services.html" TargetMode="External"/><Relationship Id="rId124" Type="http://schemas.openxmlformats.org/officeDocument/2006/relationships/hyperlink" Target="https://www.pwc.com/us/en/industries/financial-services/library/re-engineering-the-bank-for-growth.html" TargetMode="External"/><Relationship Id="rId125" Type="http://schemas.openxmlformats.org/officeDocument/2006/relationships/hyperlink" Target="https://www.pwc.lu/en/banking/banking-luxembourg-trends-figures-2024.html" TargetMode="External"/><Relationship Id="rId126" Type="http://schemas.openxmlformats.org/officeDocument/2006/relationships/hyperlink" Target="https://www.pwc.ch/en/insights/gen-ai-case-study.html" TargetMode="External"/><Relationship Id="rId127" Type="http://schemas.openxmlformats.org/officeDocument/2006/relationships/hyperlink" Target="https://www.pwchk.com/en/industries/financial-services/banking-and-capital-markets/publications/unleashing-power-genai-to-reshape-hk-banking-sector-jul2024.html" TargetMode="External"/><Relationship Id="rId128" Type="http://schemas.openxmlformats.org/officeDocument/2006/relationships/hyperlink" Target="https://www.pwc.com/ca/en/today-s-issues/generative-ai/democratizing-gen-ai-case-study.html" TargetMode="External"/><Relationship Id="rId129" Type="http://schemas.openxmlformats.org/officeDocument/2006/relationships/hyperlink" Target="https://www.business-humanrights.org/en/latest-news/microsoft-openai-allegedly-aided-israeli-targeting-in-gaza-through-ai-cloud-services/" TargetMode="External"/><Relationship Id="rId130" Type="http://schemas.openxmlformats.org/officeDocument/2006/relationships/hyperlink" Target="https://www.pwc.com/gh/en/assets/pdf/ghana-banking-survey-2025.pdf" TargetMode="External"/><Relationship Id="rId131" Type="http://schemas.openxmlformats.org/officeDocument/2006/relationships/hyperlink" Target="https://www.pwc.co.uk/services/technology/generative-artificial-intelligence/virgin-money.html" TargetMode="External"/><Relationship Id="rId132" Type="http://schemas.openxmlformats.org/officeDocument/2006/relationships/hyperlink" Target="https://www.pwc.com/m1/en/media-centre/2024/pwc-microsoft-launch-ai-centre-of-excellence-dedicated-to-upskilling-saudi-engineering-talent.html" TargetMode="External"/><Relationship Id="rId133" Type="http://schemas.openxmlformats.org/officeDocument/2006/relationships/hyperlink" Target="https://www.pwc.com/us/en/industries/financial-services/library/how-ai-is-reshaping-banking.html" TargetMode="External"/><Relationship Id="rId134" Type="http://schemas.openxmlformats.org/officeDocument/2006/relationships/hyperlink" Target="https://journalcontent.mediatheoryjournal.org/index.php/mt/article/view/1169" TargetMode="External"/><Relationship Id="rId135" Type="http://schemas.openxmlformats.org/officeDocument/2006/relationships/hyperlink" Target="https://www.semanticscholar.org/paper/de6436d2524ea4ad2acabaafd5c97dc4c806b3aa"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2026-01-18T20:32:36.985Z</dcterms:created>
  <dcterms:modified xsi:type="dcterms:W3CDTF">2026-01-18T20:32:36.985Z</dcterms:modified>
</cp:coreProperties>
</file>