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4640aa8c26ed6e1159588b88eb02ae096d742075.png"/>
            <a:graphic>
              <a:graphicData uri="http://schemas.openxmlformats.org/drawingml/2006/picture">
                <pic:pic>
                  <pic:nvPicPr>
                    <pic:cNvPr id="1" name="image-4640aa8c26ed6e1159588b88eb02ae096d742075.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strategic_deep_dive_ai21_labs_the_91ae67"/>
      <w:r>
        <w:rPr>
          <w:rFonts w:eastAsia="inter" w:cs="inter" w:ascii="inter" w:hAnsi="inter"/>
          <w:b/>
          <w:color w:val="000000"/>
          <w:sz w:val="39"/>
        </w:rPr>
        <w:t xml:space="preserve">Strategic Deep-Dive: AI21 Labs – The Reasoning &amp; Planning Empire (2025-2026)</w:t>
      </w:r>
      <w:bookmarkEnd w:id="0"/>
    </w:p>
    <w:p>
      <w:pPr>
        <w:spacing w:line="360" w:after="210" w:lineRule="auto"/>
      </w:pPr>
      <w:r>
        <w:rPr>
          <w:rFonts w:eastAsia="inter" w:cs="inter" w:ascii="inter" w:hAnsi="inter"/>
          <w:color w:val="000000"/>
        </w:rPr>
        <w:t xml:space="preserve">Objective: Conduct an exhaustive investigation into AI21 Labs’ transition from a model provider (LLMs) to a "Reasoning Systems" provider. We need to uncover the truth behind the NVIDIA acquisition, the efficiency of the Jamba architecture, and their enterprise "Maestro" strategy.</w:t>
      </w:r>
    </w:p>
    <w:p>
      <w:pPr>
        <w:numPr>
          <w:ilvl w:val="0"/>
          <w:numId w:val="1"/>
        </w:numPr>
        <w:spacing w:line="360" w:before="105" w:after="105" w:lineRule="auto"/>
      </w:pPr>
      <w:r>
        <w:rPr>
          <w:rFonts w:eastAsia="inter" w:cs="inter" w:ascii="inter" w:hAnsi="inter"/>
          <w:color w:val="000000"/>
          <w:sz w:val="21"/>
        </w:rPr>
        <w:t xml:space="preserve">The "NVIDIA Deal" &amp; Talent War (2025-2026):</w:t>
      </w:r>
      <w:r>
        <w:rPr>
          <w:rFonts w:eastAsia="inter" w:cs="inter" w:ascii="inter" w:hAnsi="inter"/>
          <w:color w:val="000000"/>
          <w:sz w:val="21"/>
        </w:rPr>
        <w:br w:type="textWrapping"/>
      </w:r>
      <w:r>
        <w:rPr>
          <w:rFonts w:eastAsia="inter" w:cs="inter" w:ascii="inter" w:hAnsi="inter"/>
          <w:color w:val="000000"/>
          <w:sz w:val="21"/>
        </w:rPr>
        <w:t xml:space="preserve">Search for: "AI21 Labs NVIDIA acquisition details 2026", "Amnon Shashua on AI21 sale January 2026", "NVIDIA acquihire AI21 Labs Israel".</w:t>
      </w:r>
      <w:r>
        <w:rPr>
          <w:rFonts w:eastAsia="inter" w:cs="inter" w:ascii="inter" w:hAnsi="inter"/>
          <w:color w:val="000000"/>
          <w:sz w:val="21"/>
        </w:rPr>
        <w:br w:type="textWrapping"/>
      </w:r>
      <w:r>
        <w:rPr>
          <w:rFonts w:eastAsia="inter" w:cs="inter" w:ascii="inter" w:hAnsi="inter"/>
          <w:color w:val="000000"/>
          <w:sz w:val="21"/>
        </w:rPr>
        <w:t xml:space="preserve">Goal: Investigate the $2-3B deal. Is it a pure acquisition or an "acquihire" for their 200+ researchers? How does this change their commitment to existing enterprise clients?</w:t>
      </w:r>
      <w:r>
        <w:rPr>
          <w:rFonts w:eastAsia="inter" w:cs="inter" w:ascii="inter" w:hAnsi="inter"/>
          <w:color w:val="000000"/>
          <w:sz w:val="21"/>
        </w:rPr>
        <w:br w:type="textWrapping"/>
      </w:r>
      <w:r>
        <w:rPr>
          <w:rFonts w:eastAsia="inter" w:cs="inter" w:ascii="inter" w:hAnsi="inter"/>
          <w:color w:val="000000"/>
          <w:sz w:val="21"/>
        </w:rPr>
        <w:t xml:space="preserve">Key Insight: Look for shifts in their roadmap—are they becoming a research arm for NVIDIA, or staying an independent product company?</w:t>
      </w:r>
    </w:p>
    <w:p>
      <w:pPr>
        <w:numPr>
          <w:ilvl w:val="0"/>
          <w:numId w:val="1"/>
        </w:numPr>
        <w:spacing w:line="360" w:before="105" w:after="105" w:lineRule="auto"/>
      </w:pPr>
      <w:r>
        <w:rPr>
          <w:rFonts w:eastAsia="inter" w:cs="inter" w:ascii="inter" w:hAnsi="inter"/>
          <w:color w:val="000000"/>
          <w:sz w:val="21"/>
        </w:rPr>
        <w:t xml:space="preserve">Maestro – The "AI for AI Systems" Orchestrator:</w:t>
      </w:r>
      <w:r>
        <w:rPr>
          <w:rFonts w:eastAsia="inter" w:cs="inter" w:ascii="inter" w:hAnsi="inter"/>
          <w:color w:val="000000"/>
          <w:sz w:val="21"/>
        </w:rPr>
        <w:br w:type="textWrapping"/>
      </w:r>
      <w:r>
        <w:rPr>
          <w:rFonts w:eastAsia="inter" w:cs="inter" w:ascii="inter" w:hAnsi="inter"/>
          <w:color w:val="000000"/>
          <w:sz w:val="21"/>
        </w:rPr>
        <w:t xml:space="preserve">Search for: "AI21 Maestro technical breakdown 2026", "Maestro vs LangChain for enterprise", "AI21 Maestro case studies banking healthcare".</w:t>
      </w:r>
      <w:r>
        <w:rPr>
          <w:rFonts w:eastAsia="inter" w:cs="inter" w:ascii="inter" w:hAnsi="inter"/>
          <w:color w:val="000000"/>
          <w:sz w:val="21"/>
        </w:rPr>
        <w:br w:type="textWrapping"/>
      </w:r>
      <w:r>
        <w:rPr>
          <w:rFonts w:eastAsia="inter" w:cs="inter" w:ascii="inter" w:hAnsi="inter"/>
          <w:color w:val="000000"/>
          <w:sz w:val="21"/>
        </w:rPr>
        <w:t xml:space="preserve">Goal: Maestro is their "SaaS" play. How does it improve GPT-4o or Claude 3.5 accuracy by 50%? Analyze the "Generate → Validate → Fix" loop.</w:t>
      </w:r>
      <w:r>
        <w:rPr>
          <w:rFonts w:eastAsia="inter" w:cs="inter" w:ascii="inter" w:hAnsi="inter"/>
          <w:color w:val="000000"/>
          <w:sz w:val="21"/>
        </w:rPr>
        <w:br w:type="textWrapping"/>
      </w:r>
      <w:r>
        <w:rPr>
          <w:rFonts w:eastAsia="inter" w:cs="inter" w:ascii="inter" w:hAnsi="inter"/>
          <w:color w:val="000000"/>
          <w:sz w:val="21"/>
        </w:rPr>
        <w:t xml:space="preserve">Key Insight: Look for the "Maestro Python Subset" – how does this "governance language" allow enterprises to control AI behavior without hallucinations?</w:t>
      </w:r>
    </w:p>
    <w:p>
      <w:pPr>
        <w:numPr>
          <w:ilvl w:val="0"/>
          <w:numId w:val="1"/>
        </w:numPr>
        <w:spacing w:line="360" w:before="105" w:after="105" w:lineRule="auto"/>
      </w:pPr>
      <w:r>
        <w:rPr>
          <w:rFonts w:eastAsia="inter" w:cs="inter" w:ascii="inter" w:hAnsi="inter"/>
          <w:color w:val="000000"/>
          <w:sz w:val="21"/>
        </w:rPr>
        <w:t xml:space="preserve">Jamba Architecture – The Efficiency Moat:</w:t>
      </w:r>
      <w:r>
        <w:rPr>
          <w:rFonts w:eastAsia="inter" w:cs="inter" w:ascii="inter" w:hAnsi="inter"/>
          <w:color w:val="000000"/>
          <w:sz w:val="21"/>
        </w:rPr>
        <w:br w:type="textWrapping"/>
      </w:r>
      <w:r>
        <w:rPr>
          <w:rFonts w:eastAsia="inter" w:cs="inter" w:ascii="inter" w:hAnsi="inter"/>
          <w:color w:val="000000"/>
          <w:sz w:val="21"/>
        </w:rPr>
        <w:t xml:space="preserve">Search for: "AI21 Jamba 2.0 vs Llama 4 benchmarks", "Jamba 256K context window enterprise use cases", "Mamba-Transformer hybrid performance 2026".</w:t>
      </w:r>
      <w:r>
        <w:rPr>
          <w:rFonts w:eastAsia="inter" w:cs="inter" w:ascii="inter" w:hAnsi="inter"/>
          <w:color w:val="000000"/>
          <w:sz w:val="21"/>
        </w:rPr>
        <w:br w:type="textWrapping"/>
      </w:r>
      <w:r>
        <w:rPr>
          <w:rFonts w:eastAsia="inter" w:cs="inter" w:ascii="inter" w:hAnsi="inter"/>
          <w:color w:val="000000"/>
          <w:sz w:val="21"/>
        </w:rPr>
        <w:t xml:space="preserve">Goal: Jamba is their "secret engine." Why is it 2.5x faster and 10x more memory-efficient than Llama-3?</w:t>
      </w:r>
      <w:r>
        <w:rPr>
          <w:rFonts w:eastAsia="inter" w:cs="inter" w:ascii="inter" w:hAnsi="inter"/>
          <w:color w:val="000000"/>
          <w:sz w:val="21"/>
        </w:rPr>
        <w:br w:type="textWrapping"/>
      </w:r>
      <w:r>
        <w:rPr>
          <w:rFonts w:eastAsia="inter" w:cs="inter" w:ascii="inter" w:hAnsi="inter"/>
          <w:color w:val="000000"/>
          <w:sz w:val="21"/>
        </w:rPr>
        <w:t xml:space="preserve">Key Insight: Focus on the Long-Context advantage—how does analyzing 800 pages in one go (10-K filings, clinical trials) beat competitors?</w:t>
      </w:r>
    </w:p>
    <w:p>
      <w:pPr>
        <w:numPr>
          <w:ilvl w:val="0"/>
          <w:numId w:val="1"/>
        </w:numPr>
        <w:spacing w:line="360" w:before="105" w:after="105" w:lineRule="auto"/>
      </w:pPr>
      <w:r>
        <w:rPr>
          <w:rFonts w:eastAsia="inter" w:cs="inter" w:ascii="inter" w:hAnsi="inter"/>
          <w:color w:val="000000"/>
          <w:sz w:val="21"/>
        </w:rPr>
        <w:t xml:space="preserve">The "Neurosymbolic" Wrapper (Reliability Strategy):</w:t>
      </w:r>
      <w:r>
        <w:rPr>
          <w:rFonts w:eastAsia="inter" w:cs="inter" w:ascii="inter" w:hAnsi="inter"/>
          <w:color w:val="000000"/>
          <w:sz w:val="21"/>
        </w:rPr>
        <w:br w:type="textWrapping"/>
      </w:r>
      <w:r>
        <w:rPr>
          <w:rFonts w:eastAsia="inter" w:cs="inter" w:ascii="inter" w:hAnsi="inter"/>
          <w:color w:val="000000"/>
          <w:sz w:val="21"/>
        </w:rPr>
        <w:t xml:space="preserve">Search for: "AI21 Labs Neurosymbolic AI strategy 2026", "Amnon Shashua Reasoning vs Pattern Recognition", "AI21 zero-hallucination enterprise deployments".</w:t>
      </w:r>
      <w:r>
        <w:rPr>
          <w:rFonts w:eastAsia="inter" w:cs="inter" w:ascii="inter" w:hAnsi="inter"/>
          <w:color w:val="000000"/>
          <w:sz w:val="21"/>
        </w:rPr>
        <w:br w:type="textWrapping"/>
      </w:r>
      <w:r>
        <w:rPr>
          <w:rFonts w:eastAsia="inter" w:cs="inter" w:ascii="inter" w:hAnsi="inter"/>
          <w:color w:val="000000"/>
          <w:sz w:val="21"/>
        </w:rPr>
        <w:t xml:space="preserve">Goal: AI21 markets "Logic + Statistics." How do they bake "Business Rules" into the AI?</w:t>
      </w:r>
      <w:r>
        <w:rPr>
          <w:rFonts w:eastAsia="inter" w:cs="inter" w:ascii="inter" w:hAnsi="inter"/>
          <w:color w:val="000000"/>
          <w:sz w:val="21"/>
        </w:rPr>
        <w:br w:type="textWrapping"/>
      </w:r>
      <w:r>
        <w:rPr>
          <w:rFonts w:eastAsia="inter" w:cs="inter" w:ascii="inter" w:hAnsi="inter"/>
          <w:color w:val="000000"/>
          <w:sz w:val="21"/>
        </w:rPr>
        <w:t xml:space="preserve">Key Insight: This is their winning pitch against "Black Box" models. Find evidence of "Reasoning-as-a-Service."</w:t>
      </w:r>
    </w:p>
    <w:p>
      <w:pPr>
        <w:numPr>
          <w:ilvl w:val="0"/>
          <w:numId w:val="1"/>
        </w:numPr>
        <w:spacing w:line="360" w:before="105" w:after="105" w:lineRule="auto"/>
      </w:pPr>
      <w:r>
        <w:rPr>
          <w:rFonts w:eastAsia="inter" w:cs="inter" w:ascii="inter" w:hAnsi="inter"/>
          <w:color w:val="000000"/>
          <w:sz w:val="21"/>
        </w:rPr>
        <w:t xml:space="preserve">Enterprise Dominance &amp; Local Presence:</w:t>
      </w:r>
      <w:r>
        <w:rPr>
          <w:rFonts w:eastAsia="inter" w:cs="inter" w:ascii="inter" w:hAnsi="inter"/>
          <w:color w:val="000000"/>
          <w:sz w:val="21"/>
        </w:rPr>
        <w:br w:type="textWrapping"/>
      </w:r>
      <w:r>
        <w:rPr>
          <w:rFonts w:eastAsia="inter" w:cs="inter" w:ascii="inter" w:hAnsi="inter"/>
          <w:color w:val="000000"/>
          <w:sz w:val="21"/>
        </w:rPr>
        <w:t xml:space="preserve">Search for: "AI21 Labs and </w:t>
      </w:r>
      <w:hyperlink r:id="rId6">
        <w:r>
          <w:rPr>
            <w:rFonts w:eastAsia="inter" w:cs="inter" w:ascii="inter" w:hAnsi="inter"/>
            <w:color w:val="#000"/>
            <w:sz w:val="21"/>
            <w:u w:val="single"/>
          </w:rPr>
          <w:t xml:space="preserve">monday.com</w:t>
        </w:r>
      </w:hyperlink>
      <w:r>
        <w:rPr>
          <w:rFonts w:eastAsia="inter" w:cs="inter" w:ascii="inter" w:hAnsi="inter"/>
          <w:color w:val="000000"/>
          <w:sz w:val="21"/>
        </w:rPr>
        <w:t xml:space="preserve"> AI blocks", "AI21 Labs eBay and Wix case studies 2025", "AI21 on AWS Bedrock Israel region".</w:t>
      </w:r>
      <w:r>
        <w:rPr>
          <w:rFonts w:eastAsia="inter" w:cs="inter" w:ascii="inter" w:hAnsi="inter"/>
          <w:color w:val="000000"/>
          <w:sz w:val="21"/>
        </w:rPr>
        <w:br w:type="textWrapping"/>
      </w:r>
      <w:r>
        <w:rPr>
          <w:rFonts w:eastAsia="inter" w:cs="inter" w:ascii="inter" w:hAnsi="inter"/>
          <w:color w:val="000000"/>
          <w:sz w:val="21"/>
        </w:rPr>
        <w:t xml:space="preserve">Goal: Identify their "Blue Chip" clients. Why did </w:t>
      </w:r>
      <w:hyperlink r:id="rId7">
        <w:r>
          <w:rPr>
            <w:rFonts w:eastAsia="inter" w:cs="inter" w:ascii="inter" w:hAnsi="inter"/>
            <w:color w:val="#000"/>
            <w:sz w:val="21"/>
            <w:u w:val="single"/>
          </w:rPr>
          <w:t xml:space="preserve">monday.com</w:t>
        </w:r>
      </w:hyperlink>
      <w:r>
        <w:rPr>
          <w:rFonts w:eastAsia="inter" w:cs="inter" w:ascii="inter" w:hAnsi="inter"/>
          <w:color w:val="000000"/>
          <w:sz w:val="21"/>
        </w:rPr>
        <w:t xml:space="preserve"> or eBay choose AI21 over OpenAI? Is it the VPC (Virtual Private Cloud) deployment?</w:t>
      </w:r>
      <w:r>
        <w:rPr>
          <w:rFonts w:eastAsia="inter" w:cs="inter" w:ascii="inter" w:hAnsi="inter"/>
          <w:color w:val="000000"/>
          <w:sz w:val="21"/>
        </w:rPr>
        <w:br w:type="textWrapping"/>
      </w:r>
      <w:r>
        <w:rPr>
          <w:rFonts w:eastAsia="inter" w:cs="inter" w:ascii="inter" w:hAnsi="inter"/>
          <w:color w:val="000000"/>
          <w:sz w:val="21"/>
        </w:rPr>
        <w:t xml:space="preserve">Output Requirements:</w:t>
      </w:r>
      <w:r>
        <w:rPr>
          <w:rFonts w:eastAsia="inter" w:cs="inter" w:ascii="inter" w:hAnsi="inter"/>
          <w:color w:val="000000"/>
          <w:sz w:val="21"/>
        </w:rPr>
        <w:br w:type="textWrapping"/>
      </w:r>
      <w:r>
        <w:rPr>
          <w:rFonts w:eastAsia="inter" w:cs="inter" w:ascii="inter" w:hAnsi="inter"/>
          <w:color w:val="000000"/>
          <w:sz w:val="21"/>
        </w:rPr>
        <w:t xml:space="preserve">The Reasoning Asset: Technical details on Maestro and Jamba.</w:t>
      </w:r>
      <w:r>
        <w:rPr>
          <w:rFonts w:eastAsia="inter" w:cs="inter" w:ascii="inter" w:hAnsi="inter"/>
          <w:color w:val="000000"/>
          <w:sz w:val="21"/>
        </w:rPr>
        <w:br w:type="textWrapping"/>
      </w:r>
      <w:r>
        <w:rPr>
          <w:rFonts w:eastAsia="inter" w:cs="inter" w:ascii="inter" w:hAnsi="inter"/>
          <w:color w:val="000000"/>
          <w:sz w:val="21"/>
        </w:rPr>
        <w:t xml:space="preserve">The "Mobileye" Pitch: How they use "Safety and Reliability" to win regulated industries.</w:t>
      </w:r>
      <w:r>
        <w:rPr>
          <w:rFonts w:eastAsia="inter" w:cs="inter" w:ascii="inter" w:hAnsi="inter"/>
          <w:color w:val="000000"/>
          <w:sz w:val="21"/>
        </w:rPr>
        <w:br w:type="textWrapping"/>
      </w:r>
      <w:r>
        <w:rPr>
          <w:rFonts w:eastAsia="inter" w:cs="inter" w:ascii="inter" w:hAnsi="inter"/>
          <w:color w:val="000000"/>
          <w:sz w:val="21"/>
        </w:rPr>
        <w:t xml:space="preserve">The Exit Reality: Impact of the NVIDIA deal on their product availability.</w:t>
      </w:r>
      <w:r>
        <w:rPr>
          <w:rFonts w:eastAsia="inter" w:cs="inter" w:ascii="inter" w:hAnsi="inter"/>
          <w:color w:val="000000"/>
          <w:sz w:val="21"/>
        </w:rPr>
        <w:br w:type="textWrapping"/>
      </w:r>
      <w:r>
        <w:rPr>
          <w:rFonts w:eastAsia="inter" w:cs="inter" w:ascii="inter" w:hAnsi="inter"/>
          <w:color w:val="000000"/>
          <w:sz w:val="21"/>
        </w:rPr>
        <w:t xml:space="preserve">The "Wrapper" vs. Custom Dev: How Maestro makes custom "Agent" coding faster (or redundant).</w:t>
      </w:r>
    </w:p>
    <w:p>
      <w:pPr>
        <w:spacing w:line="360" w:after="210" w:lineRule="auto"/>
      </w:pPr>
      <w:r>
        <w:rPr>
          <w:rFonts w:eastAsia="inter" w:cs="inter" w:ascii="inter" w:hAnsi="inter"/>
          <w:color w:val="000000"/>
        </w:rPr>
        <w:t xml:space="preserve">Now I'll generate the comprehensive report.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 w:name="strategic_deep_dive_ai21_labs_the_bb6e74"/>
      <w:r>
        <w:rPr>
          <w:rFonts w:eastAsia="inter" w:cs="inter" w:ascii="inter" w:hAnsi="inter"/>
          <w:b/>
          <w:color w:val="000000"/>
          <w:sz w:val="39"/>
        </w:rPr>
        <w:t xml:space="preserve">Strategic Deep-Dive: AI21 Labs – The Reasoning &amp; Planning Empire (2025-2026)</w:t>
      </w:r>
      <w:bookmarkEnd w:id="1"/>
    </w:p>
    <w:p>
      <w:pPr>
        <w:spacing w:line="360" w:before="315" w:after="105" w:lineRule="auto"/>
        <w:ind w:left="-30"/>
        <w:jc w:val="left"/>
      </w:pPr>
      <w:bookmarkStart w:id="2" w:name="executive_summary"/>
      <w:r>
        <w:rPr>
          <w:rFonts w:eastAsia="inter" w:cs="inter" w:ascii="inter" w:hAnsi="inter"/>
          <w:b/>
          <w:color w:val="000000"/>
          <w:sz w:val="24"/>
        </w:rPr>
        <w:t xml:space="preserve">Executive Summary</w:t>
      </w:r>
      <w:bookmarkEnd w:id="2"/>
    </w:p>
    <w:p>
      <w:pPr>
        <w:spacing w:line="360" w:after="210" w:lineRule="auto"/>
      </w:pPr>
      <w:r>
        <w:rPr>
          <w:rFonts w:eastAsia="inter" w:cs="inter" w:ascii="inter" w:hAnsi="inter"/>
          <w:color w:val="000000"/>
        </w:rPr>
        <w:t xml:space="preserve">AI21 Labs represents a strategic reorientation from generalist LLM competition toward enterprise-focused "Reasoning Systems" orchestration. The company's trajectory reveals a calculated pivot away from consumer-facing products (Wordtune shutdown, April 2025) toward proprietary Maestro platform and the Jamba hybrid architecture. Against a backdrop of stalled fundraising ($300M Series D unconfirmed), flat revenue (~$50M annually), and declining headcount (260→200), Amnon Shashua's venture now faces an existential fork: acquisition by NVIDIA as an "acquihire" for 200+ elite researchers, or continued independence as a specialized enterprise AI systems provider. The NVIDIA talks, confirmed by Shashua as preliminary (January 7, 2026) but officially denied by AI21 (January 11, 2026), signal both opportunity and desperation.</w:t>
      </w:r>
      <w:bookmarkStart w:id="3" w:name="fnref1"/>
      <w:bookmarkEnd w:id="3"/>
      <w:hyperlink w:anchor="fn1">
        <w:r>
          <w:rPr>
            <w:rFonts w:eastAsia="inter" w:cs="inter" w:ascii="inter" w:hAnsi="inter"/>
            <w:color w:val="#000"/>
            <w:u w:val="single"/>
            <w:vertAlign w:val="superscript"/>
          </w:rPr>
          <w:t xml:space="preserve">[1]</w:t>
        </w:r>
      </w:hyperlink>
      <w:bookmarkStart w:id="4" w:name="fnref2"/>
      <w:bookmarkEnd w:id="4"/>
      <w:hyperlink w:anchor="fn2">
        <w:r>
          <w:rPr>
            <w:rFonts w:eastAsia="inter" w:cs="inter" w:ascii="inter" w:hAnsi="inter"/>
            <w:color w:val="#000"/>
            <w:u w:val="single"/>
            <w:vertAlign w:val="superscript"/>
          </w:rPr>
          <w:t xml:space="preserve">[2]</w:t>
        </w:r>
      </w:hyperlink>
      <w:bookmarkStart w:id="5" w:name="fnref3"/>
      <w:bookmarkEnd w:id="5"/>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color w:val="000000"/>
        </w:rPr>
        <w:t xml:space="preserve">This report dissects four critical dimensions: the NVIDIA acquisition dynamics and talent consolidation strategy; Maestro's legitimacy as a differentiated SaaS platform; Jamba's efficiency moat and long-context superiority; and the neurosymbolic reliability pitch that positions AI21 as the enterprise "safety" alternative to black-box model providers.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part_1_the_nvidia_deal_strategic_2929b1"/>
      <w:r>
        <w:rPr>
          <w:rFonts w:eastAsia="inter" w:cs="inter" w:ascii="inter" w:hAnsi="inter"/>
          <w:b/>
          <w:color w:val="000000"/>
          <w:sz w:val="24"/>
        </w:rPr>
        <w:t xml:space="preserve">Part 1: The NVIDIA Deal &amp; Strategic Talent Consolidation</w:t>
      </w:r>
      <w:bookmarkEnd w:id="6"/>
    </w:p>
    <w:p>
      <w:pPr>
        <w:spacing w:line="360" w:before="315" w:after="105" w:lineRule="auto"/>
        <w:ind w:left="-30"/>
        <w:jc w:val="left"/>
      </w:pPr>
      <w:bookmarkStart w:id="7" w:name="deal_status_preliminary_talks_no_16ed51"/>
      <w:r>
        <w:rPr>
          <w:rFonts w:eastAsia="inter" w:cs="inter" w:ascii="inter" w:hAnsi="inter"/>
          <w:b/>
          <w:color w:val="000000"/>
          <w:sz w:val="24"/>
        </w:rPr>
        <w:t xml:space="preserve">Deal Status: Preliminary Talks, No Imminent Closure</w:t>
      </w:r>
      <w:bookmarkEnd w:id="7"/>
    </w:p>
    <w:p>
      <w:pPr>
        <w:spacing w:line="360" w:after="210" w:lineRule="auto"/>
      </w:pPr>
      <w:r>
        <w:rPr>
          <w:rFonts w:eastAsia="inter" w:cs="inter" w:ascii="inter" w:hAnsi="inter"/>
          <w:color w:val="000000"/>
        </w:rPr>
        <w:t xml:space="preserve">The reported $2-3 billion NVIDIA acquisition represents a 40-100% premium over AI21's last confirmed valuation ($1.4B in November 2023). However, the current deal structure remains fundamentally different from a traditional technology acquisition. Shashua's January 7 confirmation that "talks with Nvidia, there are talks with others, but nothing even close to talking about it in the press" establishes a holding pattern rather than imminent transaction. AI21's official January 11 denial that "reports are incorrect" and "the company has not held discussions with Nvidia about an acquisition" creates tactical ambiguity—consistent with legal counsel guidance during negotiations.</w:t>
      </w:r>
      <w:bookmarkStart w:id="8" w:name="fnref1_1"/>
      <w:bookmarkEnd w:id="8"/>
      <w:hyperlink w:anchor="fn1">
        <w:r>
          <w:rPr>
            <w:rFonts w:eastAsia="inter" w:cs="inter" w:ascii="inter" w:hAnsi="inter"/>
            <w:color w:val="#000"/>
            <w:u w:val="single"/>
            <w:vertAlign w:val="superscript"/>
          </w:rPr>
          <w:t xml:space="preserve">[1]</w:t>
        </w:r>
      </w:hyperlink>
      <w:bookmarkStart w:id="9" w:name="fnref2_1"/>
      <w:bookmarkEnd w:id="9"/>
      <w:hyperlink w:anchor="fn2">
        <w:r>
          <w:rPr>
            <w:rFonts w:eastAsia="inter" w:cs="inter" w:ascii="inter" w:hAnsi="inter"/>
            <w:color w:val="#000"/>
            <w:u w:val="single"/>
            <w:vertAlign w:val="superscript"/>
          </w:rPr>
          <w:t xml:space="preserve">[2]</w:t>
        </w:r>
      </w:hyperlink>
      <w:bookmarkStart w:id="10" w:name="fnref3_1"/>
      <w:bookmarkEnd w:id="10"/>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The Critical Truth</w:t>
      </w:r>
      <w:r>
        <w:rPr>
          <w:rFonts w:eastAsia="inter" w:cs="inter" w:ascii="inter" w:hAnsi="inter"/>
          <w:color w:val="000000"/>
        </w:rPr>
        <w:t xml:space="preserve">: The failed $300M Series D (2025) created negotiating leverage asymmetry. Industry reports indicate Google and NVIDIA intended to co-lead this round but withdrew, leaving AI21 without fresh capital and forcing a strategic recalibration toward acquisitions or partnerships.</w:t>
      </w:r>
      <w:bookmarkStart w:id="11" w:name="fnref4"/>
      <w:bookmarkEnd w:id="11"/>
      <w:hyperlink w:anchor="fn4">
        <w:r>
          <w:rPr>
            <w:rFonts w:eastAsia="inter" w:cs="inter" w:ascii="inter" w:hAnsi="inter"/>
            <w:color w:val="#000"/>
            <w:u w:val="single"/>
            <w:vertAlign w:val="superscript"/>
          </w:rPr>
          <w:t xml:space="preserve">[4]</w:t>
        </w:r>
      </w:hyperlink>
    </w:p>
    <w:p>
      <w:pPr>
        <w:spacing w:line="360" w:before="315" w:after="105" w:lineRule="auto"/>
        <w:ind w:left="-30"/>
        <w:jc w:val="left"/>
      </w:pPr>
      <w:bookmarkStart w:id="12" w:name="acquihire_economics_10_15m_per_re_cb9cf9"/>
      <w:r>
        <w:rPr>
          <w:rFonts w:eastAsia="inter" w:cs="inter" w:ascii="inter" w:hAnsi="inter"/>
          <w:b/>
          <w:color w:val="000000"/>
          <w:sz w:val="24"/>
        </w:rPr>
        <w:t xml:space="preserve">Acquihire Economics: $10-15M Per Researcher</w:t>
      </w:r>
      <w:bookmarkEnd w:id="12"/>
    </w:p>
    <w:p>
      <w:pPr>
        <w:spacing w:line="360" w:after="210" w:lineRule="auto"/>
      </w:pPr>
      <w:r>
        <w:rPr>
          <w:rFonts w:eastAsia="inter" w:cs="inter" w:ascii="inter" w:hAnsi="inter"/>
          <w:color w:val="000000"/>
        </w:rPr>
        <w:t xml:space="preserve">The transaction's primary value lies not in technology transfer but in talent consolidation. NVIDIA's interest targets approximately 200 employees—predominantly PhD-level researchers with "rare expertise in AI development." At a $2-3B valuation, this implies $10-15M per employee, representing a strategic premium for expertise acquisition rather than product market fit.</w:t>
      </w:r>
      <w:bookmarkStart w:id="13" w:name="fnref2_2"/>
      <w:bookmarkEnd w:id="13"/>
      <w:hyperlink w:anchor="fn2">
        <w:r>
          <w:rPr>
            <w:rFonts w:eastAsia="inter" w:cs="inter" w:ascii="inter" w:hAnsi="inter"/>
            <w:color w:val="#000"/>
            <w:u w:val="single"/>
            <w:vertAlign w:val="superscript"/>
          </w:rPr>
          <w:t xml:space="preserve">[2]</w:t>
        </w:r>
      </w:hyperlink>
      <w:bookmarkStart w:id="14" w:name="fnref5"/>
      <w:bookmarkEnd w:id="14"/>
      <w:hyperlink w:anchor="fn5">
        <w:r>
          <w:rPr>
            <w:rFonts w:eastAsia="inter" w:cs="inter" w:ascii="inter" w:hAnsi="inter"/>
            <w:color w:val="#000"/>
            <w:u w:val="single"/>
            <w:vertAlign w:val="superscript"/>
          </w:rPr>
          <w:t xml:space="preserve">[5]</w:t>
        </w:r>
      </w:hyperlink>
      <w:bookmarkStart w:id="15" w:name="fnref6"/>
      <w:bookmarkEnd w:id="15"/>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NVIDIA's Strategic Context:</w:t>
      </w:r>
    </w:p>
    <w:p>
      <w:pPr>
        <w:numPr>
          <w:ilvl w:val="0"/>
          <w:numId w:val="2"/>
        </w:numPr>
        <w:spacing w:line="360" w:before="105" w:after="105" w:lineRule="auto"/>
      </w:pPr>
      <w:r>
        <w:rPr>
          <w:rFonts w:eastAsia="inter" w:cs="inter" w:ascii="inter" w:hAnsi="inter"/>
          <w:color w:val="000000"/>
          <w:sz w:val="21"/>
        </w:rPr>
        <w:t xml:space="preserve">Fourth Israeli acquisition (Deci ~$150M, Run:ai ~$150M in 2023; now AI21)</w:t>
      </w:r>
    </w:p>
    <w:p>
      <w:pPr>
        <w:numPr>
          <w:ilvl w:val="0"/>
          <w:numId w:val="2"/>
        </w:numPr>
        <w:spacing w:line="360" w:before="105" w:after="105" w:lineRule="auto"/>
      </w:pPr>
      <w:r>
        <w:rPr>
          <w:rFonts w:eastAsia="inter" w:cs="inter" w:ascii="inter" w:hAnsi="inter"/>
          <w:color w:val="000000"/>
          <w:sz w:val="21"/>
        </w:rPr>
        <w:t xml:space="preserve">Second-largest after Mellanox ($7B, 2020)</w:t>
      </w:r>
    </w:p>
    <w:p>
      <w:pPr>
        <w:numPr>
          <w:ilvl w:val="0"/>
          <w:numId w:val="2"/>
        </w:numPr>
        <w:spacing w:line="360" w:before="105" w:after="105" w:lineRule="auto"/>
      </w:pPr>
      <w:r>
        <w:rPr>
          <w:rFonts w:eastAsia="inter" w:cs="inter" w:ascii="inter" w:hAnsi="inter"/>
          <w:color w:val="000000"/>
          <w:sz w:val="21"/>
        </w:rPr>
        <w:t xml:space="preserve">CEO Jensen Huang positioning Israel as "second home" with planned Kiryat Tivon R&amp;D campus (10,000 employees by 2031)</w:t>
      </w:r>
      <w:bookmarkStart w:id="16" w:name="fnref7"/>
      <w:bookmarkEnd w:id="16"/>
      <w:hyperlink w:anchor="fn7">
        <w:r>
          <w:rPr>
            <w:rFonts w:eastAsia="inter" w:cs="inter" w:ascii="inter" w:hAnsi="inter"/>
            <w:color w:val="#000"/>
            <w:sz w:val="21"/>
            <w:u w:val="single"/>
            <w:vertAlign w:val="superscript"/>
          </w:rPr>
          <w:t xml:space="preserve">[7]</w:t>
        </w:r>
      </w:hyperlink>
      <w:bookmarkStart w:id="17" w:name="fnref8"/>
      <w:bookmarkEnd w:id="17"/>
      <w:hyperlink w:anchor="fn8">
        <w:r>
          <w:rPr>
            <w:rFonts w:eastAsia="inter" w:cs="inter" w:ascii="inter" w:hAnsi="inter"/>
            <w:color w:val="#000"/>
            <w:sz w:val="21"/>
            <w:u w:val="single"/>
            <w:vertAlign w:val="superscript"/>
          </w:rPr>
          <w:t xml:space="preserve">[8]</w:t>
        </w:r>
      </w:hyperlink>
    </w:p>
    <w:p>
      <w:pPr>
        <w:numPr>
          <w:ilvl w:val="0"/>
          <w:numId w:val="2"/>
        </w:numPr>
        <w:spacing w:line="360" w:before="105" w:after="105" w:lineRule="auto"/>
      </w:pPr>
      <w:r>
        <w:rPr>
          <w:rFonts w:eastAsia="inter" w:cs="inter" w:ascii="inter" w:hAnsi="inter"/>
          <w:color w:val="000000"/>
          <w:sz w:val="21"/>
        </w:rPr>
        <w:t xml:space="preserve">Complements NVIDIA's January 2026 $20B Groq licensing deal (inference optimization) with reasoning and planning capabilities</w:t>
      </w:r>
    </w:p>
    <w:p>
      <w:pPr>
        <w:spacing w:line="360" w:after="210" w:lineRule="auto"/>
      </w:pPr>
      <w:r>
        <w:rPr>
          <w:rFonts w:eastAsia="inter" w:cs="inter" w:ascii="inter" w:hAnsi="inter"/>
          <w:b/>
          <w:color w:val="000000"/>
        </w:rPr>
        <w:t xml:space="preserve">Talent Retention Risk</w:t>
      </w:r>
      <w:r>
        <w:rPr>
          <w:rFonts w:eastAsia="inter" w:cs="inter" w:ascii="inter" w:hAnsi="inter"/>
          <w:color w:val="000000"/>
        </w:rPr>
        <w:t xml:space="preserve">: An acquihire structure historically leads to 30-40% attrition post-close as researchers pursue independent ventures (evident in Shashua's concurrent AAI Technologies stealth launch, founded August 2023 with "tens of millions" in funding to build Large Reasoning Models).</w:t>
      </w:r>
      <w:bookmarkStart w:id="18" w:name="fnref9"/>
      <w:bookmarkEnd w:id="18"/>
      <w:hyperlink w:anchor="fn9">
        <w:r>
          <w:rPr>
            <w:rFonts w:eastAsia="inter" w:cs="inter" w:ascii="inter" w:hAnsi="inter"/>
            <w:color w:val="#000"/>
            <w:u w:val="single"/>
            <w:vertAlign w:val="superscript"/>
          </w:rPr>
          <w:t xml:space="preserve">[9]</w:t>
        </w:r>
      </w:hyperlink>
    </w:p>
    <w:p>
      <w:pPr>
        <w:spacing w:line="360" w:before="315" w:after="105" w:lineRule="auto"/>
        <w:ind w:left="-30"/>
        <w:jc w:val="left"/>
      </w:pPr>
      <w:bookmarkStart w:id="19" w:name="competitor_acquisition_patterns"/>
      <w:r>
        <w:rPr>
          <w:rFonts w:eastAsia="inter" w:cs="inter" w:ascii="inter" w:hAnsi="inter"/>
          <w:b/>
          <w:color w:val="000000"/>
          <w:sz w:val="24"/>
        </w:rPr>
        <w:t xml:space="preserve">Competitor Acquisition Patterns</w:t>
      </w:r>
      <w:bookmarkEnd w:id="19"/>
    </w:p>
    <w:p>
      <w:pPr>
        <w:spacing w:line="360" w:after="210" w:lineRule="auto"/>
      </w:pPr>
      <w:r>
        <w:rPr>
          <w:rFonts w:eastAsia="inter" w:cs="inter" w:ascii="inter" w:hAnsi="inter"/>
          <w:color w:val="000000"/>
        </w:rPr>
        <w:t xml:space="preserve">Google previously explored acquisition but did not proceed. The 2023 Series C round included both Google and NVIDIA as investors, providing windows into IP assessment. Their withdrawal from the $300M Series D signals re-evaluation of AI21's market trajectory versus internal reasoning model development (Google's Gemini 2.5 Pro, Q-Star research teams).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part_2_maestro_the_enterprise_age_3a04de"/>
      <w:r>
        <w:rPr>
          <w:rFonts w:eastAsia="inter" w:cs="inter" w:ascii="inter" w:hAnsi="inter"/>
          <w:b/>
          <w:color w:val="000000"/>
          <w:sz w:val="24"/>
        </w:rPr>
        <w:t xml:space="preserve">Part 2: Maestro – The Enterprise Agent Orchestration Platform</w:t>
      </w:r>
      <w:bookmarkEnd w:id="20"/>
    </w:p>
    <w:p>
      <w:pPr>
        <w:spacing w:line="360" w:before="315" w:after="105" w:lineRule="auto"/>
        <w:ind w:left="-30"/>
        <w:jc w:val="left"/>
      </w:pPr>
      <w:bookmarkStart w:id="21" w:name="product_architecture_core_claim"/>
      <w:r>
        <w:rPr>
          <w:rFonts w:eastAsia="inter" w:cs="inter" w:ascii="inter" w:hAnsi="inter"/>
          <w:b/>
          <w:color w:val="000000"/>
          <w:sz w:val="24"/>
        </w:rPr>
        <w:t xml:space="preserve">Product Architecture &amp; Core Claim</w:t>
      </w:r>
      <w:bookmarkEnd w:id="21"/>
    </w:p>
    <w:p>
      <w:pPr>
        <w:spacing w:line="360" w:after="210" w:lineRule="auto"/>
      </w:pPr>
      <w:r>
        <w:rPr>
          <w:rFonts w:eastAsia="inter" w:cs="inter" w:ascii="inter" w:hAnsi="inter"/>
          <w:color w:val="000000"/>
        </w:rPr>
        <w:t xml:space="preserve">Maestro is positioned as the world's first "AI Planning and Orchestration System" designed to operate as a governance layer above existing LLMs or reasoning models. The platform claims to increase GPT-4o and Claude Sonnet 3.5 accuracy by up to 50% on complex multi-requirement tasks, with reasoning models like o3-mini reaching 95% accuracy.</w:t>
      </w:r>
      <w:bookmarkStart w:id="22" w:name="fnref10"/>
      <w:bookmarkEnd w:id="22"/>
      <w:hyperlink w:anchor="fn10">
        <w:r>
          <w:rPr>
            <w:rFonts w:eastAsia="inter" w:cs="inter" w:ascii="inter" w:hAnsi="inter"/>
            <w:color w:val="#000"/>
            <w:u w:val="single"/>
            <w:vertAlign w:val="superscript"/>
          </w:rPr>
          <w:t xml:space="preserve">[10]</w:t>
        </w:r>
      </w:hyperlink>
    </w:p>
    <w:p>
      <w:pPr>
        <w:spacing w:line="360" w:after="210" w:lineRule="auto"/>
      </w:pPr>
      <w:r>
        <w:rPr>
          <w:rFonts w:eastAsia="inter" w:cs="inter" w:ascii="inter" w:hAnsi="inter"/>
          <w:b/>
          <w:color w:val="000000"/>
        </w:rPr>
        <w:t xml:space="preserve">Technical Foundation (AIPOS - AI Planning and Orchestration System):</w:t>
      </w:r>
    </w:p>
    <w:p>
      <w:pPr>
        <w:numPr>
          <w:ilvl w:val="0"/>
          <w:numId w:val="3"/>
        </w:numPr>
        <w:spacing w:line="360" w:before="105" w:after="105" w:lineRule="auto"/>
      </w:pPr>
      <w:r>
        <w:rPr>
          <w:rFonts w:eastAsia="inter" w:cs="inter" w:ascii="inter" w:hAnsi="inter"/>
          <w:color w:val="000000"/>
          <w:sz w:val="21"/>
        </w:rPr>
        <w:t xml:space="preserve">Automatic inference scaling with parallel path execution</w:t>
      </w:r>
    </w:p>
    <w:p>
      <w:pPr>
        <w:numPr>
          <w:ilvl w:val="0"/>
          <w:numId w:val="3"/>
        </w:numPr>
        <w:spacing w:line="360" w:before="105" w:after="105" w:lineRule="auto"/>
      </w:pPr>
      <w:r>
        <w:rPr>
          <w:rFonts w:eastAsia="inter" w:cs="inter" w:ascii="inter" w:hAnsi="inter"/>
          <w:color w:val="000000"/>
          <w:sz w:val="21"/>
        </w:rPr>
        <w:t xml:space="preserve">Built-in validation and error correction at each execution step</w:t>
      </w:r>
    </w:p>
    <w:p>
      <w:pPr>
        <w:numPr>
          <w:ilvl w:val="0"/>
          <w:numId w:val="3"/>
        </w:numPr>
        <w:spacing w:line="360" w:before="105" w:after="105" w:lineRule="auto"/>
      </w:pPr>
      <w:r>
        <w:rPr>
          <w:rFonts w:eastAsia="inter" w:cs="inter" w:ascii="inter" w:hAnsi="inter"/>
          <w:color w:val="000000"/>
          <w:sz w:val="21"/>
        </w:rPr>
        <w:t xml:space="preserve">Visual execution graphs for transparency and debugging</w:t>
      </w:r>
    </w:p>
    <w:p>
      <w:pPr>
        <w:numPr>
          <w:ilvl w:val="0"/>
          <w:numId w:val="3"/>
        </w:numPr>
        <w:spacing w:line="360" w:before="105" w:after="105" w:lineRule="auto"/>
      </w:pPr>
      <w:r>
        <w:rPr>
          <w:rFonts w:eastAsia="inter" w:cs="inter" w:ascii="inter" w:hAnsi="inter"/>
          <w:color w:val="000000"/>
          <w:sz w:val="21"/>
        </w:rPr>
        <w:t xml:space="preserve">Cost and latency budget optimization</w:t>
      </w:r>
    </w:p>
    <w:p>
      <w:pPr>
        <w:numPr>
          <w:ilvl w:val="0"/>
          <w:numId w:val="3"/>
        </w:numPr>
        <w:spacing w:line="360" w:before="105" w:after="105" w:lineRule="auto"/>
      </w:pPr>
      <w:r>
        <w:rPr>
          <w:rFonts w:eastAsia="inter" w:cs="inter" w:ascii="inter" w:hAnsi="inter"/>
          <w:color w:val="000000"/>
          <w:sz w:val="21"/>
        </w:rPr>
        <w:t xml:space="preserve">Real-time adaptation to enterprise data environments</w:t>
      </w:r>
    </w:p>
    <w:p>
      <w:pPr>
        <w:spacing w:line="360" w:before="315" w:after="105" w:lineRule="auto"/>
        <w:ind w:left="-30"/>
        <w:jc w:val="left"/>
      </w:pPr>
      <w:bookmarkStart w:id="23" w:name="the_generate_validate_fix_loop_cr_85fe25"/>
      <w:r>
        <w:rPr>
          <w:rFonts w:eastAsia="inter" w:cs="inter" w:ascii="inter" w:hAnsi="inter"/>
          <w:b/>
          <w:color w:val="000000"/>
          <w:sz w:val="24"/>
        </w:rPr>
        <w:t xml:space="preserve">The "Generate → Validate → Fix" Loop: Credible but Unproven at Scale</w:t>
      </w:r>
      <w:bookmarkEnd w:id="23"/>
    </w:p>
    <w:p>
      <w:pPr>
        <w:spacing w:line="360" w:after="210" w:lineRule="auto"/>
      </w:pPr>
      <w:r>
        <w:rPr>
          <w:rFonts w:eastAsia="inter" w:cs="inter" w:ascii="inter" w:hAnsi="inter"/>
          <w:color w:val="000000"/>
        </w:rPr>
        <w:t xml:space="preserve">Maestro's core differentiator is orchestration rather than model innovation. The system breaks complex enterprise tasks into actionable steps, selects optimal tools/models, adheres to cost/latency constraints, and validates results before output. This "Generate → Validate → Fix" workflow addresses a genuine enterprise pain point: LLM accuracy degradation on complex reasoning tasks.</w:t>
      </w:r>
      <w:bookmarkStart w:id="24" w:name="fnref11"/>
      <w:bookmarkEnd w:id="24"/>
      <w:hyperlink w:anchor="fn11">
        <w:r>
          <w:rPr>
            <w:rFonts w:eastAsia="inter" w:cs="inter" w:ascii="inter" w:hAnsi="inter"/>
            <w:color w:val="#000"/>
            <w:u w:val="single"/>
            <w:vertAlign w:val="superscript"/>
          </w:rPr>
          <w:t xml:space="preserve">[11]</w:t>
        </w:r>
      </w:hyperlink>
    </w:p>
    <w:p>
      <w:pPr>
        <w:spacing w:line="360" w:after="210" w:lineRule="auto"/>
      </w:pPr>
      <w:r>
        <w:rPr>
          <w:rFonts w:eastAsia="inter" w:cs="inter" w:ascii="inter" w:hAnsi="inter"/>
          <w:b/>
          <w:color w:val="000000"/>
        </w:rPr>
        <w:t xml:space="preserve">Evidence of Conceptual Validity:</w:t>
      </w:r>
    </w:p>
    <w:p>
      <w:pPr>
        <w:numPr>
          <w:ilvl w:val="0"/>
          <w:numId w:val="4"/>
        </w:numPr>
        <w:spacing w:line="360" w:before="105" w:after="105" w:lineRule="auto"/>
      </w:pPr>
      <w:r>
        <w:rPr>
          <w:rFonts w:eastAsia="inter" w:cs="inter" w:ascii="inter" w:hAnsi="inter"/>
          <w:color w:val="000000"/>
          <w:sz w:val="21"/>
        </w:rPr>
        <w:t xml:space="preserve">AI21's neurosymbolic MRKL (Modular Reasoning, Knowledge, Language) architecture predates Maestro by 3+ years, demonstrating intellectual depth</w:t>
      </w:r>
      <w:bookmarkStart w:id="25" w:name="fnref12"/>
      <w:bookmarkEnd w:id="25"/>
      <w:hyperlink w:anchor="fn12">
        <w:r>
          <w:rPr>
            <w:rFonts w:eastAsia="inter" w:cs="inter" w:ascii="inter" w:hAnsi="inter"/>
            <w:color w:val="#000"/>
            <w:sz w:val="21"/>
            <w:u w:val="single"/>
            <w:vertAlign w:val="superscript"/>
          </w:rPr>
          <w:t xml:space="preserve">[12]</w:t>
        </w:r>
      </w:hyperlink>
    </w:p>
    <w:p>
      <w:pPr>
        <w:numPr>
          <w:ilvl w:val="0"/>
          <w:numId w:val="4"/>
        </w:numPr>
        <w:spacing w:line="360" w:before="105" w:after="105" w:lineRule="auto"/>
      </w:pPr>
      <w:r>
        <w:rPr>
          <w:rFonts w:eastAsia="inter" w:cs="inter" w:ascii="inter" w:hAnsi="inter"/>
          <w:color w:val="000000"/>
          <w:sz w:val="21"/>
        </w:rPr>
        <w:t xml:space="preserve">AWS partnership (November 2025) enabling VPC deployment with seamless Amazon Bedrock integration validates enterprise deployment model</w:t>
      </w:r>
      <w:bookmarkStart w:id="26" w:name="fnref13"/>
      <w:bookmarkEnd w:id="26"/>
      <w:hyperlink w:anchor="fn13">
        <w:r>
          <w:rPr>
            <w:rFonts w:eastAsia="inter" w:cs="inter" w:ascii="inter" w:hAnsi="inter"/>
            <w:color w:val="#000"/>
            <w:sz w:val="21"/>
            <w:u w:val="single"/>
            <w:vertAlign w:val="superscript"/>
          </w:rPr>
          <w:t xml:space="preserve">[13]</w:t>
        </w:r>
      </w:hyperlink>
    </w:p>
    <w:p>
      <w:pPr>
        <w:numPr>
          <w:ilvl w:val="0"/>
          <w:numId w:val="4"/>
        </w:numPr>
        <w:spacing w:line="360" w:before="105" w:after="105" w:lineRule="auto"/>
      </w:pPr>
      <w:r>
        <w:rPr>
          <w:rFonts w:eastAsia="inter" w:cs="inter" w:ascii="inter" w:hAnsi="inter"/>
          <w:color w:val="000000"/>
          <w:sz w:val="21"/>
        </w:rPr>
        <w:t xml:space="preserve">Case study evidence: Multinational retailer achieved 95% accuracy on product description classification/generation with 7x latency improvement using Jamba + Maestro custom classifiers</w:t>
      </w:r>
      <w:bookmarkStart w:id="27" w:name="fnref14"/>
      <w:bookmarkEnd w:id="27"/>
      <w:hyperlink w:anchor="fn14">
        <w:r>
          <w:rPr>
            <w:rFonts w:eastAsia="inter" w:cs="inter" w:ascii="inter" w:hAnsi="inter"/>
            <w:color w:val="#000"/>
            <w:sz w:val="21"/>
            <w:u w:val="single"/>
            <w:vertAlign w:val="superscript"/>
          </w:rPr>
          <w:t xml:space="preserve">[14]</w:t>
        </w:r>
      </w:hyperlink>
    </w:p>
    <w:p>
      <w:pPr>
        <w:spacing w:line="360" w:after="210" w:lineRule="auto"/>
      </w:pPr>
      <w:r>
        <w:rPr>
          <w:rFonts w:eastAsia="inter" w:cs="inter" w:ascii="inter" w:hAnsi="inter"/>
          <w:b/>
          <w:color w:val="000000"/>
        </w:rPr>
        <w:t xml:space="preserve">Critical Limitations:</w:t>
      </w:r>
    </w:p>
    <w:p>
      <w:pPr>
        <w:numPr>
          <w:ilvl w:val="0"/>
          <w:numId w:val="5"/>
        </w:numPr>
        <w:spacing w:line="360" w:after="210" w:lineRule="auto"/>
      </w:pPr>
      <w:r>
        <w:rPr>
          <w:rFonts w:eastAsia="inter" w:cs="inter" w:ascii="inter" w:hAnsi="inter"/>
          <w:b/>
          <w:color w:val="000000"/>
          <w:sz w:val="21"/>
        </w:rPr>
        <w:t xml:space="preserve">Market Timing</w:t>
      </w:r>
      <w:r>
        <w:rPr>
          <w:rFonts w:eastAsia="inter" w:cs="inter" w:ascii="inter" w:hAnsi="inter"/>
          <w:color w:val="000000"/>
          <w:sz w:val="21"/>
        </w:rPr>
        <w:t xml:space="preserve">: LangChain, CrewAI, Microsoft AutoGen, and LlamaIndex already dominate agent orchestration frameworks with 20,000-35,000+ GitHub stars as of January 2026. Maestro enters a crowded landscape where framework switching costs favor incumbents.</w:t>
      </w:r>
      <w:bookmarkStart w:id="28" w:name="fnref15"/>
      <w:bookmarkEnd w:id="28"/>
      <w:hyperlink w:anchor="fn15">
        <w:r>
          <w:rPr>
            <w:rFonts w:eastAsia="inter" w:cs="inter" w:ascii="inter" w:hAnsi="inter"/>
            <w:color w:val="#000"/>
            <w:sz w:val="21"/>
            <w:u w:val="single"/>
            <w:vertAlign w:val="superscript"/>
          </w:rPr>
          <w:t xml:space="preserve">[15]</w:t>
        </w:r>
      </w:hyperlink>
    </w:p>
    <w:p>
      <w:pPr>
        <w:numPr>
          <w:ilvl w:val="0"/>
          <w:numId w:val="5"/>
        </w:numPr>
        <w:spacing w:line="360" w:after="210" w:lineRule="auto"/>
      </w:pPr>
      <w:r>
        <w:rPr>
          <w:rFonts w:eastAsia="inter" w:cs="inter" w:ascii="inter" w:hAnsi="inter"/>
          <w:b/>
          <w:color w:val="000000"/>
          <w:sz w:val="21"/>
        </w:rPr>
        <w:t xml:space="preserve">Pricing Opacity</w:t>
      </w:r>
      <w:r>
        <w:rPr>
          <w:rFonts w:eastAsia="inter" w:cs="inter" w:ascii="inter" w:hAnsi="inter"/>
          <w:color w:val="000000"/>
          <w:sz w:val="21"/>
        </w:rPr>
        <w:t xml:space="preserve">: Enterprise SaaS pricing for comparable platforms (LangChain Cloud, Azure AI, AWS Lambda + Bedrock) ranges from $0.50-$2 per 1M tokens + infrastructure. Maestro's pricing structure remains opaque, suggesting either premium positioning (uncompetitive) or a strategy to avoid price-based comparison.</w:t>
      </w:r>
    </w:p>
    <w:p>
      <w:pPr>
        <w:numPr>
          <w:ilvl w:val="0"/>
          <w:numId w:val="5"/>
        </w:numPr>
        <w:spacing w:line="360" w:after="210" w:lineRule="auto"/>
      </w:pPr>
      <w:r>
        <w:rPr>
          <w:rFonts w:eastAsia="inter" w:cs="inter" w:ascii="inter" w:hAnsi="inter"/>
          <w:b/>
          <w:color w:val="000000"/>
          <w:sz w:val="21"/>
        </w:rPr>
        <w:t xml:space="preserve">Dependency Risk</w:t>
      </w:r>
      <w:r>
        <w:rPr>
          <w:rFonts w:eastAsia="inter" w:cs="inter" w:ascii="inter" w:hAnsi="inter"/>
          <w:color w:val="000000"/>
          <w:sz w:val="21"/>
        </w:rPr>
        <w:t xml:space="preserve">: Maestro's 50% accuracy improvement claims remain dependent on the underlying LLM (GPT-4o, Claude, o3). If OpenAI or Anthropic launches native orchestration (as OpenAI signals with Swarm framework), Maestro loses its primary differentiation.</w:t>
      </w:r>
      <w:bookmarkStart w:id="29" w:name="fnref15_1"/>
      <w:bookmarkEnd w:id="29"/>
      <w:hyperlink w:anchor="fn15">
        <w:r>
          <w:rPr>
            <w:rFonts w:eastAsia="inter" w:cs="inter" w:ascii="inter" w:hAnsi="inter"/>
            <w:color w:val="#000"/>
            <w:sz w:val="21"/>
            <w:u w:val="single"/>
            <w:vertAlign w:val="superscript"/>
          </w:rPr>
          <w:t xml:space="preserve">[15]</w:t>
        </w:r>
      </w:hyperlink>
    </w:p>
    <w:p>
      <w:pPr>
        <w:numPr>
          <w:ilvl w:val="0"/>
          <w:numId w:val="5"/>
        </w:numPr>
        <w:spacing w:line="360" w:after="210" w:lineRule="auto"/>
      </w:pPr>
      <w:r>
        <w:rPr>
          <w:rFonts w:eastAsia="inter" w:cs="inter" w:ascii="inter" w:hAnsi="inter"/>
          <w:b/>
          <w:color w:val="000000"/>
          <w:sz w:val="21"/>
        </w:rPr>
        <w:t xml:space="preserve">Production Deployment Gap</w:t>
      </w:r>
      <w:r>
        <w:rPr>
          <w:rFonts w:eastAsia="inter" w:cs="inter" w:ascii="inter" w:hAnsi="inter"/>
          <w:color w:val="000000"/>
          <w:sz w:val="21"/>
        </w:rPr>
        <w:t xml:space="preserve">: As of January 2026, only one public case study exists (retail, anonymized). LangChain and AutoGen boast 50+ documented enterprise deployments across Fortune 500 companies.</w:t>
      </w:r>
    </w:p>
    <w:p>
      <w:pPr>
        <w:spacing w:line="360" w:before="315" w:after="105" w:lineRule="auto"/>
        <w:ind w:left="-30"/>
        <w:jc w:val="left"/>
      </w:pPr>
      <w:bookmarkStart w:id="30" w:name="the_monday_com_enterprise_client_void"/>
      <w:r>
        <w:rPr>
          <w:rFonts w:eastAsia="inter" w:cs="inter" w:ascii="inter" w:hAnsi="inter"/>
          <w:b/>
          <w:color w:val="000000"/>
          <w:sz w:val="24"/>
        </w:rPr>
        <w:t xml:space="preserve">The </w:t>
      </w:r>
      <w:hyperlink r:id="rId8">
        <w:r>
          <w:rPr>
            <w:rFonts w:eastAsia="inter" w:cs="inter" w:ascii="inter" w:hAnsi="inter"/>
            <w:b/>
            <w:color w:val="#000"/>
            <w:sz w:val="24"/>
            <w:u w:val="single"/>
          </w:rPr>
          <w:t xml:space="preserve">Monday.com</w:t>
        </w:r>
      </w:hyperlink>
      <w:r>
        <w:rPr>
          <w:rFonts w:eastAsia="inter" w:cs="inter" w:ascii="inter" w:hAnsi="inter"/>
          <w:b/>
          <w:color w:val="000000"/>
          <w:sz w:val="24"/>
        </w:rPr>
        <w:t xml:space="preserve"> &amp; Enterprise Client Void</w:t>
      </w:r>
      <w:bookmarkEnd w:id="30"/>
    </w:p>
    <w:p>
      <w:pPr>
        <w:spacing w:line="360" w:after="210" w:lineRule="auto"/>
      </w:pPr>
      <w:r>
        <w:rPr>
          <w:rFonts w:eastAsia="inter" w:cs="inter" w:ascii="inter" w:hAnsi="inter"/>
          <w:color w:val="000000"/>
        </w:rPr>
        <w:t xml:space="preserve">Search results reveal </w:t>
      </w:r>
      <w:r>
        <w:rPr>
          <w:rFonts w:eastAsia="inter" w:cs="inter" w:ascii="inter" w:hAnsi="inter"/>
          <w:b/>
          <w:color w:val="000000"/>
        </w:rPr>
        <w:t xml:space="preserve">no confirmed partnership between Maestro and </w:t>
      </w:r>
      <w:hyperlink r:id="rId9">
        <w:r>
          <w:rPr>
            <w:rFonts w:eastAsia="inter" w:cs="inter" w:ascii="inter" w:hAnsi="inter"/>
            <w:b/>
            <w:color w:val="#000"/>
            <w:u w:val="single"/>
          </w:rPr>
          <w:t xml:space="preserve">monday.com</w:t>
        </w:r>
      </w:hyperlink>
      <w:r>
        <w:rPr>
          <w:rFonts w:eastAsia="inter" w:cs="inter" w:ascii="inter" w:hAnsi="inter"/>
          <w:color w:val="000000"/>
        </w:rPr>
        <w:t xml:space="preserve"> despite stated company focus on AI "blocks" and workflow automation. Similarly, while AI21 mentions eBay and Wix as customers in marketing materials, detailed case studies remain absent. Public customer references include only Clarivate and One Zero (using legacy Contextual Answers model), suggesting limited Maestro adoption traction as of January 2026.</w:t>
      </w:r>
      <w:bookmarkStart w:id="31" w:name="fnref16"/>
      <w:bookmarkEnd w:id="31"/>
      <w:hyperlink w:anchor="fn16">
        <w:r>
          <w:rPr>
            <w:rFonts w:eastAsia="inter" w:cs="inter" w:ascii="inter" w:hAnsi="inter"/>
            <w:color w:val="#000"/>
            <w:u w:val="single"/>
            <w:vertAlign w:val="superscript"/>
          </w:rPr>
          <w:t xml:space="preserve">[16]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part_3_jamba_architecture_the_eff_abbca4"/>
      <w:r>
        <w:rPr>
          <w:rFonts w:eastAsia="inter" w:cs="inter" w:ascii="inter" w:hAnsi="inter"/>
          <w:b/>
          <w:color w:val="000000"/>
          <w:sz w:val="24"/>
        </w:rPr>
        <w:t xml:space="preserve">Part 3: Jamba Architecture – The Efficiency Moat</w:t>
      </w:r>
      <w:bookmarkEnd w:id="32"/>
    </w:p>
    <w:p>
      <w:pPr>
        <w:spacing w:line="360" w:before="315" w:after="105" w:lineRule="auto"/>
        <w:ind w:left="-30"/>
        <w:jc w:val="left"/>
      </w:pPr>
      <w:bookmarkStart w:id="33" w:name="hybrid_transformer_mamba_innovation"/>
      <w:r>
        <w:rPr>
          <w:rFonts w:eastAsia="inter" w:cs="inter" w:ascii="inter" w:hAnsi="inter"/>
          <w:b/>
          <w:color w:val="000000"/>
          <w:sz w:val="24"/>
        </w:rPr>
        <w:t xml:space="preserve">Hybrid Transformer-Mamba Innovation</w:t>
      </w:r>
      <w:bookmarkEnd w:id="33"/>
    </w:p>
    <w:p>
      <w:pPr>
        <w:spacing w:line="360" w:after="210" w:lineRule="auto"/>
      </w:pPr>
      <w:r>
        <w:rPr>
          <w:rFonts w:eastAsia="inter" w:cs="inter" w:ascii="inter" w:hAnsi="inter"/>
          <w:color w:val="000000"/>
        </w:rPr>
        <w:t xml:space="preserve">Jamba represents AI21's most defensible technical asset: a hybrid architecture combining Transformer attention layers with Mamba structured state-space models (SSMs) in a Mixture-of-Experts (MoE) configuration. Launched as open-source (Apache 2.0 license) in March 2024 and continuously evolved through Jamba 1.5 and 1.6 releases.</w:t>
      </w:r>
      <w:bookmarkStart w:id="34" w:name="fnref17"/>
      <w:bookmarkEnd w:id="34"/>
      <w:hyperlink w:anchor="fn17">
        <w:r>
          <w:rPr>
            <w:rFonts w:eastAsia="inter" w:cs="inter" w:ascii="inter" w:hAnsi="inter"/>
            <w:color w:val="#000"/>
            <w:u w:val="single"/>
            <w:vertAlign w:val="superscript"/>
          </w:rPr>
          <w:t xml:space="preserve">[17]</w:t>
        </w:r>
      </w:hyperlink>
      <w:bookmarkStart w:id="35" w:name="fnref18"/>
      <w:bookmarkEnd w:id="35"/>
      <w:hyperlink w:anchor="fn18">
        <w:r>
          <w:rPr>
            <w:rFonts w:eastAsia="inter" w:cs="inter" w:ascii="inter" w:hAnsi="inter"/>
            <w:color w:val="#000"/>
            <w:u w:val="single"/>
            <w:vertAlign w:val="superscript"/>
          </w:rPr>
          <w:t xml:space="preserve">[18]</w:t>
        </w:r>
      </w:hyperlink>
    </w:p>
    <w:p>
      <w:pPr>
        <w:spacing w:line="360" w:after="210" w:lineRule="auto"/>
      </w:pPr>
      <w:r>
        <w:rPr>
          <w:rFonts w:eastAsia="inter" w:cs="inter" w:ascii="inter" w:hAnsi="inter"/>
          <w:b/>
          <w:color w:val="000000"/>
        </w:rPr>
        <w:t xml:space="preserve">Technical Specifications (Jamba 1.5):</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Jamba 1.5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Mixtral 8x7B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Llama-2 70B</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Advantage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Context Window</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256K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32K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8x longer (Jamba)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KV Cache Size (256K tokens)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4GB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32GB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8x smaller (Jamba)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Throughput (128K context)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3x baseline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0.5x</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3x faster (Jamba)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Active Parameters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12.9B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70B</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Comparable efficiency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Speed (all contexts)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2.5x faster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Baseline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Slower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2.5x advantage (Jamba)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Arena Hard Benchmark (Jamba 1.5 Mini)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46.1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40.9 (Mixtral)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Beats Mixtral 8x22B</w:t>
            </w:r>
          </w:p>
        </w:tc>
      </w:tr>
    </w:tbl>
    <w:p>
      <w:pPr>
        <w:spacing w:lineRule="auto"/>
      </w:pPr>
    </w:p>
    <w:p>
      <w:pPr>
        <w:spacing w:line="360" w:after="210" w:lineRule="auto"/>
      </w:pPr>
      <w:r>
        <w:rPr>
          <w:rFonts w:eastAsia="inter" w:cs="inter" w:ascii="inter" w:hAnsi="inter"/>
          <w:color w:val="000000"/>
        </w:rPr>
        <w:t xml:space="preserve">*Sources: *</w:t>
      </w:r>
      <w:bookmarkStart w:id="36" w:name="fnref19"/>
      <w:bookmarkEnd w:id="36"/>
      <w:hyperlink w:anchor="fn19">
        <w:r>
          <w:rPr>
            <w:rFonts w:eastAsia="inter" w:cs="inter" w:ascii="inter" w:hAnsi="inter"/>
            <w:color w:val="#000"/>
            <w:u w:val="single"/>
            <w:vertAlign w:val="superscript"/>
          </w:rPr>
          <w:t xml:space="preserve">[19]</w:t>
        </w:r>
      </w:hyperlink>
      <w:bookmarkStart w:id="37" w:name="fnref20"/>
      <w:bookmarkEnd w:id="37"/>
      <w:hyperlink w:anchor="fn20">
        <w:r>
          <w:rPr>
            <w:rFonts w:eastAsia="inter" w:cs="inter" w:ascii="inter" w:hAnsi="inter"/>
            <w:color w:val="#000"/>
            <w:u w:val="single"/>
            <w:vertAlign w:val="superscript"/>
          </w:rPr>
          <w:t xml:space="preserve">[20]</w:t>
        </w:r>
      </w:hyperlink>
      <w:bookmarkStart w:id="38" w:name="fnref17_1"/>
      <w:bookmarkEnd w:id="38"/>
      <w:hyperlink w:anchor="fn17">
        <w:r>
          <w:rPr>
            <w:rFonts w:eastAsia="inter" w:cs="inter" w:ascii="inter" w:hAnsi="inter"/>
            <w:color w:val="#000"/>
            <w:u w:val="single"/>
            <w:vertAlign w:val="superscript"/>
          </w:rPr>
          <w:t xml:space="preserve">[17]</w:t>
        </w:r>
      </w:hyperlink>
    </w:p>
    <w:p>
      <w:pPr>
        <w:spacing w:line="360" w:before="315" w:after="105" w:lineRule="auto"/>
        <w:ind w:left="-30"/>
        <w:jc w:val="left"/>
      </w:pPr>
      <w:bookmarkStart w:id="39" w:name="long_context_processing_800_pages_c9eeb2"/>
      <w:r>
        <w:rPr>
          <w:rFonts w:eastAsia="inter" w:cs="inter" w:ascii="inter" w:hAnsi="inter"/>
          <w:b/>
          <w:color w:val="000000"/>
          <w:sz w:val="24"/>
        </w:rPr>
        <w:t xml:space="preserve">Long-Context Processing: 800 Pages in One Inference</w:t>
      </w:r>
      <w:bookmarkEnd w:id="39"/>
    </w:p>
    <w:p>
      <w:pPr>
        <w:spacing w:line="360" w:after="210" w:lineRule="auto"/>
      </w:pPr>
      <w:r>
        <w:rPr>
          <w:rFonts w:eastAsia="inter" w:cs="inter" w:ascii="inter" w:hAnsi="inter"/>
          <w:color w:val="000000"/>
        </w:rPr>
        <w:t xml:space="preserve">Jamba's 256K context window (longest among open and commercial models except Claude) enables processing ~800 pages of documents in a single inference pass. This capability addresses specific enterprise use cases:</w:t>
      </w:r>
      <w:bookmarkStart w:id="40" w:name="fnref20_1"/>
      <w:bookmarkEnd w:id="40"/>
      <w:hyperlink w:anchor="fn20">
        <w:r>
          <w:rPr>
            <w:rFonts w:eastAsia="inter" w:cs="inter" w:ascii="inter" w:hAnsi="inter"/>
            <w:color w:val="#000"/>
            <w:u w:val="single"/>
            <w:vertAlign w:val="superscript"/>
          </w:rPr>
          <w:t xml:space="preserve">[20]</w:t>
        </w:r>
      </w:hyperlink>
    </w:p>
    <w:p>
      <w:pPr>
        <w:spacing w:line="360" w:after="210" w:lineRule="auto"/>
      </w:pPr>
      <w:r>
        <w:rPr>
          <w:rFonts w:eastAsia="inter" w:cs="inter" w:ascii="inter" w:hAnsi="inter"/>
          <w:b/>
          <w:color w:val="000000"/>
        </w:rPr>
        <w:t xml:space="preserve">High-Value Applications:</w:t>
      </w:r>
    </w:p>
    <w:p>
      <w:pPr>
        <w:numPr>
          <w:ilvl w:val="0"/>
          <w:numId w:val="6"/>
        </w:numPr>
        <w:spacing w:line="360" w:before="105" w:after="105" w:lineRule="auto"/>
      </w:pPr>
      <w:r>
        <w:rPr>
          <w:rFonts w:eastAsia="inter" w:cs="inter" w:ascii="inter" w:hAnsi="inter"/>
          <w:b/>
          <w:color w:val="000000"/>
          <w:sz w:val="21"/>
        </w:rPr>
        <w:t xml:space="preserve">Financial Services</w:t>
      </w:r>
      <w:r>
        <w:rPr>
          <w:rFonts w:eastAsia="inter" w:cs="inter" w:ascii="inter" w:hAnsi="inter"/>
          <w:color w:val="000000"/>
          <w:sz w:val="21"/>
        </w:rPr>
        <w:t xml:space="preserve">: 10-K annual filings analysis, loan document review, regulatory compliance tracking</w:t>
      </w:r>
    </w:p>
    <w:p>
      <w:pPr>
        <w:numPr>
          <w:ilvl w:val="0"/>
          <w:numId w:val="6"/>
        </w:numPr>
        <w:spacing w:line="360" w:before="105" w:after="105" w:lineRule="auto"/>
      </w:pPr>
      <w:r>
        <w:rPr>
          <w:rFonts w:eastAsia="inter" w:cs="inter" w:ascii="inter" w:hAnsi="inter"/>
          <w:b/>
          <w:color w:val="000000"/>
          <w:sz w:val="21"/>
        </w:rPr>
        <w:t xml:space="preserve">Healthcare</w:t>
      </w:r>
      <w:r>
        <w:rPr>
          <w:rFonts w:eastAsia="inter" w:cs="inter" w:ascii="inter" w:hAnsi="inter"/>
          <w:color w:val="000000"/>
          <w:sz w:val="21"/>
        </w:rPr>
        <w:t xml:space="preserve">: Clinical trial analysis, patient record synthesis, regulatory documentation review</w:t>
      </w:r>
    </w:p>
    <w:p>
      <w:pPr>
        <w:numPr>
          <w:ilvl w:val="0"/>
          <w:numId w:val="6"/>
        </w:numPr>
        <w:spacing w:line="360" w:before="105" w:after="105" w:lineRule="auto"/>
      </w:pPr>
      <w:r>
        <w:rPr>
          <w:rFonts w:eastAsia="inter" w:cs="inter" w:ascii="inter" w:hAnsi="inter"/>
          <w:b/>
          <w:color w:val="000000"/>
          <w:sz w:val="21"/>
        </w:rPr>
        <w:t xml:space="preserve">Legal</w:t>
      </w:r>
      <w:r>
        <w:rPr>
          <w:rFonts w:eastAsia="inter" w:cs="inter" w:ascii="inter" w:hAnsi="inter"/>
          <w:color w:val="000000"/>
          <w:sz w:val="21"/>
        </w:rPr>
        <w:t xml:space="preserve">: Contract analysis spanning multiple sections, precedent discovery across thousands of documents</w:t>
      </w:r>
    </w:p>
    <w:p>
      <w:pPr>
        <w:numPr>
          <w:ilvl w:val="0"/>
          <w:numId w:val="6"/>
        </w:numPr>
        <w:spacing w:line="360" w:before="105" w:after="105" w:lineRule="auto"/>
      </w:pPr>
      <w:r>
        <w:rPr>
          <w:rFonts w:eastAsia="inter" w:cs="inter" w:ascii="inter" w:hAnsi="inter"/>
          <w:b/>
          <w:color w:val="000000"/>
          <w:sz w:val="21"/>
        </w:rPr>
        <w:t xml:space="preserve">Enterprise Knowledge Work</w:t>
      </w:r>
      <w:r>
        <w:rPr>
          <w:rFonts w:eastAsia="inter" w:cs="inter" w:ascii="inter" w:hAnsi="inter"/>
          <w:color w:val="000000"/>
          <w:sz w:val="21"/>
        </w:rPr>
        <w:t xml:space="preserve">: RFP response generation from 50+ source documents simultaneously</w:t>
      </w:r>
    </w:p>
    <w:p>
      <w:pPr>
        <w:spacing w:line="360" w:after="210" w:lineRule="auto"/>
      </w:pPr>
      <w:r>
        <w:rPr>
          <w:rFonts w:eastAsia="inter" w:cs="inter" w:ascii="inter" w:hAnsi="inter"/>
          <w:b/>
          <w:color w:val="000000"/>
        </w:rPr>
        <w:t xml:space="preserve">Competitive Advantage</w:t>
      </w:r>
      <w:r>
        <w:rPr>
          <w:rFonts w:eastAsia="inter" w:cs="inter" w:ascii="inter" w:hAnsi="inter"/>
          <w:color w:val="000000"/>
        </w:rPr>
        <w:t xml:space="preserve">: Most rivals (Mixtral, Llama-3) degrade in accuracy at 128K+ tokens. Jamba maintains performance across its full 256K window, validated on the RULER benchmark—a critical differentiator.</w:t>
      </w:r>
      <w:bookmarkStart w:id="41" w:name="fnref17_2"/>
      <w:bookmarkEnd w:id="41"/>
      <w:hyperlink w:anchor="fn17">
        <w:r>
          <w:rPr>
            <w:rFonts w:eastAsia="inter" w:cs="inter" w:ascii="inter" w:hAnsi="inter"/>
            <w:color w:val="#000"/>
            <w:u w:val="single"/>
            <w:vertAlign w:val="superscript"/>
          </w:rPr>
          <w:t xml:space="preserve">[17]</w:t>
        </w:r>
      </w:hyperlink>
    </w:p>
    <w:p>
      <w:pPr>
        <w:spacing w:line="360" w:before="315" w:after="105" w:lineRule="auto"/>
        <w:ind w:left="-30"/>
        <w:jc w:val="left"/>
      </w:pPr>
      <w:bookmarkStart w:id="42" w:name="open_source_strategy_commercial_tension"/>
      <w:r>
        <w:rPr>
          <w:rFonts w:eastAsia="inter" w:cs="inter" w:ascii="inter" w:hAnsi="inter"/>
          <w:b/>
          <w:color w:val="000000"/>
          <w:sz w:val="24"/>
        </w:rPr>
        <w:t xml:space="preserve">Open-Source Strategy &amp; Commercial Tension</w:t>
      </w:r>
      <w:bookmarkEnd w:id="42"/>
    </w:p>
    <w:p>
      <w:pPr>
        <w:spacing w:line="360" w:after="210" w:lineRule="auto"/>
      </w:pPr>
      <w:r>
        <w:rPr>
          <w:rFonts w:eastAsia="inter" w:cs="inter" w:ascii="inter" w:hAnsi="inter"/>
          <w:color w:val="000000"/>
        </w:rPr>
        <w:t xml:space="preserve">AI21 released Jamba as open-source (Apache 2.0), representing a deliberate "straddle strategy" distinct from competitors' proprietary approaches. This creates revenue tension:</w:t>
      </w:r>
      <w:bookmarkStart w:id="43" w:name="fnref18_1"/>
      <w:bookmarkEnd w:id="43"/>
      <w:hyperlink w:anchor="fn18">
        <w:r>
          <w:rPr>
            <w:rFonts w:eastAsia="inter" w:cs="inter" w:ascii="inter" w:hAnsi="inter"/>
            <w:color w:val="#000"/>
            <w:u w:val="single"/>
            <w:vertAlign w:val="superscript"/>
          </w:rPr>
          <w:t xml:space="preserve">[18]</w:t>
        </w:r>
      </w:hyperlink>
    </w:p>
    <w:p>
      <w:pPr>
        <w:numPr>
          <w:ilvl w:val="0"/>
          <w:numId w:val="7"/>
        </w:numPr>
        <w:spacing w:line="360" w:before="105" w:after="105" w:lineRule="auto"/>
      </w:pPr>
      <w:r>
        <w:rPr>
          <w:rFonts w:eastAsia="inter" w:cs="inter" w:ascii="inter" w:hAnsi="inter"/>
          <w:b/>
          <w:color w:val="000000"/>
          <w:sz w:val="21"/>
        </w:rPr>
        <w:t xml:space="preserve">Jamba Open</w:t>
      </w:r>
      <w:r>
        <w:rPr>
          <w:rFonts w:eastAsia="inter" w:cs="inter" w:ascii="inter" w:hAnsi="inter"/>
          <w:color w:val="000000"/>
          <w:sz w:val="21"/>
        </w:rPr>
        <w:t xml:space="preserve"> (HuggingFace): Free model for on-premise/VPC deployment, enabling enterprises to avoid vendor lock-in</w:t>
      </w:r>
    </w:p>
    <w:p>
      <w:pPr>
        <w:numPr>
          <w:ilvl w:val="0"/>
          <w:numId w:val="7"/>
        </w:numPr>
        <w:spacing w:line="360" w:before="105" w:after="105" w:lineRule="auto"/>
      </w:pPr>
      <w:r>
        <w:rPr>
          <w:rFonts w:eastAsia="inter" w:cs="inter" w:ascii="inter" w:hAnsi="inter"/>
          <w:b/>
          <w:color w:val="000000"/>
          <w:sz w:val="21"/>
        </w:rPr>
        <w:t xml:space="preserve">Jamba Enterprise</w:t>
      </w:r>
      <w:r>
        <w:rPr>
          <w:rFonts w:eastAsia="inter" w:cs="inter" w:ascii="inter" w:hAnsi="inter"/>
          <w:color w:val="000000"/>
          <w:sz w:val="21"/>
        </w:rPr>
        <w:t xml:space="preserve"> (Commercial): Premium support, training, custom fine-tuning (available via AWS Marketplace, AI21 Studio)</w:t>
      </w:r>
    </w:p>
    <w:p>
      <w:pPr>
        <w:numPr>
          <w:ilvl w:val="0"/>
          <w:numId w:val="7"/>
        </w:numPr>
        <w:spacing w:line="360" w:before="105" w:after="105" w:lineRule="auto"/>
      </w:pPr>
      <w:r>
        <w:rPr>
          <w:rFonts w:eastAsia="inter" w:cs="inter" w:ascii="inter" w:hAnsi="inter"/>
          <w:b/>
          <w:color w:val="000000"/>
          <w:sz w:val="21"/>
        </w:rPr>
        <w:t xml:space="preserve">Jamba + Maestro Integration</w:t>
      </w:r>
      <w:r>
        <w:rPr>
          <w:rFonts w:eastAsia="inter" w:cs="inter" w:ascii="inter" w:hAnsi="inter"/>
          <w:color w:val="000000"/>
          <w:sz w:val="21"/>
        </w:rPr>
        <w:t xml:space="preserve">: Proprietary orchestration layer monetized separately as managed SaaS</w:t>
      </w:r>
    </w:p>
    <w:p>
      <w:pPr>
        <w:spacing w:line="360" w:after="210" w:lineRule="auto"/>
      </w:pPr>
      <w:r>
        <w:rPr>
          <w:rFonts w:eastAsia="inter" w:cs="inter" w:ascii="inter" w:hAnsi="inter"/>
          <w:b/>
          <w:color w:val="000000"/>
        </w:rPr>
        <w:t xml:space="preserve">Strategic Rationale</w:t>
      </w:r>
      <w:r>
        <w:rPr>
          <w:rFonts w:eastAsia="inter" w:cs="inter" w:ascii="inter" w:hAnsi="inter"/>
          <w:color w:val="000000"/>
        </w:rPr>
        <w:t xml:space="preserve">: Open-source Jamba drives adoption and community validation (GitHub stars, research citations), while Maestro monetizes orchestration and enterprise support—a model adopted successfully by Hugging Face, Databricks, and others.</w:t>
      </w:r>
    </w:p>
    <w:p>
      <w:pPr>
        <w:spacing w:line="360" w:before="315" w:after="105" w:lineRule="auto"/>
        <w:ind w:left="-30"/>
        <w:jc w:val="left"/>
      </w:pPr>
      <w:bookmarkStart w:id="44" w:name="performance_claims_under_scrutiny"/>
      <w:r>
        <w:rPr>
          <w:rFonts w:eastAsia="inter" w:cs="inter" w:ascii="inter" w:hAnsi="inter"/>
          <w:b/>
          <w:color w:val="000000"/>
          <w:sz w:val="24"/>
        </w:rPr>
        <w:t xml:space="preserve">Performance Claims Under Scrutiny</w:t>
      </w:r>
      <w:bookmarkEnd w:id="44"/>
    </w:p>
    <w:p>
      <w:pPr>
        <w:spacing w:line="360" w:after="210" w:lineRule="auto"/>
      </w:pPr>
      <w:r>
        <w:rPr>
          <w:rFonts w:eastAsia="inter" w:cs="inter" w:ascii="inter" w:hAnsi="inter"/>
          <w:color w:val="000000"/>
        </w:rPr>
        <w:t xml:space="preserve">While Jamba's long-context performance is benchmarked, the "2.5x faster" and "10x more memory-efficient" claims require context:</w:t>
      </w:r>
    </w:p>
    <w:p>
      <w:pPr>
        <w:numPr>
          <w:ilvl w:val="0"/>
          <w:numId w:val="8"/>
        </w:numPr>
        <w:spacing w:line="360" w:before="105" w:after="105" w:lineRule="auto"/>
      </w:pPr>
      <w:r>
        <w:rPr>
          <w:rFonts w:eastAsia="inter" w:cs="inter" w:ascii="inter" w:hAnsi="inter"/>
          <w:color w:val="000000"/>
          <w:sz w:val="21"/>
        </w:rPr>
        <w:t xml:space="preserve">Comparisons benchmark Jamba 1.5 against Mixtral (released 2023). Newer models (Llama-3.1, Gemini 2.0) may close efficiency gaps</w:t>
      </w:r>
    </w:p>
    <w:p>
      <w:pPr>
        <w:numPr>
          <w:ilvl w:val="0"/>
          <w:numId w:val="8"/>
        </w:numPr>
        <w:spacing w:line="360" w:before="105" w:after="105" w:lineRule="auto"/>
      </w:pPr>
      <w:r>
        <w:rPr>
          <w:rFonts w:eastAsia="inter" w:cs="inter" w:ascii="inter" w:hAnsi="inter"/>
          <w:color w:val="000000"/>
          <w:sz w:val="21"/>
        </w:rPr>
        <w:t xml:space="preserve">Arena Hard scores position Jamba 1.5 Mini ahead of Mixtral 8x22B but behind GPT-4o and Claude 3.5 Sonnet on general reasoning tasks</w:t>
      </w:r>
    </w:p>
    <w:p>
      <w:pPr>
        <w:numPr>
          <w:ilvl w:val="0"/>
          <w:numId w:val="8"/>
        </w:numPr>
        <w:spacing w:line="360" w:before="105" w:after="105" w:lineRule="auto"/>
      </w:pPr>
      <w:r>
        <w:rPr>
          <w:rFonts w:eastAsia="inter" w:cs="inter" w:ascii="inter" w:hAnsi="inter"/>
          <w:color w:val="000000"/>
          <w:sz w:val="21"/>
        </w:rPr>
        <w:t xml:space="preserve">Long-context advantage diminishes for tasks not requiring full 256K window utilization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 w:name="part_4_the_neurosymbolic_reliabil_db8476"/>
      <w:r>
        <w:rPr>
          <w:rFonts w:eastAsia="inter" w:cs="inter" w:ascii="inter" w:hAnsi="inter"/>
          <w:b/>
          <w:color w:val="000000"/>
          <w:sz w:val="24"/>
        </w:rPr>
        <w:t xml:space="preserve">Part 4: The Neurosymbolic Reliability Pitch – "Logic + Statistics"</w:t>
      </w:r>
      <w:bookmarkEnd w:id="45"/>
    </w:p>
    <w:p>
      <w:pPr>
        <w:spacing w:line="360" w:before="315" w:after="105" w:lineRule="auto"/>
        <w:ind w:left="-30"/>
        <w:jc w:val="left"/>
      </w:pPr>
      <w:bookmarkStart w:id="46" w:name="shashua_s_philosophical_framework_8a4450"/>
      <w:r>
        <w:rPr>
          <w:rFonts w:eastAsia="inter" w:cs="inter" w:ascii="inter" w:hAnsi="inter"/>
          <w:b/>
          <w:color w:val="000000"/>
          <w:sz w:val="24"/>
        </w:rPr>
        <w:t xml:space="preserve">Shashua's Philosophical Framework: Reasoning vs. Pattern Recognition</w:t>
      </w:r>
      <w:bookmarkEnd w:id="46"/>
    </w:p>
    <w:p>
      <w:pPr>
        <w:spacing w:line="360" w:after="210" w:lineRule="auto"/>
      </w:pPr>
      <w:r>
        <w:rPr>
          <w:rFonts w:eastAsia="inter" w:cs="inter" w:ascii="inter" w:hAnsi="inter"/>
          <w:color w:val="000000"/>
        </w:rPr>
        <w:t xml:space="preserve">Amnon Shashua's intellectual positioning distinguishes AI21 from competitors through a fundamental critique of LLM reasoning capabilities. His published work (cited in patent filings and conference presentations) argues that contemporary LLMs:</w:t>
      </w:r>
    </w:p>
    <w:p>
      <w:pPr>
        <w:numPr>
          <w:ilvl w:val="0"/>
          <w:numId w:val="9"/>
        </w:numPr>
        <w:spacing w:line="360" w:before="105" w:after="105" w:lineRule="auto"/>
      </w:pPr>
      <w:r>
        <w:rPr>
          <w:rFonts w:eastAsia="inter" w:cs="inter" w:ascii="inter" w:hAnsi="inter"/>
          <w:b/>
          <w:color w:val="000000"/>
          <w:sz w:val="21"/>
        </w:rPr>
        <w:t xml:space="preserve">Lack abstract reasoning</w:t>
      </w:r>
      <w:r>
        <w:rPr>
          <w:rFonts w:eastAsia="inter" w:cs="inter" w:ascii="inter" w:hAnsi="inter"/>
          <w:color w:val="000000"/>
          <w:sz w:val="21"/>
        </w:rPr>
        <w:t xml:space="preserve">: GPT-4 performs poorly on abstract reasoning tasks requiring rule inference from limited examples</w:t>
      </w:r>
    </w:p>
    <w:p>
      <w:pPr>
        <w:numPr>
          <w:ilvl w:val="0"/>
          <w:numId w:val="9"/>
        </w:numPr>
        <w:spacing w:line="360" w:before="105" w:after="105" w:lineRule="auto"/>
      </w:pPr>
      <w:r>
        <w:rPr>
          <w:rFonts w:eastAsia="inter" w:cs="inter" w:ascii="inter" w:hAnsi="inter"/>
          <w:b/>
          <w:color w:val="000000"/>
          <w:sz w:val="21"/>
        </w:rPr>
        <w:t xml:space="preserve">Fail at bookkeeping</w:t>
      </w:r>
      <w:r>
        <w:rPr>
          <w:rFonts w:eastAsia="inter" w:cs="inter" w:ascii="inter" w:hAnsi="inter"/>
          <w:color w:val="000000"/>
          <w:sz w:val="21"/>
        </w:rPr>
        <w:t xml:space="preserve">: Complex multi-step problem decomposition degrades without explicit tracking mechanisms</w:t>
      </w:r>
    </w:p>
    <w:p>
      <w:pPr>
        <w:numPr>
          <w:ilvl w:val="0"/>
          <w:numId w:val="9"/>
        </w:numPr>
        <w:spacing w:line="360" w:before="105" w:after="105" w:lineRule="auto"/>
      </w:pPr>
      <w:r>
        <w:rPr>
          <w:rFonts w:eastAsia="inter" w:cs="inter" w:ascii="inter" w:hAnsi="inter"/>
          <w:b/>
          <w:color w:val="000000"/>
          <w:sz w:val="21"/>
        </w:rPr>
        <w:t xml:space="preserve">Suffer input probability sensitivity</w:t>
      </w:r>
      <w:r>
        <w:rPr>
          <w:rFonts w:eastAsia="inter" w:cs="inter" w:ascii="inter" w:hAnsi="inter"/>
          <w:color w:val="000000"/>
          <w:sz w:val="21"/>
        </w:rPr>
        <w:t xml:space="preserve">: Performance varies unpredictably with prompt formulation, contradicting human consistency</w:t>
      </w:r>
    </w:p>
    <w:p>
      <w:pPr>
        <w:numPr>
          <w:ilvl w:val="0"/>
          <w:numId w:val="9"/>
        </w:numPr>
        <w:spacing w:line="360" w:before="105" w:after="105" w:lineRule="auto"/>
      </w:pPr>
      <w:r>
        <w:rPr>
          <w:rFonts w:eastAsia="inter" w:cs="inter" w:ascii="inter" w:hAnsi="inter"/>
          <w:b/>
          <w:color w:val="000000"/>
          <w:sz w:val="21"/>
        </w:rPr>
        <w:t xml:space="preserve">Lack explainability</w:t>
      </w:r>
      <w:r>
        <w:rPr>
          <w:rFonts w:eastAsia="inter" w:cs="inter" w:ascii="inter" w:hAnsi="inter"/>
          <w:color w:val="000000"/>
          <w:sz w:val="21"/>
        </w:rPr>
        <w:t xml:space="preserve">: Black-box token prediction provides no interpretable rationale for decisions</w:t>
      </w:r>
      <w:bookmarkStart w:id="47" w:name="fnref21"/>
      <w:bookmarkEnd w:id="47"/>
      <w:hyperlink w:anchor="fn21">
        <w:r>
          <w:rPr>
            <w:rFonts w:eastAsia="inter" w:cs="inter" w:ascii="inter" w:hAnsi="inter"/>
            <w:color w:val="#000"/>
            <w:sz w:val="21"/>
            <w:u w:val="single"/>
            <w:vertAlign w:val="superscript"/>
          </w:rPr>
          <w:t xml:space="preserve">[21]</w:t>
        </w:r>
      </w:hyperlink>
    </w:p>
    <w:p>
      <w:pPr>
        <w:spacing w:line="360" w:after="210" w:lineRule="auto"/>
      </w:pPr>
      <w:r>
        <w:rPr>
          <w:rFonts w:eastAsia="inter" w:cs="inter" w:ascii="inter" w:hAnsi="inter"/>
          <w:b/>
          <w:color w:val="000000"/>
        </w:rPr>
        <w:t xml:space="preserve">Mobileye Parallel</w:t>
      </w:r>
      <w:r>
        <w:rPr>
          <w:rFonts w:eastAsia="inter" w:cs="inter" w:ascii="inter" w:hAnsi="inter"/>
          <w:color w:val="000000"/>
        </w:rPr>
        <w:t xml:space="preserve">: Just as Mobileye won regulatory trust in autonomous vehicles through "safety certification" rather than marketing superior algorithms, AI21 positions its neurosymbolic approach as the "certified" alternative to black-box generalist models.</w:t>
      </w:r>
      <w:bookmarkStart w:id="48" w:name="fnref22"/>
      <w:bookmarkEnd w:id="48"/>
      <w:hyperlink w:anchor="fn22">
        <w:r>
          <w:rPr>
            <w:rFonts w:eastAsia="inter" w:cs="inter" w:ascii="inter" w:hAnsi="inter"/>
            <w:color w:val="#000"/>
            <w:u w:val="single"/>
            <w:vertAlign w:val="superscript"/>
          </w:rPr>
          <w:t xml:space="preserve">[22]</w:t>
        </w:r>
      </w:hyperlink>
    </w:p>
    <w:p>
      <w:pPr>
        <w:spacing w:line="360" w:before="315" w:after="105" w:lineRule="auto"/>
        <w:ind w:left="-30"/>
        <w:jc w:val="left"/>
      </w:pPr>
      <w:bookmarkStart w:id="49" w:name="mrkl_systems_modular_reasoning_kn_7427e7"/>
      <w:r>
        <w:rPr>
          <w:rFonts w:eastAsia="inter" w:cs="inter" w:ascii="inter" w:hAnsi="inter"/>
          <w:b/>
          <w:color w:val="000000"/>
          <w:sz w:val="24"/>
        </w:rPr>
        <w:t xml:space="preserve">MRKL Systems: Modular Reasoning, Knowledge &amp; Language</w:t>
      </w:r>
      <w:hyperlink w:anchor="fn12">
        <w:r>
          <w:rPr>
            <w:rFonts w:eastAsia="inter" w:cs="inter" w:ascii="inter" w:hAnsi="inter"/>
            <w:b/>
            <w:color w:val="#000"/>
            <w:sz w:val="24"/>
            <w:u w:val="single"/>
            <w:vertAlign w:val="superscript"/>
          </w:rPr>
          <w:t xml:space="preserve">[12]</w:t>
        </w:r>
      </w:hyperlink>
      <w:hyperlink w:anchor="fn23">
        <w:r>
          <w:rPr>
            <w:rFonts w:eastAsia="inter" w:cs="inter" w:ascii="inter" w:hAnsi="inter"/>
            <w:b/>
            <w:color w:val="#000"/>
            <w:sz w:val="24"/>
            <w:u w:val="single"/>
            <w:vertAlign w:val="superscript"/>
          </w:rPr>
          <w:t xml:space="preserve">[23]</w:t>
        </w:r>
      </w:hyperlink>
      <w:bookmarkEnd w:id="49"/>
    </w:p>
    <w:p>
      <w:pPr>
        <w:spacing w:line="360" w:after="210" w:lineRule="auto"/>
      </w:pPr>
      <w:r>
        <w:rPr>
          <w:rFonts w:eastAsia="inter" w:cs="inter" w:ascii="inter" w:hAnsi="inter"/>
          <w:color w:val="000000"/>
        </w:rPr>
        <w:t xml:space="preserve">The architecture combines three components:</w:t>
      </w:r>
    </w:p>
    <w:p>
      <w:pPr>
        <w:numPr>
          <w:ilvl w:val="0"/>
          <w:numId w:val="10"/>
        </w:numPr>
        <w:spacing w:line="360" w:before="105" w:after="105" w:lineRule="auto"/>
      </w:pPr>
      <w:r>
        <w:rPr>
          <w:rFonts w:eastAsia="inter" w:cs="inter" w:ascii="inter" w:hAnsi="inter"/>
          <w:b/>
          <w:color w:val="000000"/>
          <w:sz w:val="21"/>
        </w:rPr>
        <w:t xml:space="preserve">Neural Component</w:t>
      </w:r>
      <w:r>
        <w:rPr>
          <w:rFonts w:eastAsia="inter" w:cs="inter" w:ascii="inter" w:hAnsi="inter"/>
          <w:color w:val="000000"/>
          <w:sz w:val="21"/>
        </w:rPr>
        <w:t xml:space="preserve">: LLM or reasoning model (Jamba, GPT-4o, Claude)</w:t>
      </w:r>
    </w:p>
    <w:p>
      <w:pPr>
        <w:numPr>
          <w:ilvl w:val="0"/>
          <w:numId w:val="10"/>
        </w:numPr>
        <w:spacing w:line="360" w:before="105" w:after="105" w:lineRule="auto"/>
      </w:pPr>
      <w:r>
        <w:rPr>
          <w:rFonts w:eastAsia="inter" w:cs="inter" w:ascii="inter" w:hAnsi="inter"/>
          <w:b/>
          <w:color w:val="000000"/>
          <w:sz w:val="21"/>
        </w:rPr>
        <w:t xml:space="preserve">Symbolic Component</w:t>
      </w:r>
      <w:r>
        <w:rPr>
          <w:rFonts w:eastAsia="inter" w:cs="inter" w:ascii="inter" w:hAnsi="inter"/>
          <w:color w:val="000000"/>
          <w:sz w:val="21"/>
        </w:rPr>
        <w:t xml:space="preserve">: Discrete reasoning modules (business rules, fact checkers, compliance validators)</w:t>
      </w:r>
    </w:p>
    <w:p>
      <w:pPr>
        <w:numPr>
          <w:ilvl w:val="0"/>
          <w:numId w:val="10"/>
        </w:numPr>
        <w:spacing w:line="360" w:before="105" w:after="105" w:lineRule="auto"/>
      </w:pPr>
      <w:r>
        <w:rPr>
          <w:rFonts w:eastAsia="inter" w:cs="inter" w:ascii="inter" w:hAnsi="inter"/>
          <w:b/>
          <w:color w:val="000000"/>
          <w:sz w:val="21"/>
        </w:rPr>
        <w:t xml:space="preserve">Knowledge Component</w:t>
      </w:r>
      <w:r>
        <w:rPr>
          <w:rFonts w:eastAsia="inter" w:cs="inter" w:ascii="inter" w:hAnsi="inter"/>
          <w:color w:val="000000"/>
          <w:sz w:val="21"/>
        </w:rPr>
        <w:t xml:space="preserve">: External data sources (knowledge graphs, regulatory databases, company policies)</w:t>
      </w:r>
    </w:p>
    <w:p>
      <w:pPr>
        <w:spacing w:line="360" w:after="210" w:lineRule="auto"/>
      </w:pPr>
      <w:r>
        <w:rPr>
          <w:rFonts w:eastAsia="inter" w:cs="inter" w:ascii="inter" w:hAnsi="inter"/>
          <w:b/>
          <w:color w:val="000000"/>
        </w:rPr>
        <w:t xml:space="preserve">Enterprise Deployment Example</w:t>
      </w:r>
      <w:r>
        <w:rPr>
          <w:rFonts w:eastAsia="inter" w:cs="inter" w:ascii="inter" w:hAnsi="inter"/>
          <w:color w:val="000000"/>
        </w:rPr>
        <w:t xml:space="preserve">: A financial underwriting agent using Maestro would:</w:t>
      </w:r>
    </w:p>
    <w:p>
      <w:pPr>
        <w:numPr>
          <w:ilvl w:val="0"/>
          <w:numId w:val="11"/>
        </w:numPr>
        <w:spacing w:line="360" w:before="105" w:after="105" w:lineRule="auto"/>
      </w:pPr>
      <w:r>
        <w:rPr>
          <w:rFonts w:eastAsia="inter" w:cs="inter" w:ascii="inter" w:hAnsi="inter"/>
          <w:b/>
          <w:color w:val="000000"/>
          <w:sz w:val="21"/>
        </w:rPr>
        <w:t xml:space="preserve">Generate</w:t>
      </w:r>
      <w:r>
        <w:rPr>
          <w:rFonts w:eastAsia="inter" w:cs="inter" w:ascii="inter" w:hAnsi="inter"/>
          <w:color w:val="000000"/>
          <w:sz w:val="21"/>
        </w:rPr>
        <w:t xml:space="preserve"> (Neural): Draft underwriting decision and explanation</w:t>
      </w:r>
    </w:p>
    <w:p>
      <w:pPr>
        <w:numPr>
          <w:ilvl w:val="0"/>
          <w:numId w:val="11"/>
        </w:numPr>
        <w:spacing w:line="360" w:before="105" w:after="105" w:lineRule="auto"/>
      </w:pPr>
      <w:r>
        <w:rPr>
          <w:rFonts w:eastAsia="inter" w:cs="inter" w:ascii="inter" w:hAnsi="inter"/>
          <w:b/>
          <w:color w:val="000000"/>
          <w:sz w:val="21"/>
        </w:rPr>
        <w:t xml:space="preserve">Check</w:t>
      </w:r>
      <w:r>
        <w:rPr>
          <w:rFonts w:eastAsia="inter" w:cs="inter" w:ascii="inter" w:hAnsi="inter"/>
          <w:color w:val="000000"/>
          <w:sz w:val="21"/>
        </w:rPr>
        <w:t xml:space="preserve"> (Symbolic): Validate against FCRA compliance rules, verify data freshness</w:t>
      </w:r>
    </w:p>
    <w:p>
      <w:pPr>
        <w:numPr>
          <w:ilvl w:val="0"/>
          <w:numId w:val="11"/>
        </w:numPr>
        <w:spacing w:line="360" w:before="105" w:after="105" w:lineRule="auto"/>
      </w:pPr>
      <w:r>
        <w:rPr>
          <w:rFonts w:eastAsia="inter" w:cs="inter" w:ascii="inter" w:hAnsi="inter"/>
          <w:b/>
          <w:color w:val="000000"/>
          <w:sz w:val="21"/>
        </w:rPr>
        <w:t xml:space="preserve">Fix</w:t>
      </w:r>
      <w:r>
        <w:rPr>
          <w:rFonts w:eastAsia="inter" w:cs="inter" w:ascii="inter" w:hAnsi="inter"/>
          <w:color w:val="000000"/>
          <w:sz w:val="21"/>
        </w:rPr>
        <w:t xml:space="preserve"> (Hybrid): Adjust decision if rule violations detected, regenerate explanation</w:t>
      </w:r>
    </w:p>
    <w:p>
      <w:pPr>
        <w:spacing w:line="360" w:after="210" w:lineRule="auto"/>
      </w:pPr>
      <w:r>
        <w:rPr>
          <w:rFonts w:eastAsia="inter" w:cs="inter" w:ascii="inter" w:hAnsi="inter"/>
          <w:color w:val="000000"/>
        </w:rPr>
        <w:t xml:space="preserve">This differs fundamentally from LangChain's orchestration, which chains LLM calls without built-in symbolic reasoning or compliance validation.</w:t>
      </w:r>
    </w:p>
    <w:p>
      <w:pPr>
        <w:spacing w:line="360" w:before="315" w:after="105" w:lineRule="auto"/>
        <w:ind w:left="-30"/>
        <w:jc w:val="left"/>
      </w:pPr>
      <w:bookmarkStart w:id="50" w:name="competitive_differentiation_again_f1223c"/>
      <w:r>
        <w:rPr>
          <w:rFonts w:eastAsia="inter" w:cs="inter" w:ascii="inter" w:hAnsi="inter"/>
          <w:b/>
          <w:color w:val="000000"/>
          <w:sz w:val="24"/>
        </w:rPr>
        <w:t xml:space="preserve">Competitive Differentiation Against "Black Box" Criticism</w:t>
      </w:r>
      <w:bookmarkEnd w:id="50"/>
    </w:p>
    <w:p>
      <w:pPr>
        <w:spacing w:line="360" w:after="210" w:lineRule="auto"/>
      </w:pPr>
      <w:r>
        <w:rPr>
          <w:rFonts w:eastAsia="inter" w:cs="inter" w:ascii="inter" w:hAnsi="inter"/>
          <w:color w:val="000000"/>
        </w:rPr>
        <w:t xml:space="preserve">Regulated industries—finance, healthcare, insurance—face regulatory pressure requiring decision explainability and audit trails. AI21's neurosymbolic positioning addresses this directly:</w:t>
      </w:r>
      <w:bookmarkStart w:id="51" w:name="fnref24"/>
      <w:bookmarkEnd w:id="51"/>
      <w:hyperlink w:anchor="fn24">
        <w:r>
          <w:rPr>
            <w:rFonts w:eastAsia="inter" w:cs="inter" w:ascii="inter" w:hAnsi="inter"/>
            <w:color w:val="#000"/>
            <w:u w:val="single"/>
            <w:vertAlign w:val="superscript"/>
          </w:rPr>
          <w:t xml:space="preserve">[24]</w:t>
        </w:r>
      </w:hyperlink>
      <w:bookmarkStart w:id="52" w:name="fnref25"/>
      <w:bookmarkEnd w:id="52"/>
      <w:hyperlink w:anchor="fn25">
        <w:r>
          <w:rPr>
            <w:rFonts w:eastAsia="inter" w:cs="inter" w:ascii="inter" w:hAnsi="inter"/>
            <w:color w:val="#000"/>
            <w:u w:val="single"/>
            <w:vertAlign w:val="superscript"/>
          </w:rPr>
          <w:t xml:space="preserve">[25]</w:t>
        </w:r>
      </w:hyperlink>
    </w:p>
    <w:p>
      <w:pPr>
        <w:spacing w:line="360" w:after="210" w:lineRule="auto"/>
      </w:pPr>
      <w:r>
        <w:rPr>
          <w:rFonts w:eastAsia="inter" w:cs="inter" w:ascii="inter" w:hAnsi="inter"/>
          <w:b/>
          <w:color w:val="000000"/>
        </w:rPr>
        <w:t xml:space="preserve">Regulatory Compliance Positioning:</w:t>
      </w:r>
    </w:p>
    <w:p>
      <w:pPr>
        <w:numPr>
          <w:ilvl w:val="0"/>
          <w:numId w:val="12"/>
        </w:numPr>
        <w:spacing w:line="360" w:before="105" w:after="105" w:lineRule="auto"/>
      </w:pPr>
      <w:r>
        <w:rPr>
          <w:rFonts w:eastAsia="inter" w:cs="inter" w:ascii="inter" w:hAnsi="inter"/>
          <w:b/>
          <w:color w:val="000000"/>
          <w:sz w:val="21"/>
        </w:rPr>
        <w:t xml:space="preserve">FCRA Compliance</w:t>
      </w:r>
      <w:r>
        <w:rPr>
          <w:rFonts w:eastAsia="inter" w:cs="inter" w:ascii="inter" w:hAnsi="inter"/>
          <w:color w:val="000000"/>
          <w:sz w:val="21"/>
        </w:rPr>
        <w:t xml:space="preserve"> (Fair Credit Reporting Act): Financial institutions must explain credit decisions; AI21's symbolic layer embeds FCRA rules directly</w:t>
      </w:r>
    </w:p>
    <w:p>
      <w:pPr>
        <w:numPr>
          <w:ilvl w:val="0"/>
          <w:numId w:val="12"/>
        </w:numPr>
        <w:spacing w:line="360" w:before="105" w:after="105" w:lineRule="auto"/>
      </w:pPr>
      <w:r>
        <w:rPr>
          <w:rFonts w:eastAsia="inter" w:cs="inter" w:ascii="inter" w:hAnsi="inter"/>
          <w:b/>
          <w:color w:val="000000"/>
          <w:sz w:val="21"/>
        </w:rPr>
        <w:t xml:space="preserve">HIPAA/PHI Handling</w:t>
      </w:r>
      <w:r>
        <w:rPr>
          <w:rFonts w:eastAsia="inter" w:cs="inter" w:ascii="inter" w:hAnsi="inter"/>
          <w:color w:val="000000"/>
          <w:sz w:val="21"/>
        </w:rPr>
        <w:t xml:space="preserve">: Healthcare deployments can enforce data governance policies at the symbolic layer, ensuring sensitive patient data never reaches external LLM APIs</w:t>
      </w:r>
    </w:p>
    <w:p>
      <w:pPr>
        <w:numPr>
          <w:ilvl w:val="0"/>
          <w:numId w:val="12"/>
        </w:numPr>
        <w:spacing w:line="360" w:before="105" w:after="105" w:lineRule="auto"/>
      </w:pPr>
      <w:r>
        <w:rPr>
          <w:rFonts w:eastAsia="inter" w:cs="inter" w:ascii="inter" w:hAnsi="inter"/>
          <w:b/>
          <w:color w:val="000000"/>
          <w:sz w:val="21"/>
        </w:rPr>
        <w:t xml:space="preserve">GDPR Right to Explanation</w:t>
      </w:r>
      <w:r>
        <w:rPr>
          <w:rFonts w:eastAsia="inter" w:cs="inter" w:ascii="inter" w:hAnsi="inter"/>
          <w:color w:val="000000"/>
          <w:sz w:val="21"/>
        </w:rPr>
        <w:t xml:space="preserve">: Neurosymbolic architecture produces auditable decision chains vs. black-box probability vectors</w:t>
      </w:r>
    </w:p>
    <w:p>
      <w:pPr>
        <w:spacing w:line="360" w:after="210" w:lineRule="auto"/>
      </w:pPr>
      <w:r>
        <w:rPr>
          <w:rFonts w:eastAsia="inter" w:cs="inter" w:ascii="inter" w:hAnsi="inter"/>
          <w:b/>
          <w:color w:val="000000"/>
        </w:rPr>
        <w:t xml:space="preserve">Market Reality Check</w:t>
      </w:r>
      <w:r>
        <w:rPr>
          <w:rFonts w:eastAsia="inter" w:cs="inter" w:ascii="inter" w:hAnsi="inter"/>
          <w:color w:val="000000"/>
        </w:rPr>
        <w:t xml:space="preserve">: While this positioning resonates in regulated sectors, evidence of large-scale deployments remains limited. Competitors (Anthropic's Constitutional AI, Google's Responsible AI frameworks) offer similar compliance features through different architectures.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3" w:name="part_5_enterprise_go_to_market_cu_ddb212"/>
      <w:r>
        <w:rPr>
          <w:rFonts w:eastAsia="inter" w:cs="inter" w:ascii="inter" w:hAnsi="inter"/>
          <w:b/>
          <w:color w:val="000000"/>
          <w:sz w:val="24"/>
        </w:rPr>
        <w:t xml:space="preserve">Part 5: Enterprise Go-to-Market &amp; Customer Traction</w:t>
      </w:r>
      <w:bookmarkEnd w:id="53"/>
    </w:p>
    <w:p>
      <w:pPr>
        <w:spacing w:line="360" w:before="315" w:after="105" w:lineRule="auto"/>
        <w:ind w:left="-30"/>
        <w:jc w:val="left"/>
      </w:pPr>
      <w:bookmarkStart w:id="54" w:name="confirmed_enterprise_relationships"/>
      <w:r>
        <w:rPr>
          <w:rFonts w:eastAsia="inter" w:cs="inter" w:ascii="inter" w:hAnsi="inter"/>
          <w:b/>
          <w:color w:val="000000"/>
          <w:sz w:val="24"/>
        </w:rPr>
        <w:t xml:space="preserve">Confirmed Enterprise Relationships</w:t>
      </w:r>
      <w:bookmarkEnd w:id="5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Customer/Partner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Industry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Use Case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Multinational Retailer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Retail/E-Commerce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Product description classification &amp; generation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Case study published; 95% accuracy, 7x latency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Clarivate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Research/Analytics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Contextual question answering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Long-term customer (pre-Maestro era)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One Zero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Digital Banking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Context-grounded QA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Mentioned in Series C announcement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AWS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Cloud Infrastructure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Bedrock integration + VPC deployment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Partnership live (Nov 2025)</w:t>
            </w:r>
          </w:p>
        </w:tc>
      </w:tr>
      <w:tr>
        <w:trPr>
          <w:cantSplit/>
        </w:trPr>
        <w:tc>
          <w:tcPr>
            <w:tcBorders>
              <w:top w:val="single" w:sz="1" w:space="0" w:color="000000"/>
              <w:bottom w:val="single" w:sz="1" w:space="0" w:color="000000"/>
              <w:right w:val="single" w:sz="1" w:space="0" w:color="000000"/>
            </w:tcBorders>
          </w:tcPr>
          <w:p>
            <w:pPr>
              <w:spacing w:line="360" w:lineRule="auto"/>
            </w:pPr>
            <w:hyperlink r:id="rId10">
              <w:r>
                <w:rPr>
                  <w:rFonts w:eastAsia="inter" w:cs="inter" w:ascii="inter" w:hAnsi="inter"/>
                  <w:color w:val="#000"/>
                  <w:sz w:val="17"/>
                  <w:u w:val="single"/>
                </w:rPr>
                <w:t xml:space="preserve">Monday.com</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Workflow Automation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AI blocks integration</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Not confirmed</w:t>
            </w:r>
            <w:r>
              <w:rPr>
                <w:rFonts w:eastAsia="inter" w:cs="inter" w:ascii="inter" w:hAnsi="inter"/>
                <w:color w:val="000000"/>
                <w:sz w:val="17"/>
              </w:rPr>
              <w:t xml:space="preserve"> despite stated goal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eBay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E-Commerce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(Stated goal)</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No public confirmation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Wix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Website Builder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(Stated goal)</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No public confirmation</w:t>
            </w:r>
          </w:p>
        </w:tc>
      </w:tr>
    </w:tbl>
    <w:p>
      <w:pPr>
        <w:spacing w:lineRule="auto"/>
      </w:pPr>
    </w:p>
    <w:p>
      <w:pPr>
        <w:spacing w:line="360" w:after="210" w:lineRule="auto"/>
      </w:pPr>
      <w:r>
        <w:rPr>
          <w:rFonts w:eastAsia="inter" w:cs="inter" w:ascii="inter" w:hAnsi="inter"/>
          <w:b/>
          <w:color w:val="000000"/>
        </w:rPr>
        <w:t xml:space="preserve">Gap Analysis</w:t>
      </w:r>
      <w:r>
        <w:rPr>
          <w:rFonts w:eastAsia="inter" w:cs="inter" w:ascii="inter" w:hAnsi="inter"/>
          <w:color w:val="000000"/>
        </w:rPr>
        <w:t xml:space="preserve">: Customer list significantly lags competitors. OpenAI boasts 50+ Fortune 500 deployments across API (ChatGPT for Enterprise, GPT-4 Turbo) and custom fine-tuning. Anthropic reports 30+ large enterprise pilots including Meta, Salesforce, and government agencies. AI21's public customer roster appears limited to 3-4 confirmed relationships.</w:t>
      </w:r>
    </w:p>
    <w:p>
      <w:pPr>
        <w:spacing w:line="360" w:before="315" w:after="105" w:lineRule="auto"/>
        <w:ind w:left="-30"/>
        <w:jc w:val="left"/>
      </w:pPr>
      <w:bookmarkStart w:id="55" w:name="aws_marketplace_deployment_innovation"/>
      <w:r>
        <w:rPr>
          <w:rFonts w:eastAsia="inter" w:cs="inter" w:ascii="inter" w:hAnsi="inter"/>
          <w:b/>
          <w:color w:val="000000"/>
          <w:sz w:val="24"/>
        </w:rPr>
        <w:t xml:space="preserve">AWS Marketplace &amp; Deployment Innovation</w:t>
      </w:r>
      <w:bookmarkEnd w:id="55"/>
    </w:p>
    <w:p>
      <w:pPr>
        <w:spacing w:line="360" w:after="210" w:lineRule="auto"/>
      </w:pPr>
      <w:r>
        <w:rPr>
          <w:rFonts w:eastAsia="inter" w:cs="inter" w:ascii="inter" w:hAnsi="inter"/>
          <w:color w:val="000000"/>
        </w:rPr>
        <w:t xml:space="preserve">The November 2025 launch of Maestro on AWS VPC represents a critical go-to-market acceleration. This enables:</w:t>
      </w:r>
      <w:bookmarkStart w:id="56" w:name="fnref13_1"/>
      <w:bookmarkEnd w:id="56"/>
      <w:hyperlink w:anchor="fn13">
        <w:r>
          <w:rPr>
            <w:rFonts w:eastAsia="inter" w:cs="inter" w:ascii="inter" w:hAnsi="inter"/>
            <w:color w:val="#000"/>
            <w:u w:val="single"/>
            <w:vertAlign w:val="superscript"/>
          </w:rPr>
          <w:t xml:space="preserve">[13]</w:t>
        </w:r>
      </w:hyperlink>
    </w:p>
    <w:p>
      <w:pPr>
        <w:numPr>
          <w:ilvl w:val="0"/>
          <w:numId w:val="13"/>
        </w:numPr>
        <w:spacing w:line="360" w:before="105" w:after="105" w:lineRule="auto"/>
      </w:pPr>
      <w:r>
        <w:rPr>
          <w:rFonts w:eastAsia="inter" w:cs="inter" w:ascii="inter" w:hAnsi="inter"/>
          <w:b/>
          <w:color w:val="000000"/>
          <w:sz w:val="21"/>
        </w:rPr>
        <w:t xml:space="preserve">Data Residency Compliance</w:t>
      </w:r>
      <w:r>
        <w:rPr>
          <w:rFonts w:eastAsia="inter" w:cs="inter" w:ascii="inter" w:hAnsi="inter"/>
          <w:color w:val="000000"/>
          <w:sz w:val="21"/>
        </w:rPr>
        <w:t xml:space="preserve">: Enterprise data never leaves customer VPC; critical for regulated industries</w:t>
      </w:r>
    </w:p>
    <w:p>
      <w:pPr>
        <w:numPr>
          <w:ilvl w:val="0"/>
          <w:numId w:val="13"/>
        </w:numPr>
        <w:spacing w:line="360" w:before="105" w:after="105" w:lineRule="auto"/>
      </w:pPr>
      <w:r>
        <w:rPr>
          <w:rFonts w:eastAsia="inter" w:cs="inter" w:ascii="inter" w:hAnsi="inter"/>
          <w:b/>
          <w:color w:val="000000"/>
          <w:sz w:val="21"/>
        </w:rPr>
        <w:t xml:space="preserve">Model Selection Flexibility</w:t>
      </w:r>
      <w:r>
        <w:rPr>
          <w:rFonts w:eastAsia="inter" w:cs="inter" w:ascii="inter" w:hAnsi="inter"/>
          <w:color w:val="000000"/>
          <w:sz w:val="21"/>
        </w:rPr>
        <w:t xml:space="preserve">: Enterprises choose between Bedrock models (proprietary) and self-hosted Jamba (open-source)</w:t>
      </w:r>
    </w:p>
    <w:p>
      <w:pPr>
        <w:numPr>
          <w:ilvl w:val="0"/>
          <w:numId w:val="13"/>
        </w:numPr>
        <w:spacing w:line="360" w:before="105" w:after="105" w:lineRule="auto"/>
      </w:pPr>
      <w:r>
        <w:rPr>
          <w:rFonts w:eastAsia="inter" w:cs="inter" w:ascii="inter" w:hAnsi="inter"/>
          <w:b/>
          <w:color w:val="000000"/>
          <w:sz w:val="21"/>
        </w:rPr>
        <w:t xml:space="preserve">Infrastructure Simplification</w:t>
      </w:r>
      <w:r>
        <w:rPr>
          <w:rFonts w:eastAsia="inter" w:cs="inter" w:ascii="inter" w:hAnsi="inter"/>
          <w:color w:val="000000"/>
          <w:sz w:val="21"/>
        </w:rPr>
        <w:t xml:space="preserve">: No custom Kubernetes, networking, or DevOps burden; AWS manages orchestration layer</w:t>
      </w:r>
    </w:p>
    <w:p>
      <w:pPr>
        <w:spacing w:line="360" w:after="210" w:lineRule="auto"/>
      </w:pPr>
      <w:r>
        <w:rPr>
          <w:rFonts w:eastAsia="inter" w:cs="inter" w:ascii="inter" w:hAnsi="inter"/>
          <w:b/>
          <w:color w:val="000000"/>
        </w:rPr>
        <w:t xml:space="preserve">Competitive Advantage</w:t>
      </w:r>
      <w:r>
        <w:rPr>
          <w:rFonts w:eastAsia="inter" w:cs="inter" w:ascii="inter" w:hAnsi="inter"/>
          <w:color w:val="000000"/>
        </w:rPr>
        <w:t xml:space="preserve">: LangChain Cloud, while industry-standard, doesn't offer VPC isolation by default. Microsoft's Semantic Kernel integrates with Azure, but requires enterprise Azure consumption. AI21's AWS partnership directly addresses the "data must stay internal" requirement driving enterprise AI adoption.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7" w:name="part_6_the_exit_reality_strategic_246dec"/>
      <w:r>
        <w:rPr>
          <w:rFonts w:eastAsia="inter" w:cs="inter" w:ascii="inter" w:hAnsi="inter"/>
          <w:b/>
          <w:color w:val="000000"/>
          <w:sz w:val="24"/>
        </w:rPr>
        <w:t xml:space="preserve">Part 6: The Exit Reality &amp; Strategic Implications</w:t>
      </w:r>
      <w:bookmarkEnd w:id="57"/>
    </w:p>
    <w:p>
      <w:pPr>
        <w:spacing w:line="360" w:before="315" w:after="105" w:lineRule="auto"/>
        <w:ind w:left="-30"/>
        <w:jc w:val="left"/>
      </w:pPr>
      <w:bookmarkStart w:id="58" w:name="scenario_1_nvidia_acquisition_pro_bab6bf"/>
      <w:r>
        <w:rPr>
          <w:rFonts w:eastAsia="inter" w:cs="inter" w:ascii="inter" w:hAnsi="inter"/>
          <w:b/>
          <w:color w:val="000000"/>
          <w:sz w:val="24"/>
        </w:rPr>
        <w:t xml:space="preserve">Scenario 1: NVIDIA Acquisition (Probability: 40-50% by Q2 2026)</w:t>
      </w:r>
      <w:bookmarkEnd w:id="58"/>
    </w:p>
    <w:p>
      <w:pPr>
        <w:spacing w:line="360" w:after="210" w:lineRule="auto"/>
      </w:pPr>
      <w:r>
        <w:rPr>
          <w:rFonts w:eastAsia="inter" w:cs="inter" w:ascii="inter" w:hAnsi="inter"/>
          <w:b/>
          <w:color w:val="000000"/>
        </w:rPr>
        <w:t xml:space="preserve">Mechanics:</w:t>
      </w:r>
    </w:p>
    <w:p>
      <w:pPr>
        <w:numPr>
          <w:ilvl w:val="0"/>
          <w:numId w:val="14"/>
        </w:numPr>
        <w:spacing w:line="360" w:before="105" w:after="105" w:lineRule="auto"/>
      </w:pPr>
      <w:r>
        <w:rPr>
          <w:rFonts w:eastAsia="inter" w:cs="inter" w:ascii="inter" w:hAnsi="inter"/>
          <w:color w:val="000000"/>
          <w:sz w:val="21"/>
        </w:rPr>
        <w:t xml:space="preserve">Deal closes at $2.5B (mid-range of reported $2-3B)</w:t>
      </w:r>
    </w:p>
    <w:p>
      <w:pPr>
        <w:numPr>
          <w:ilvl w:val="0"/>
          <w:numId w:val="14"/>
        </w:numPr>
        <w:spacing w:line="360" w:before="105" w:after="105" w:lineRule="auto"/>
      </w:pPr>
      <w:r>
        <w:rPr>
          <w:rFonts w:eastAsia="inter" w:cs="inter" w:ascii="inter" w:hAnsi="inter"/>
          <w:color w:val="000000"/>
          <w:sz w:val="21"/>
        </w:rPr>
        <w:t xml:space="preserve">Structured as acquihire: 150+ researchers absorbed into NVIDIA's AI Research group (NAIR)</w:t>
      </w:r>
    </w:p>
    <w:p>
      <w:pPr>
        <w:numPr>
          <w:ilvl w:val="0"/>
          <w:numId w:val="14"/>
        </w:numPr>
        <w:spacing w:line="360" w:before="105" w:after="105" w:lineRule="auto"/>
      </w:pPr>
      <w:r>
        <w:rPr>
          <w:rFonts w:eastAsia="inter" w:cs="inter" w:ascii="inter" w:hAnsi="inter"/>
          <w:color w:val="000000"/>
          <w:sz w:val="21"/>
        </w:rPr>
        <w:t xml:space="preserve">Key talent incentives: 50% cash, 50% NVIDIA equity over 4-year vest</w:t>
      </w:r>
    </w:p>
    <w:p>
      <w:pPr>
        <w:numPr>
          <w:ilvl w:val="0"/>
          <w:numId w:val="14"/>
        </w:numPr>
        <w:spacing w:line="360" w:before="105" w:after="105" w:lineRule="auto"/>
      </w:pPr>
      <w:r>
        <w:rPr>
          <w:rFonts w:eastAsia="inter" w:cs="inter" w:ascii="inter" w:hAnsi="inter"/>
          <w:color w:val="000000"/>
          <w:sz w:val="21"/>
        </w:rPr>
        <w:t xml:space="preserve">Maestro, Jamba codebase transferred to NVIDIA</w:t>
      </w:r>
    </w:p>
    <w:p>
      <w:pPr>
        <w:spacing w:line="360" w:after="210" w:lineRule="auto"/>
      </w:pPr>
      <w:r>
        <w:rPr>
          <w:rFonts w:eastAsia="inter" w:cs="inter" w:ascii="inter" w:hAnsi="inter"/>
          <w:b/>
          <w:color w:val="000000"/>
        </w:rPr>
        <w:t xml:space="preserve">Implications for Ecosystem:</w:t>
      </w:r>
    </w:p>
    <w:p>
      <w:pPr>
        <w:numPr>
          <w:ilvl w:val="0"/>
          <w:numId w:val="15"/>
        </w:numPr>
        <w:spacing w:line="360" w:before="105" w:after="105" w:lineRule="auto"/>
      </w:pPr>
      <w:r>
        <w:rPr>
          <w:rFonts w:eastAsia="inter" w:cs="inter" w:ascii="inter" w:hAnsi="inter"/>
          <w:b/>
          <w:color w:val="000000"/>
          <w:sz w:val="21"/>
        </w:rPr>
        <w:t xml:space="preserve">Maestro Transition Risk</w:t>
      </w:r>
      <w:r>
        <w:rPr>
          <w:rFonts w:eastAsia="inter" w:cs="inter" w:ascii="inter" w:hAnsi="inter"/>
          <w:color w:val="000000"/>
          <w:sz w:val="21"/>
        </w:rPr>
        <w:t xml:space="preserve">: NVIDIA would likely integrate Maestro into NVIDIA NIM (NIM Inference Microservices) as managed orchestration layer, potentially deprecating standalone Maestro platform within 18-24 months</w:t>
      </w:r>
    </w:p>
    <w:p>
      <w:pPr>
        <w:numPr>
          <w:ilvl w:val="0"/>
          <w:numId w:val="15"/>
        </w:numPr>
        <w:spacing w:line="360" w:before="105" w:after="105" w:lineRule="auto"/>
      </w:pPr>
      <w:r>
        <w:rPr>
          <w:rFonts w:eastAsia="inter" w:cs="inter" w:ascii="inter" w:hAnsi="inter"/>
          <w:b/>
          <w:color w:val="000000"/>
          <w:sz w:val="21"/>
        </w:rPr>
        <w:t xml:space="preserve">Jamba Open-Source</w:t>
      </w:r>
      <w:r>
        <w:rPr>
          <w:rFonts w:eastAsia="inter" w:cs="inter" w:ascii="inter" w:hAnsi="inter"/>
          <w:color w:val="000000"/>
          <w:sz w:val="21"/>
        </w:rPr>
        <w:t xml:space="preserve">: Open-source variant likely remains freely available (NVIDIA supports PyTorch, CUDA ecosystem publicly); proprietary enhancements consolidated under NVIDIA</w:t>
      </w:r>
    </w:p>
    <w:p>
      <w:pPr>
        <w:numPr>
          <w:ilvl w:val="0"/>
          <w:numId w:val="15"/>
        </w:numPr>
        <w:spacing w:line="360" w:before="105" w:after="105" w:lineRule="auto"/>
      </w:pPr>
      <w:r>
        <w:rPr>
          <w:rFonts w:eastAsia="inter" w:cs="inter" w:ascii="inter" w:hAnsi="inter"/>
          <w:b/>
          <w:color w:val="000000"/>
          <w:sz w:val="21"/>
        </w:rPr>
        <w:t xml:space="preserve">Enterprise Customers</w:t>
      </w:r>
      <w:r>
        <w:rPr>
          <w:rFonts w:eastAsia="inter" w:cs="inter" w:ascii="inter" w:hAnsi="inter"/>
          <w:color w:val="000000"/>
          <w:sz w:val="21"/>
        </w:rPr>
        <w:t xml:space="preserve">: Migration to NVIDIA-managed versions inevitable; 15-20% churn expected during transition</w:t>
      </w:r>
    </w:p>
    <w:p>
      <w:pPr>
        <w:numPr>
          <w:ilvl w:val="0"/>
          <w:numId w:val="15"/>
        </w:numPr>
        <w:spacing w:line="360" w:before="105" w:after="105" w:lineRule="auto"/>
      </w:pPr>
      <w:r>
        <w:rPr>
          <w:rFonts w:eastAsia="inter" w:cs="inter" w:ascii="inter" w:hAnsi="inter"/>
          <w:b/>
          <w:color w:val="000000"/>
          <w:sz w:val="21"/>
        </w:rPr>
        <w:t xml:space="preserve">Talent Diaspora</w:t>
      </w:r>
      <w:r>
        <w:rPr>
          <w:rFonts w:eastAsia="inter" w:cs="inter" w:ascii="inter" w:hAnsi="inter"/>
          <w:color w:val="000000"/>
          <w:sz w:val="21"/>
        </w:rPr>
        <w:t xml:space="preserve">: 30-40% of 200-person team likely departs; risk of key researcher departure to AAI Technologies or competitors</w:t>
      </w:r>
    </w:p>
    <w:p>
      <w:pPr>
        <w:spacing w:line="360" w:after="210" w:lineRule="auto"/>
      </w:pPr>
      <w:r>
        <w:rPr>
          <w:rFonts w:eastAsia="inter" w:cs="inter" w:ascii="inter" w:hAnsi="inter"/>
          <w:b/>
          <w:color w:val="000000"/>
        </w:rPr>
        <w:t xml:space="preserve">NVIDIA's Value Extraction:</w:t>
      </w:r>
    </w:p>
    <w:p>
      <w:pPr>
        <w:numPr>
          <w:ilvl w:val="0"/>
          <w:numId w:val="16"/>
        </w:numPr>
        <w:spacing w:line="360" w:before="105" w:after="105" w:lineRule="auto"/>
      </w:pPr>
      <w:r>
        <w:rPr>
          <w:rFonts w:eastAsia="inter" w:cs="inter" w:ascii="inter" w:hAnsi="inter"/>
          <w:color w:val="000000"/>
          <w:sz w:val="21"/>
        </w:rPr>
        <w:t xml:space="preserve">Access to neurosymbolic architecture research for integrating into NVIDIA AI Enterprise Stack</w:t>
      </w:r>
    </w:p>
    <w:p>
      <w:pPr>
        <w:numPr>
          <w:ilvl w:val="0"/>
          <w:numId w:val="16"/>
        </w:numPr>
        <w:spacing w:line="360" w:before="105" w:after="105" w:lineRule="auto"/>
      </w:pPr>
      <w:r>
        <w:rPr>
          <w:rFonts w:eastAsia="inter" w:cs="inter" w:ascii="inter" w:hAnsi="inter"/>
          <w:color w:val="000000"/>
          <w:sz w:val="21"/>
        </w:rPr>
        <w:t xml:space="preserve">Jamba architecture informs NVIDIA's own LLM development (potential successor to Nemotron series)</w:t>
      </w:r>
    </w:p>
    <w:p>
      <w:pPr>
        <w:numPr>
          <w:ilvl w:val="0"/>
          <w:numId w:val="16"/>
        </w:numPr>
        <w:spacing w:line="360" w:before="105" w:after="105" w:lineRule="auto"/>
      </w:pPr>
      <w:r>
        <w:rPr>
          <w:rFonts w:eastAsia="inter" w:cs="inter" w:ascii="inter" w:hAnsi="inter"/>
          <w:color w:val="000000"/>
          <w:sz w:val="21"/>
        </w:rPr>
        <w:t xml:space="preserve">Israeli R&amp;D footprint strengthened for Kiryat Tivon campus ramp-up</w:t>
      </w:r>
    </w:p>
    <w:p>
      <w:pPr>
        <w:numPr>
          <w:ilvl w:val="0"/>
          <w:numId w:val="16"/>
        </w:numPr>
        <w:spacing w:line="360" w:before="105" w:after="105" w:lineRule="auto"/>
      </w:pPr>
      <w:r>
        <w:rPr>
          <w:rFonts w:eastAsia="inter" w:cs="inter" w:ascii="inter" w:hAnsi="inter"/>
          <w:color w:val="000000"/>
          <w:sz w:val="21"/>
        </w:rPr>
        <w:t xml:space="preserve">Groq licensing deal ($20B) + AI21 reasoning systems create end-to-end inference-optimization stack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9" w:name="scenario_2_strategic_partnership_96744d"/>
      <w:r>
        <w:rPr>
          <w:rFonts w:eastAsia="inter" w:cs="inter" w:ascii="inter" w:hAnsi="inter"/>
          <w:b/>
          <w:color w:val="000000"/>
          <w:sz w:val="24"/>
        </w:rPr>
        <w:t xml:space="preserve">Scenario 2: Strategic Partnership (Probability: 20-30%)</w:t>
      </w:r>
      <w:bookmarkEnd w:id="59"/>
    </w:p>
    <w:p>
      <w:pPr>
        <w:spacing w:line="360" w:after="210" w:lineRule="auto"/>
      </w:pPr>
      <w:r>
        <w:rPr>
          <w:rFonts w:eastAsia="inter" w:cs="inter" w:ascii="inter" w:hAnsi="inter"/>
          <w:color w:val="000000"/>
        </w:rPr>
        <w:t xml:space="preserve">NVIDIA formalizes deep partnership without acquisition: Maestro available exclusively on NVIDIA Inference Microservices (NIM), Jamba optimized for NVIDIA Tensor RT, revenue-sharing model.</w:t>
      </w:r>
    </w:p>
    <w:p>
      <w:pPr>
        <w:spacing w:line="360" w:after="210" w:lineRule="auto"/>
      </w:pPr>
      <w:r>
        <w:rPr>
          <w:rFonts w:eastAsia="inter" w:cs="inter" w:ascii="inter" w:hAnsi="inter"/>
          <w:b/>
          <w:color w:val="000000"/>
        </w:rPr>
        <w:t xml:space="preserve">Probability Assessment</w:t>
      </w:r>
      <w:r>
        <w:rPr>
          <w:rFonts w:eastAsia="inter" w:cs="inter" w:ascii="inter" w:hAnsi="inter"/>
          <w:color w:val="000000"/>
        </w:rPr>
        <w:t xml:space="preserve">: Lower likelihood given Shashua's private talks with "others" and AAI Technologies momentum suggesting founder interest in maintaining independence.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0" w:name="scenario_3_continued_independence_d94998"/>
      <w:r>
        <w:rPr>
          <w:rFonts w:eastAsia="inter" w:cs="inter" w:ascii="inter" w:hAnsi="inter"/>
          <w:b/>
          <w:color w:val="000000"/>
          <w:sz w:val="24"/>
        </w:rPr>
        <w:t xml:space="preserve">Scenario 3: Continued Independence (Probability: 20-30%)</w:t>
      </w:r>
      <w:bookmarkEnd w:id="60"/>
    </w:p>
    <w:p>
      <w:pPr>
        <w:spacing w:line="360" w:after="210" w:lineRule="auto"/>
      </w:pPr>
      <w:r>
        <w:rPr>
          <w:rFonts w:eastAsia="inter" w:cs="inter" w:ascii="inter" w:hAnsi="inter"/>
          <w:color w:val="000000"/>
        </w:rPr>
        <w:t xml:space="preserve">AI21 raises bridge funding (~$100-150M) at higher valuation ($1.8-2B) from growth equity investors (Vista Equity Partners, Thoma Bravo, Silver Lake), extends runway 3-5 years while building Maestro adoption.</w:t>
      </w:r>
    </w:p>
    <w:p>
      <w:pPr>
        <w:spacing w:line="360" w:after="210" w:lineRule="auto"/>
      </w:pPr>
      <w:r>
        <w:rPr>
          <w:rFonts w:eastAsia="inter" w:cs="inter" w:ascii="inter" w:hAnsi="inter"/>
          <w:b/>
          <w:color w:val="000000"/>
        </w:rPr>
        <w:t xml:space="preserve">Headwinds</w:t>
      </w:r>
      <w:r>
        <w:rPr>
          <w:rFonts w:eastAsia="inter" w:cs="inter" w:ascii="inter" w:hAnsi="inter"/>
          <w:color w:val="000000"/>
        </w:rPr>
        <w:t xml:space="preserve">: Requires demonstrable Maestro adoption (currently limited case studies) and Jamba commercial traction (hindered by open-source availability). Series D failure signals investor skepticism about standalone profitability trajectory.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1" w:name="part_7_the_wrapper_vs_custom_deve_665a90"/>
      <w:r>
        <w:rPr>
          <w:rFonts w:eastAsia="inter" w:cs="inter" w:ascii="inter" w:hAnsi="inter"/>
          <w:b/>
          <w:color w:val="000000"/>
          <w:sz w:val="24"/>
        </w:rPr>
        <w:t xml:space="preserve">Part 7: The Wrapper vs. Custom Development Trade-Off</w:t>
      </w:r>
      <w:bookmarkEnd w:id="61"/>
    </w:p>
    <w:p>
      <w:pPr>
        <w:spacing w:line="360" w:before="315" w:after="105" w:lineRule="auto"/>
        <w:ind w:left="-30"/>
        <w:jc w:val="left"/>
      </w:pPr>
      <w:bookmarkStart w:id="62" w:name="langchain_custom_build_economics"/>
      <w:r>
        <w:rPr>
          <w:rFonts w:eastAsia="inter" w:cs="inter" w:ascii="inter" w:hAnsi="inter"/>
          <w:b/>
          <w:color w:val="000000"/>
          <w:sz w:val="24"/>
        </w:rPr>
        <w:t xml:space="preserve">LangChain Custom Build Economics</w:t>
      </w:r>
      <w:hyperlink w:anchor="fn26">
        <w:r>
          <w:rPr>
            <w:rFonts w:eastAsia="inter" w:cs="inter" w:ascii="inter" w:hAnsi="inter"/>
            <w:b/>
            <w:color w:val="#000"/>
            <w:sz w:val="24"/>
            <w:u w:val="single"/>
            <w:vertAlign w:val="superscript"/>
          </w:rPr>
          <w:t xml:space="preserve">[26]</w:t>
        </w:r>
      </w:hyperlink>
      <w:bookmarkEnd w:id="62"/>
    </w:p>
    <w:p>
      <w:pPr>
        <w:spacing w:line="360" w:after="210" w:lineRule="auto"/>
      </w:pPr>
      <w:r>
        <w:rPr>
          <w:rFonts w:eastAsia="inter" w:cs="inter" w:ascii="inter" w:hAnsi="inter"/>
          <w:b/>
          <w:color w:val="000000"/>
        </w:rPr>
        <w:t xml:space="preserve">Baseline Cost to Build Custom Agent (Enterprise):</w:t>
      </w:r>
    </w:p>
    <w:p>
      <w:pPr>
        <w:numPr>
          <w:ilvl w:val="0"/>
          <w:numId w:val="17"/>
        </w:numPr>
        <w:spacing w:line="360" w:before="105" w:after="105" w:lineRule="auto"/>
      </w:pPr>
      <w:r>
        <w:rPr>
          <w:rFonts w:eastAsia="inter" w:cs="inter" w:ascii="inter" w:hAnsi="inter"/>
          <w:b/>
          <w:color w:val="000000"/>
          <w:sz w:val="21"/>
        </w:rPr>
        <w:t xml:space="preserve">Initial Development</w:t>
      </w:r>
      <w:r>
        <w:rPr>
          <w:rFonts w:eastAsia="inter" w:cs="inter" w:ascii="inter" w:hAnsi="inter"/>
          <w:color w:val="000000"/>
          <w:sz w:val="21"/>
        </w:rPr>
        <w:t xml:space="preserve">: $50,000-$500,000+ for production-ready infrastructure</w:t>
      </w:r>
    </w:p>
    <w:p>
      <w:pPr>
        <w:numPr>
          <w:ilvl w:val="0"/>
          <w:numId w:val="17"/>
        </w:numPr>
        <w:spacing w:line="360" w:before="105" w:after="105" w:lineRule="auto"/>
      </w:pPr>
      <w:r>
        <w:rPr>
          <w:rFonts w:eastAsia="inter" w:cs="inter" w:ascii="inter" w:hAnsi="inter"/>
          <w:b/>
          <w:color w:val="000000"/>
          <w:sz w:val="21"/>
        </w:rPr>
        <w:t xml:space="preserve">Ongoing AI Team</w:t>
      </w:r>
      <w:r>
        <w:rPr>
          <w:rFonts w:eastAsia="inter" w:cs="inter" w:ascii="inter" w:hAnsi="inter"/>
          <w:color w:val="000000"/>
          <w:sz w:val="21"/>
        </w:rPr>
        <w:t xml:space="preserve">: $300,000-$1,500,000 annually (2-3 senior engineers + ML ops)</w:t>
      </w:r>
    </w:p>
    <w:p>
      <w:pPr>
        <w:numPr>
          <w:ilvl w:val="0"/>
          <w:numId w:val="17"/>
        </w:numPr>
        <w:spacing w:line="360" w:before="105" w:after="105" w:lineRule="auto"/>
      </w:pPr>
      <w:r>
        <w:rPr>
          <w:rFonts w:eastAsia="inter" w:cs="inter" w:ascii="inter" w:hAnsi="inter"/>
          <w:b/>
          <w:color w:val="000000"/>
          <w:sz w:val="21"/>
        </w:rPr>
        <w:t xml:space="preserve">Infrastructure Costs</w:t>
      </w:r>
      <w:r>
        <w:rPr>
          <w:rFonts w:eastAsia="inter" w:cs="inter" w:ascii="inter" w:hAnsi="inter"/>
          <w:color w:val="000000"/>
          <w:sz w:val="21"/>
        </w:rPr>
        <w:t xml:space="preserve">: $5,000-$50,000/month (Kubernetes, monitoring, data pipelines, security audit)</w:t>
      </w:r>
    </w:p>
    <w:p>
      <w:pPr>
        <w:numPr>
          <w:ilvl w:val="0"/>
          <w:numId w:val="17"/>
        </w:numPr>
        <w:spacing w:line="360" w:before="105" w:after="105" w:lineRule="auto"/>
      </w:pPr>
      <w:r>
        <w:rPr>
          <w:rFonts w:eastAsia="inter" w:cs="inter" w:ascii="inter" w:hAnsi="inter"/>
          <w:b/>
          <w:color w:val="000000"/>
          <w:sz w:val="21"/>
        </w:rPr>
        <w:t xml:space="preserve">Total 3-Year Cost</w:t>
      </w:r>
      <w:r>
        <w:rPr>
          <w:rFonts w:eastAsia="inter" w:cs="inter" w:ascii="inter" w:hAnsi="inter"/>
          <w:color w:val="000000"/>
          <w:sz w:val="21"/>
        </w:rPr>
        <w:t xml:space="preserve">: $1,700,000-$5,400,000</w:t>
      </w:r>
    </w:p>
    <w:p>
      <w:pPr>
        <w:spacing w:line="360" w:after="210" w:lineRule="auto"/>
      </w:pPr>
      <w:r>
        <w:rPr>
          <w:rFonts w:eastAsia="inter" w:cs="inter" w:ascii="inter" w:hAnsi="inter"/>
          <w:b/>
          <w:color w:val="000000"/>
        </w:rPr>
        <w:t xml:space="preserve">Maestro Platform Economics (Estimated):</w:t>
      </w:r>
    </w:p>
    <w:p>
      <w:pPr>
        <w:numPr>
          <w:ilvl w:val="0"/>
          <w:numId w:val="18"/>
        </w:numPr>
        <w:spacing w:line="360" w:before="105" w:after="105" w:lineRule="auto"/>
      </w:pPr>
      <w:r>
        <w:rPr>
          <w:rFonts w:eastAsia="inter" w:cs="inter" w:ascii="inter" w:hAnsi="inter"/>
          <w:b/>
          <w:color w:val="000000"/>
          <w:sz w:val="21"/>
        </w:rPr>
        <w:t xml:space="preserve">SaaS Subscription</w:t>
      </w:r>
      <w:r>
        <w:rPr>
          <w:rFonts w:eastAsia="inter" w:cs="inter" w:ascii="inter" w:hAnsi="inter"/>
          <w:color w:val="000000"/>
          <w:sz w:val="21"/>
        </w:rPr>
        <w:t xml:space="preserve">: $15,000-$100,000/month (enterprise tier, usage-based pricing)</w:t>
      </w:r>
    </w:p>
    <w:p>
      <w:pPr>
        <w:numPr>
          <w:ilvl w:val="0"/>
          <w:numId w:val="18"/>
        </w:numPr>
        <w:spacing w:line="360" w:before="105" w:after="105" w:lineRule="auto"/>
      </w:pPr>
      <w:r>
        <w:rPr>
          <w:rFonts w:eastAsia="inter" w:cs="inter" w:ascii="inter" w:hAnsi="inter"/>
          <w:b/>
          <w:color w:val="000000"/>
          <w:sz w:val="21"/>
        </w:rPr>
        <w:t xml:space="preserve">Implementation</w:t>
      </w:r>
      <w:r>
        <w:rPr>
          <w:rFonts w:eastAsia="inter" w:cs="inter" w:ascii="inter" w:hAnsi="inter"/>
          <w:color w:val="000000"/>
          <w:sz w:val="21"/>
        </w:rPr>
        <w:t xml:space="preserve">: $50,000-$150,000 (data connector development, workflow customization)</w:t>
      </w:r>
    </w:p>
    <w:p>
      <w:pPr>
        <w:numPr>
          <w:ilvl w:val="0"/>
          <w:numId w:val="18"/>
        </w:numPr>
        <w:spacing w:line="360" w:before="105" w:after="105" w:lineRule="auto"/>
      </w:pPr>
      <w:r>
        <w:rPr>
          <w:rFonts w:eastAsia="inter" w:cs="inter" w:ascii="inter" w:hAnsi="inter"/>
          <w:b/>
          <w:color w:val="000000"/>
          <w:sz w:val="21"/>
        </w:rPr>
        <w:t xml:space="preserve">3-Year Cost</w:t>
      </w:r>
      <w:r>
        <w:rPr>
          <w:rFonts w:eastAsia="inter" w:cs="inter" w:ascii="inter" w:hAnsi="inter"/>
          <w:color w:val="000000"/>
          <w:sz w:val="21"/>
        </w:rPr>
        <w:t xml:space="preserve">: $600,000-$3,900,000</w:t>
      </w:r>
    </w:p>
    <w:p>
      <w:pPr>
        <w:spacing w:line="360" w:after="210" w:lineRule="auto"/>
      </w:pPr>
      <w:r>
        <w:rPr>
          <w:rFonts w:eastAsia="inter" w:cs="inter" w:ascii="inter" w:hAnsi="inter"/>
          <w:b/>
          <w:color w:val="000000"/>
        </w:rPr>
        <w:t xml:space="preserve">Break-Even Analysis:</w:t>
      </w:r>
    </w:p>
    <w:p>
      <w:pPr>
        <w:numPr>
          <w:ilvl w:val="0"/>
          <w:numId w:val="19"/>
        </w:numPr>
        <w:spacing w:line="360" w:before="105" w:after="105" w:lineRule="auto"/>
      </w:pPr>
      <w:r>
        <w:rPr>
          <w:rFonts w:eastAsia="inter" w:cs="inter" w:ascii="inter" w:hAnsi="inter"/>
          <w:color w:val="000000"/>
          <w:sz w:val="21"/>
        </w:rPr>
        <w:t xml:space="preserve">SMB (revenue &lt;$100M): Maestro likely cheaper than custom build (6-9 month break-even)</w:t>
      </w:r>
    </w:p>
    <w:p>
      <w:pPr>
        <w:numPr>
          <w:ilvl w:val="0"/>
          <w:numId w:val="19"/>
        </w:numPr>
        <w:spacing w:line="360" w:before="105" w:after="105" w:lineRule="auto"/>
      </w:pPr>
      <w:r>
        <w:rPr>
          <w:rFonts w:eastAsia="inter" w:cs="inter" w:ascii="inter" w:hAnsi="inter"/>
          <w:color w:val="000000"/>
          <w:sz w:val="21"/>
        </w:rPr>
        <w:t xml:space="preserve">Mid-market ($100M-$1B revenue): Marginal preference for Maestro if existing MLOps team absent</w:t>
      </w:r>
    </w:p>
    <w:p>
      <w:pPr>
        <w:numPr>
          <w:ilvl w:val="0"/>
          <w:numId w:val="19"/>
        </w:numPr>
        <w:spacing w:line="360" w:before="105" w:after="105" w:lineRule="auto"/>
      </w:pPr>
      <w:r>
        <w:rPr>
          <w:rFonts w:eastAsia="inter" w:cs="inter" w:ascii="inter" w:hAnsi="inter"/>
          <w:color w:val="000000"/>
          <w:sz w:val="21"/>
        </w:rPr>
        <w:t xml:space="preserve">Enterprise (&gt;$1B revenue): Custom builds often justified if workflow complexity warrants specialized team</w:t>
      </w:r>
    </w:p>
    <w:p>
      <w:pPr>
        <w:spacing w:line="360" w:before="315" w:after="105" w:lineRule="auto"/>
        <w:ind w:left="-30"/>
        <w:jc w:val="left"/>
      </w:pPr>
      <w:bookmarkStart w:id="63" w:name="the_governance_language_gap"/>
      <w:r>
        <w:rPr>
          <w:rFonts w:eastAsia="inter" w:cs="inter" w:ascii="inter" w:hAnsi="inter"/>
          <w:b/>
          <w:color w:val="000000"/>
          <w:sz w:val="24"/>
        </w:rPr>
        <w:t xml:space="preserve">The Governance Language Gap</w:t>
      </w:r>
      <w:bookmarkEnd w:id="63"/>
    </w:p>
    <w:p>
      <w:pPr>
        <w:spacing w:line="360" w:after="210" w:lineRule="auto"/>
      </w:pPr>
      <w:r>
        <w:rPr>
          <w:rFonts w:eastAsia="inter" w:cs="inter" w:ascii="inter" w:hAnsi="inter"/>
          <w:color w:val="000000"/>
        </w:rPr>
        <w:t xml:space="preserve">The user query references a "Maestro Python Subset" or "governance language" enabling enterprises to encode AI behavior without hallucinations. </w:t>
      </w:r>
      <w:r>
        <w:rPr>
          <w:rFonts w:eastAsia="inter" w:cs="inter" w:ascii="inter" w:hAnsi="inter"/>
          <w:b/>
          <w:color w:val="000000"/>
        </w:rPr>
        <w:t xml:space="preserve">Search results reveal this concept is not publicly detailed.</w:t>
      </w:r>
      <w:r>
        <w:rPr>
          <w:rFonts w:eastAsia="inter" w:cs="inter" w:ascii="inter" w:hAnsi="inter"/>
          <w:color w:val="000000"/>
        </w:rPr>
        <w:t xml:space="preserve"> Maestro marketing materials emphasize "visual execution graphs" and "automatic validation" but do not reference a formal domain-specific language (DSL) for governance encoding.</w:t>
      </w:r>
    </w:p>
    <w:p>
      <w:pPr>
        <w:spacing w:line="360" w:after="210" w:lineRule="auto"/>
      </w:pPr>
      <w:r>
        <w:rPr>
          <w:rFonts w:eastAsia="inter" w:cs="inter" w:ascii="inter" w:hAnsi="inter"/>
          <w:b/>
          <w:color w:val="000000"/>
        </w:rPr>
        <w:t xml:space="preserve">Inference</w:t>
      </w:r>
      <w:r>
        <w:rPr>
          <w:rFonts w:eastAsia="inter" w:cs="inter" w:ascii="inter" w:hAnsi="inter"/>
          <w:color w:val="000000"/>
        </w:rPr>
        <w:t xml:space="preserve">: Either this feature remains in stealth development, or marketing materials under-communicate technical depth. Competitors (LangChain's LangGraph, Microsoft's Semantic Kernel) offer similar graph-based governance through code-first DSLs, suggesting Maestro's governance innovation may be architectural rather than linguistic.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4" w:name="part_8_the_shashua_portfolio_complexity"/>
      <w:r>
        <w:rPr>
          <w:rFonts w:eastAsia="inter" w:cs="inter" w:ascii="inter" w:hAnsi="inter"/>
          <w:b/>
          <w:color w:val="000000"/>
          <w:sz w:val="24"/>
        </w:rPr>
        <w:t xml:space="preserve">Part 8: The Shashua Portfolio Complexity</w:t>
      </w:r>
      <w:bookmarkEnd w:id="64"/>
    </w:p>
    <w:p>
      <w:pPr>
        <w:spacing w:line="360" w:before="315" w:after="105" w:lineRule="auto"/>
        <w:ind w:left="-30"/>
        <w:jc w:val="left"/>
      </w:pPr>
      <w:bookmarkStart w:id="65" w:name="parallel_ventures_attention_fragm_f88b7e"/>
      <w:r>
        <w:rPr>
          <w:rFonts w:eastAsia="inter" w:cs="inter" w:ascii="inter" w:hAnsi="inter"/>
          <w:b/>
          <w:color w:val="000000"/>
          <w:sz w:val="24"/>
        </w:rPr>
        <w:t xml:space="preserve">Parallel Ventures &amp; Attention Fragmentation</w:t>
      </w:r>
      <w:bookmarkEnd w:id="65"/>
    </w:p>
    <w:p>
      <w:pPr>
        <w:spacing w:line="360" w:after="210" w:lineRule="auto"/>
      </w:pPr>
      <w:r>
        <w:rPr>
          <w:rFonts w:eastAsia="inter" w:cs="inter" w:ascii="inter" w:hAnsi="inter"/>
          <w:color w:val="000000"/>
        </w:rPr>
        <w:t xml:space="preserve">Amnon Shashua's leadership portfolio across three ventures creates strategic tension: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Venture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Role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Founded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Stage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Focus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Mobileye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CEO + Founder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2006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Public (part of Intel)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Autonomous driving + robotics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AI21 Labs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Chairman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2017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Acquisition talks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Enterprise reasoning systems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AAI Technologies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Founder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2023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Stealth → Public (Dec 2024)</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Large Reasoning Models (LRMs)</w:t>
            </w:r>
          </w:p>
        </w:tc>
      </w:tr>
    </w:tbl>
    <w:p>
      <w:pPr>
        <w:spacing w:lineRule="auto"/>
      </w:pPr>
    </w:p>
    <w:p>
      <w:pPr>
        <w:spacing w:line="360" w:after="210" w:lineRule="auto"/>
      </w:pPr>
      <w:r>
        <w:rPr>
          <w:rFonts w:eastAsia="inter" w:cs="inter" w:ascii="inter" w:hAnsi="inter"/>
          <w:b/>
          <w:color w:val="000000"/>
        </w:rPr>
        <w:t xml:space="preserve">Critical Conflict</w:t>
      </w:r>
      <w:r>
        <w:rPr>
          <w:rFonts w:eastAsia="inter" w:cs="inter" w:ascii="inter" w:hAnsi="inter"/>
          <w:color w:val="000000"/>
        </w:rPr>
        <w:t xml:space="preserve">: Shashua's January 2026 focus on Mobileye's $900M Mentee Robotics acquisition (where he holds 37.8% stake) and AAI Technologies' PAC Reasoning research suggests </w:t>
      </w:r>
      <w:r>
        <w:rPr>
          <w:rFonts w:eastAsia="inter" w:cs="inter" w:ascii="inter" w:hAnsi="inter"/>
          <w:b/>
          <w:color w:val="000000"/>
        </w:rPr>
        <w:t xml:space="preserve">waning attention to AI21 strategic execution.</w:t>
      </w:r>
      <w:bookmarkStart w:id="66" w:name="fnref3_2"/>
      <w:bookmarkEnd w:id="66"/>
      <w:hyperlink w:anchor="fn3">
        <w:r>
          <w:rPr>
            <w:rFonts w:eastAsia="inter" w:cs="inter" w:ascii="inter" w:hAnsi="inter"/>
            <w:color w:val="#000"/>
            <w:u w:val="single"/>
            <w:vertAlign w:val="superscript"/>
          </w:rPr>
          <w:t xml:space="preserve">[3]</w:t>
        </w:r>
      </w:hyperlink>
      <w:bookmarkStart w:id="67" w:name="fnref27"/>
      <w:bookmarkEnd w:id="67"/>
      <w:hyperlink w:anchor="fn27">
        <w:r>
          <w:rPr>
            <w:rFonts w:eastAsia="inter" w:cs="inter" w:ascii="inter" w:hAnsi="inter"/>
            <w:color w:val="#000"/>
            <w:u w:val="single"/>
            <w:vertAlign w:val="superscript"/>
          </w:rPr>
          <w:t xml:space="preserve">[27]</w:t>
        </w:r>
      </w:hyperlink>
    </w:p>
    <w:p>
      <w:pPr>
        <w:spacing w:line="360" w:after="210" w:lineRule="auto"/>
      </w:pPr>
      <w:r>
        <w:rPr>
          <w:rFonts w:eastAsia="inter" w:cs="inter" w:ascii="inter" w:hAnsi="inter"/>
          <w:b/>
          <w:color w:val="000000"/>
        </w:rPr>
        <w:t xml:space="preserve">AAI's Implicit Thesis</w:t>
      </w:r>
      <w:r>
        <w:rPr>
          <w:rFonts w:eastAsia="inter" w:cs="inter" w:ascii="inter" w:hAnsi="inter"/>
          <w:color w:val="000000"/>
        </w:rPr>
        <w:t xml:space="preserve">: Large Reasoning Models (LRMs) represent the next frontier beyond current language models. This directly competes with AI21's neurosymbolic positioning, potentially cannibalizing resources and researcher talent toward AAI.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8" w:name="conclusions_actionable_insights"/>
      <w:r>
        <w:rPr>
          <w:rFonts w:eastAsia="inter" w:cs="inter" w:ascii="inter" w:hAnsi="inter"/>
          <w:b/>
          <w:color w:val="000000"/>
          <w:sz w:val="24"/>
        </w:rPr>
        <w:t xml:space="preserve">Conclusions &amp; Actionable Insights</w:t>
      </w:r>
      <w:bookmarkEnd w:id="68"/>
    </w:p>
    <w:p>
      <w:pPr>
        <w:spacing w:line="360" w:before="315" w:after="105" w:lineRule="auto"/>
        <w:ind w:left="-30"/>
        <w:jc w:val="left"/>
      </w:pPr>
      <w:bookmarkStart w:id="69" w:name="the_truth_behind_the_narrative"/>
      <w:r>
        <w:rPr>
          <w:rFonts w:eastAsia="inter" w:cs="inter" w:ascii="inter" w:hAnsi="inter"/>
          <w:b/>
          <w:color w:val="000000"/>
          <w:sz w:val="24"/>
        </w:rPr>
        <w:t xml:space="preserve">The Truth Behind the Narrative</w:t>
      </w:r>
      <w:bookmarkEnd w:id="69"/>
    </w:p>
    <w:p>
      <w:pPr>
        <w:numPr>
          <w:ilvl w:val="0"/>
          <w:numId w:val="20"/>
        </w:numPr>
        <w:spacing w:line="360" w:after="210" w:lineRule="auto"/>
      </w:pPr>
      <w:r>
        <w:rPr>
          <w:rFonts w:eastAsia="inter" w:cs="inter" w:ascii="inter" w:hAnsi="inter"/>
          <w:b/>
          <w:color w:val="000000"/>
          <w:sz w:val="21"/>
        </w:rPr>
        <w:t xml:space="preserve">NVIDIA Deal</w:t>
      </w:r>
      <w:r>
        <w:rPr>
          <w:rFonts w:eastAsia="inter" w:cs="inter" w:ascii="inter" w:hAnsi="inter"/>
          <w:color w:val="000000"/>
          <w:sz w:val="21"/>
        </w:rPr>
        <w:t xml:space="preserve">: Preliminary talks are real, but an acquisition structure remains unconfirmed and dependent on Q1-Q2 2026 negotiations. The deal represents talent consolidation more than technology acquisition—a signal that AI21's product market fit remains unproven despite technical strength.</w:t>
      </w:r>
    </w:p>
    <w:p>
      <w:pPr>
        <w:numPr>
          <w:ilvl w:val="0"/>
          <w:numId w:val="20"/>
        </w:numPr>
        <w:spacing w:line="360" w:after="210" w:lineRule="auto"/>
      </w:pPr>
      <w:r>
        <w:rPr>
          <w:rFonts w:eastAsia="inter" w:cs="inter" w:ascii="inter" w:hAnsi="inter"/>
          <w:b/>
          <w:color w:val="000000"/>
          <w:sz w:val="21"/>
        </w:rPr>
        <w:t xml:space="preserve">Maestro Overstatement</w:t>
      </w:r>
      <w:r>
        <w:rPr>
          <w:rFonts w:eastAsia="inter" w:cs="inter" w:ascii="inter" w:hAnsi="inter"/>
          <w:color w:val="000000"/>
          <w:sz w:val="21"/>
        </w:rPr>
        <w:t xml:space="preserve">: While genuinely differentiated in governance and validation architecture, Maestro faces fierce competition from entrenched frameworks (LangChain, AutoGen) with 10x the GitHub momentum and proven enterprise deployments. The "50% accuracy improvement" claim requires independent verification and remains unsupported by third-party benchmarks.</w:t>
      </w:r>
    </w:p>
    <w:p>
      <w:pPr>
        <w:numPr>
          <w:ilvl w:val="0"/>
          <w:numId w:val="20"/>
        </w:numPr>
        <w:spacing w:line="360" w:after="210" w:lineRule="auto"/>
      </w:pPr>
      <w:r>
        <w:rPr>
          <w:rFonts w:eastAsia="inter" w:cs="inter" w:ascii="inter" w:hAnsi="inter"/>
          <w:b/>
          <w:color w:val="000000"/>
          <w:sz w:val="21"/>
        </w:rPr>
        <w:t xml:space="preserve">Jamba's Real Moat</w:t>
      </w:r>
      <w:r>
        <w:rPr>
          <w:rFonts w:eastAsia="inter" w:cs="inter" w:ascii="inter" w:hAnsi="inter"/>
          <w:color w:val="000000"/>
          <w:sz w:val="21"/>
        </w:rPr>
        <w:t xml:space="preserve">: The long-context efficiency advantage is genuine and defensible for the next 12-18 months. However, as competitors optimize their own architectures (Mistral's upcoming releases, Meta's Llama updates), this advantage will compress. Open-source release limits Jamba's pricing power.</w:t>
      </w:r>
    </w:p>
    <w:p>
      <w:pPr>
        <w:numPr>
          <w:ilvl w:val="0"/>
          <w:numId w:val="20"/>
        </w:numPr>
        <w:spacing w:line="360" w:after="210" w:lineRule="auto"/>
      </w:pPr>
      <w:r>
        <w:rPr>
          <w:rFonts w:eastAsia="inter" w:cs="inter" w:ascii="inter" w:hAnsi="inter"/>
          <w:b/>
          <w:color w:val="000000"/>
          <w:sz w:val="21"/>
        </w:rPr>
        <w:t xml:space="preserve">Neurosymbolic Positioning is Philosophically Sound but Commercially Unproven</w:t>
      </w:r>
      <w:r>
        <w:rPr>
          <w:rFonts w:eastAsia="inter" w:cs="inter" w:ascii="inter" w:hAnsi="inter"/>
          <w:color w:val="000000"/>
          <w:sz w:val="21"/>
        </w:rPr>
        <w:t xml:space="preserve">: While Shashua's critique of LLM reasoning limitations is intellectually rigorous, enterprise adoption requires not just better architecture but also demonstrated compliance benefits across regulated industries. Only one public case study (retail) exists.</w:t>
      </w:r>
    </w:p>
    <w:p>
      <w:pPr>
        <w:numPr>
          <w:ilvl w:val="0"/>
          <w:numId w:val="20"/>
        </w:numPr>
        <w:spacing w:line="360" w:after="210" w:lineRule="auto"/>
      </w:pPr>
      <w:r>
        <w:rPr>
          <w:rFonts w:eastAsia="inter" w:cs="inter" w:ascii="inter" w:hAnsi="inter"/>
          <w:b/>
          <w:color w:val="000000"/>
          <w:sz w:val="21"/>
        </w:rPr>
        <w:t xml:space="preserve">Customer Traction Lags Claims</w:t>
      </w:r>
      <w:r>
        <w:rPr>
          <w:rFonts w:eastAsia="inter" w:cs="inter" w:ascii="inter" w:hAnsi="inter"/>
          <w:color w:val="000000"/>
          <w:sz w:val="21"/>
        </w:rPr>
        <w:t xml:space="preserve">: Confirmed enterprise relationships number 3-4; competitors boast 30-50+. This gap makes standalone profitability on current trajectory unlikely within 3-5 years.</w:t>
      </w:r>
    </w:p>
    <w:p>
      <w:pPr>
        <w:spacing w:line="360" w:before="315" w:after="105" w:lineRule="auto"/>
        <w:ind w:left="-30"/>
        <w:jc w:val="left"/>
      </w:pPr>
      <w:bookmarkStart w:id="70" w:name="strategic_implications"/>
      <w:r>
        <w:rPr>
          <w:rFonts w:eastAsia="inter" w:cs="inter" w:ascii="inter" w:hAnsi="inter"/>
          <w:b/>
          <w:color w:val="000000"/>
          <w:sz w:val="24"/>
        </w:rPr>
        <w:t xml:space="preserve">Strategic Implications</w:t>
      </w:r>
      <w:bookmarkEnd w:id="70"/>
    </w:p>
    <w:p>
      <w:pPr>
        <w:spacing w:line="360" w:after="210" w:lineRule="auto"/>
      </w:pPr>
      <w:r>
        <w:rPr>
          <w:rFonts w:eastAsia="inter" w:cs="inter" w:ascii="inter" w:hAnsi="inter"/>
          <w:b/>
          <w:color w:val="000000"/>
        </w:rPr>
        <w:t xml:space="preserve">For Enterprises Evaluating AI21:</w:t>
      </w:r>
    </w:p>
    <w:p>
      <w:pPr>
        <w:numPr>
          <w:ilvl w:val="0"/>
          <w:numId w:val="21"/>
        </w:numPr>
        <w:spacing w:line="360" w:before="105" w:after="105" w:lineRule="auto"/>
      </w:pPr>
      <w:r>
        <w:rPr>
          <w:rFonts w:eastAsia="inter" w:cs="inter" w:ascii="inter" w:hAnsi="inter"/>
          <w:b/>
          <w:color w:val="000000"/>
          <w:sz w:val="21"/>
        </w:rPr>
        <w:t xml:space="preserve">Maestro</w:t>
      </w:r>
      <w:r>
        <w:rPr>
          <w:rFonts w:eastAsia="inter" w:cs="inter" w:ascii="inter" w:hAnsi="inter"/>
          <w:color w:val="000000"/>
          <w:sz w:val="21"/>
        </w:rPr>
        <w:t xml:space="preserve">: Suitable for highly regulated workflows (finance, healthcare) where explainability is non-negotiable. Expect 6-12 month implementation cycle and premium pricing vs. LangChain/AutoGen.</w:t>
      </w:r>
    </w:p>
    <w:p>
      <w:pPr>
        <w:numPr>
          <w:ilvl w:val="0"/>
          <w:numId w:val="21"/>
        </w:numPr>
        <w:spacing w:line="360" w:before="105" w:after="105" w:lineRule="auto"/>
      </w:pPr>
      <w:r>
        <w:rPr>
          <w:rFonts w:eastAsia="inter" w:cs="inter" w:ascii="inter" w:hAnsi="inter"/>
          <w:b/>
          <w:color w:val="000000"/>
          <w:sz w:val="21"/>
        </w:rPr>
        <w:t xml:space="preserve">Jamba</w:t>
      </w:r>
      <w:r>
        <w:rPr>
          <w:rFonts w:eastAsia="inter" w:cs="inter" w:ascii="inter" w:hAnsi="inter"/>
          <w:color w:val="000000"/>
          <w:sz w:val="21"/>
        </w:rPr>
        <w:t xml:space="preserve">: Optimal for long-context tasks (&gt;64K tokens) requiring efficiency. Recommended for on-premise/VPC deployment to avoid vendor lock-in; expect to maintain custom operators for domain-specific logic.</w:t>
      </w:r>
    </w:p>
    <w:p>
      <w:pPr>
        <w:numPr>
          <w:ilvl w:val="0"/>
          <w:numId w:val="21"/>
        </w:numPr>
        <w:spacing w:line="360" w:before="105" w:after="105" w:lineRule="auto"/>
      </w:pPr>
      <w:r>
        <w:rPr>
          <w:rFonts w:eastAsia="inter" w:cs="inter" w:ascii="inter" w:hAnsi="inter"/>
          <w:b/>
          <w:color w:val="000000"/>
          <w:sz w:val="21"/>
        </w:rPr>
        <w:t xml:space="preserve">Risk Profile</w:t>
      </w:r>
      <w:r>
        <w:rPr>
          <w:rFonts w:eastAsia="inter" w:cs="inter" w:ascii="inter" w:hAnsi="inter"/>
          <w:color w:val="000000"/>
          <w:sz w:val="21"/>
        </w:rPr>
        <w:t xml:space="preserve">: Higher due to potential acquisition disruption and limited production deployment history.</w:t>
      </w:r>
    </w:p>
    <w:p>
      <w:pPr>
        <w:spacing w:line="360" w:after="210" w:lineRule="auto"/>
      </w:pPr>
      <w:r>
        <w:rPr>
          <w:rFonts w:eastAsia="inter" w:cs="inter" w:ascii="inter" w:hAnsi="inter"/>
          <w:b/>
          <w:color w:val="000000"/>
        </w:rPr>
        <w:t xml:space="preserve">For Competitors:</w:t>
      </w:r>
    </w:p>
    <w:p>
      <w:pPr>
        <w:numPr>
          <w:ilvl w:val="0"/>
          <w:numId w:val="22"/>
        </w:numPr>
        <w:spacing w:line="360" w:before="105" w:after="105" w:lineRule="auto"/>
      </w:pPr>
      <w:r>
        <w:rPr>
          <w:rFonts w:eastAsia="inter" w:cs="inter" w:ascii="inter" w:hAnsi="inter"/>
          <w:b/>
          <w:color w:val="000000"/>
          <w:sz w:val="21"/>
        </w:rPr>
        <w:t xml:space="preserve">LangChain/AutoGen</w:t>
      </w:r>
      <w:r>
        <w:rPr>
          <w:rFonts w:eastAsia="inter" w:cs="inter" w:ascii="inter" w:hAnsi="inter"/>
          <w:color w:val="000000"/>
          <w:sz w:val="21"/>
        </w:rPr>
        <w:t xml:space="preserve">: Should accelerate validation-layer features (error correction, compliance checking) to match Maestro's positioning.</w:t>
      </w:r>
    </w:p>
    <w:p>
      <w:pPr>
        <w:numPr>
          <w:ilvl w:val="0"/>
          <w:numId w:val="22"/>
        </w:numPr>
        <w:spacing w:line="360" w:before="105" w:after="105" w:lineRule="auto"/>
      </w:pPr>
      <w:r>
        <w:rPr>
          <w:rFonts w:eastAsia="inter" w:cs="inter" w:ascii="inter" w:hAnsi="inter"/>
          <w:b/>
          <w:color w:val="000000"/>
          <w:sz w:val="21"/>
        </w:rPr>
        <w:t xml:space="preserve">OpenAI/Anthropic</w:t>
      </w:r>
      <w:r>
        <w:rPr>
          <w:rFonts w:eastAsia="inter" w:cs="inter" w:ascii="inter" w:hAnsi="inter"/>
          <w:color w:val="000000"/>
          <w:sz w:val="21"/>
        </w:rPr>
        <w:t xml:space="preserve">: Should integrate constitutional AI and governance frameworks into native orchestration to defend against Maestro's compliance narrative.</w:t>
      </w:r>
    </w:p>
    <w:p>
      <w:pPr>
        <w:numPr>
          <w:ilvl w:val="0"/>
          <w:numId w:val="22"/>
        </w:numPr>
        <w:spacing w:line="360" w:before="105" w:after="105" w:lineRule="auto"/>
      </w:pPr>
      <w:r>
        <w:rPr>
          <w:rFonts w:eastAsia="inter" w:cs="inter" w:ascii="inter" w:hAnsi="inter"/>
          <w:b/>
          <w:color w:val="000000"/>
          <w:sz w:val="21"/>
        </w:rPr>
        <w:t xml:space="preserve">NVIDIA</w:t>
      </w:r>
      <w:r>
        <w:rPr>
          <w:rFonts w:eastAsia="inter" w:cs="inter" w:ascii="inter" w:hAnsi="inter"/>
          <w:color w:val="000000"/>
          <w:sz w:val="21"/>
        </w:rPr>
        <w:t xml:space="preserve">: Acquisition economically rational if talent cost justifies $12.5M per researcher vs. organic hiring at $1-2M per researcher annually.</w:t>
      </w:r>
    </w:p>
    <w:p>
      <w:pPr>
        <w:spacing w:line="360" w:after="210" w:lineRule="auto"/>
      </w:pPr>
      <w:r>
        <w:rPr>
          <w:rFonts w:eastAsia="inter" w:cs="inter" w:ascii="inter" w:hAnsi="inter"/>
          <w:b/>
          <w:color w:val="000000"/>
        </w:rPr>
        <w:t xml:space="preserve">For Investors:</w:t>
      </w:r>
    </w:p>
    <w:p>
      <w:pPr>
        <w:numPr>
          <w:ilvl w:val="0"/>
          <w:numId w:val="23"/>
        </w:numPr>
        <w:spacing w:line="360" w:before="105" w:after="105" w:lineRule="auto"/>
      </w:pPr>
      <w:r>
        <w:rPr>
          <w:rFonts w:eastAsia="inter" w:cs="inter" w:ascii="inter" w:hAnsi="inter"/>
          <w:b/>
          <w:color w:val="000000"/>
          <w:sz w:val="21"/>
        </w:rPr>
        <w:t xml:space="preserve">Bulls</w:t>
      </w:r>
      <w:r>
        <w:rPr>
          <w:rFonts w:eastAsia="inter" w:cs="inter" w:ascii="inter" w:hAnsi="inter"/>
          <w:color w:val="000000"/>
          <w:sz w:val="21"/>
        </w:rPr>
        <w:t xml:space="preserve">: Shashua's track record (Mobileye's $15B exit) suggests pattern-recognition ability. AAI Technologies' unicorn status signals founder credibility in reasoning research.</w:t>
      </w:r>
    </w:p>
    <w:p>
      <w:pPr>
        <w:numPr>
          <w:ilvl w:val="0"/>
          <w:numId w:val="23"/>
        </w:numPr>
        <w:spacing w:line="360" w:before="105" w:after="105" w:lineRule="auto"/>
      </w:pPr>
      <w:r>
        <w:rPr>
          <w:rFonts w:eastAsia="inter" w:cs="inter" w:ascii="inter" w:hAnsi="inter"/>
          <w:b/>
          <w:color w:val="000000"/>
          <w:sz w:val="21"/>
        </w:rPr>
        <w:t xml:space="preserve">Bears</w:t>
      </w:r>
      <w:r>
        <w:rPr>
          <w:rFonts w:eastAsia="inter" w:cs="inter" w:ascii="inter" w:hAnsi="inter"/>
          <w:color w:val="000000"/>
          <w:sz w:val="21"/>
        </w:rPr>
        <w:t xml:space="preserve">: Failed Series D ($300M), flat revenue ($50M), declining headcount (260→200), and dependency on single founder attention represent material risks.</w:t>
      </w:r>
    </w:p>
    <w:p>
      <w:pPr>
        <w:numPr>
          <w:ilvl w:val="0"/>
          <w:numId w:val="23"/>
        </w:numPr>
        <w:spacing w:line="360" w:before="105" w:after="105" w:lineRule="auto"/>
      </w:pPr>
      <w:r>
        <w:rPr>
          <w:rFonts w:eastAsia="inter" w:cs="inter" w:ascii="inter" w:hAnsi="inter"/>
          <w:b/>
          <w:color w:val="000000"/>
          <w:sz w:val="21"/>
        </w:rPr>
        <w:t xml:space="preserve">Verdict</w:t>
      </w:r>
      <w:r>
        <w:rPr>
          <w:rFonts w:eastAsia="inter" w:cs="inter" w:ascii="inter" w:hAnsi="inter"/>
          <w:color w:val="000000"/>
          <w:sz w:val="21"/>
        </w:rPr>
        <w:t xml:space="preserve">: NVIDIA acquisition at $2.5B represents fair valuation for current traction level; standalone path to profitability remains uncertain.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1" w:name="final_assessment"/>
      <w:r>
        <w:rPr>
          <w:rFonts w:eastAsia="inter" w:cs="inter" w:ascii="inter" w:hAnsi="inter"/>
          <w:b/>
          <w:color w:val="000000"/>
          <w:sz w:val="24"/>
        </w:rPr>
        <w:t xml:space="preserve">Final Assessment</w:t>
      </w:r>
      <w:bookmarkEnd w:id="71"/>
    </w:p>
    <w:p>
      <w:pPr>
        <w:spacing w:line="360" w:after="210" w:lineRule="auto"/>
      </w:pPr>
      <w:r>
        <w:rPr>
          <w:rFonts w:eastAsia="inter" w:cs="inter" w:ascii="inter" w:hAnsi="inter"/>
          <w:color w:val="000000"/>
        </w:rPr>
        <w:t xml:space="preserve">AI21 Labs has successfully transitioned from a generalist LLM competitor (losing race to OpenAI, Anthropic) to a specialized enterprise systems provider with genuine technical differentiation. Jamba's architecture is defensible, Maestro's governance innovation is real, and the neurosymbolic philosophy resonates in regulated industries.</w:t>
      </w:r>
    </w:p>
    <w:p>
      <w:pPr>
        <w:spacing w:line="360" w:after="210" w:lineRule="auto"/>
      </w:pPr>
      <w:r>
        <w:rPr>
          <w:rFonts w:eastAsia="inter" w:cs="inter" w:ascii="inter" w:hAnsi="inter"/>
          <w:color w:val="000000"/>
        </w:rPr>
        <w:t xml:space="preserve">However, the company now faces a classic venture-scale inflection: insufficient customer traction to support continued independence, yet strong enough technical position to justify acquisition or deep partnership. The NVIDIA talks reflect this reality—not desperation, but rational capital allocation given market dynamics.</w:t>
      </w:r>
    </w:p>
    <w:p>
      <w:pPr>
        <w:spacing w:line="360" w:after="210" w:lineRule="auto"/>
      </w:pPr>
      <w:r>
        <w:rPr>
          <w:rFonts w:eastAsia="inter" w:cs="inter" w:ascii="inter" w:hAnsi="inter"/>
          <w:b/>
          <w:color w:val="000000"/>
        </w:rPr>
        <w:t xml:space="preserve">Expected outcome by Q2 2026</w:t>
      </w:r>
      <w:r>
        <w:rPr>
          <w:rFonts w:eastAsia="inter" w:cs="inter" w:ascii="inter" w:hAnsi="inter"/>
          <w:color w:val="000000"/>
        </w:rPr>
        <w:t xml:space="preserve">: 60% probability of NVIDIA acquisition at $2.3-2.7B; 25% probability of strategic partnership; 15% probability of continued independence with new growth-equity funding.</w:t>
      </w:r>
    </w:p>
    <w:p>
      <w:pPr>
        <w:spacing w:line="360" w:after="210" w:lineRule="auto"/>
      </w:pPr>
      <w:r>
        <w:rPr>
          <w:rFonts w:eastAsia="inter" w:cs="inter" w:ascii="inter" w:hAnsi="inter"/>
          <w:color w:val="000000"/>
        </w:rPr>
        <w:t xml:space="preserve">The "Reasoning &amp; Planning Empire" framing overstates current position but accurately captures long-term aspiration. If AI21 successfully demonstrates Maestro adoption among 5-10 Fortune 500 firms in FY2026, standalone valuation could exceed $5B within 3 years. Conversely, if Maestro fails to gain traction against entrenched alternatives, acquisition becomes inevitable within 12 months.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72" w:name="fn1"/>
    <w:bookmarkEnd w:id="72"/>
    <w:p>
      <w:pPr>
        <w:numPr>
          <w:ilvl w:val="0"/>
          <w:numId w:val="25"/>
        </w:numPr>
        <w:spacing w:line="360" w:after="210" w:lineRule="auto"/>
      </w:pPr>
      <w:hyperlink r:id="rId11">
        <w:r>
          <w:rPr>
            <w:rFonts w:eastAsia="inter" w:cs="inter" w:ascii="inter" w:hAnsi="inter"/>
            <w:color w:val="#000"/>
            <w:sz w:val="18"/>
            <w:u w:val="single"/>
          </w:rPr>
          <w:t xml:space="preserve">https://www.globes.co.il/news/article.aspx?did=1001531815</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3" w:name="fn2"/>
    <w:bookmarkEnd w:id="73"/>
    <w:p>
      <w:pPr>
        <w:numPr>
          <w:ilvl w:val="0"/>
          <w:numId w:val="25"/>
        </w:numPr>
        <w:spacing w:line="360" w:after="210" w:lineRule="auto"/>
      </w:pPr>
      <w:hyperlink r:id="rId12">
        <w:r>
          <w:rPr>
            <w:rFonts w:eastAsia="inter" w:cs="inter" w:ascii="inter" w:hAnsi="inter"/>
            <w:color w:val="#000"/>
            <w:sz w:val="18"/>
            <w:u w:val="single"/>
          </w:rPr>
          <w:t xml:space="preserve">https://www.calcalistech.com/ctechnews/article/rkbh00xnzl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4" w:name="fn3"/>
    <w:bookmarkEnd w:id="74"/>
    <w:p>
      <w:pPr>
        <w:numPr>
          <w:ilvl w:val="0"/>
          <w:numId w:val="25"/>
        </w:numPr>
        <w:spacing w:line="360" w:after="210" w:lineRule="auto"/>
      </w:pPr>
      <w:hyperlink r:id="rId13">
        <w:r>
          <w:rPr>
            <w:rFonts w:eastAsia="inter" w:cs="inter" w:ascii="inter" w:hAnsi="inter"/>
            <w:color w:val="#000"/>
            <w:sz w:val="18"/>
            <w:u w:val="single"/>
          </w:rPr>
          <w:t xml:space="preserve">https://www.calcalistech.com/ctechnews/article/h1e8rttn11x</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5" w:name="fn4"/>
    <w:bookmarkEnd w:id="75"/>
    <w:p>
      <w:pPr>
        <w:numPr>
          <w:ilvl w:val="0"/>
          <w:numId w:val="25"/>
        </w:numPr>
        <w:spacing w:line="360" w:after="210" w:lineRule="auto"/>
      </w:pPr>
      <w:hyperlink r:id="rId14">
        <w:r>
          <w:rPr>
            <w:rFonts w:eastAsia="inter" w:cs="inter" w:ascii="inter" w:hAnsi="inter"/>
            <w:color w:val="#000"/>
            <w:sz w:val="18"/>
            <w:u w:val="single"/>
          </w:rPr>
          <w:t xml:space="preserve">https://www.calcalistech.com/ctechnews/article/rjswz37eze</w:t>
        </w:r>
      </w:hyperlink>
      <w:r>
        <w:rPr>
          <w:rFonts w:eastAsia="inter" w:cs="inter" w:ascii="inter" w:hAnsi="inter"/>
          <w:color w:val="000000"/>
          <w:sz w:val="18"/>
        </w:rPr>
        <w:t xml:space="preserve"> </w:t>
      </w:r>
    </w:p>
    <w:bookmarkStart w:id="76" w:name="fn5"/>
    <w:bookmarkEnd w:id="76"/>
    <w:p>
      <w:pPr>
        <w:numPr>
          <w:ilvl w:val="0"/>
          <w:numId w:val="25"/>
        </w:numPr>
        <w:spacing w:line="360" w:after="210" w:lineRule="auto"/>
      </w:pPr>
      <w:hyperlink r:id="rId15">
        <w:r>
          <w:rPr>
            <w:rFonts w:eastAsia="inter" w:cs="inter" w:ascii="inter" w:hAnsi="inter"/>
            <w:color w:val="#000"/>
            <w:sz w:val="18"/>
            <w:u w:val="single"/>
          </w:rPr>
          <w:t xml:space="preserve">https://www.reuters.com/business/nvidia-advanced-talks-buy-israels-ai21-labs-up-3-billion-report-says-2025-12-30/</w:t>
        </w:r>
      </w:hyperlink>
      <w:r>
        <w:rPr>
          <w:rFonts w:eastAsia="inter" w:cs="inter" w:ascii="inter" w:hAnsi="inter"/>
          <w:color w:val="000000"/>
          <w:sz w:val="18"/>
        </w:rPr>
        <w:t xml:space="preserve"> </w:t>
      </w:r>
    </w:p>
    <w:bookmarkStart w:id="77" w:name="fn6"/>
    <w:bookmarkEnd w:id="77"/>
    <w:p>
      <w:pPr>
        <w:numPr>
          <w:ilvl w:val="0"/>
          <w:numId w:val="25"/>
        </w:numPr>
        <w:spacing w:line="360" w:after="210" w:lineRule="auto"/>
      </w:pPr>
      <w:hyperlink r:id="rId16">
        <w:r>
          <w:rPr>
            <w:rFonts w:eastAsia="inter" w:cs="inter" w:ascii="inter" w:hAnsi="inter"/>
            <w:color w:val="#000"/>
            <w:sz w:val="18"/>
            <w:u w:val="single"/>
          </w:rPr>
          <w:t xml:space="preserve">https://www.investing.com/news/stock-market-news/nvidia-in-talks-to-buy-a21-labs-for-2b3b-israeli-media-reports-4425683</w:t>
        </w:r>
      </w:hyperlink>
      <w:r>
        <w:rPr>
          <w:rFonts w:eastAsia="inter" w:cs="inter" w:ascii="inter" w:hAnsi="inter"/>
          <w:color w:val="000000"/>
          <w:sz w:val="18"/>
        </w:rPr>
        <w:t xml:space="preserve"> </w:t>
      </w:r>
    </w:p>
    <w:bookmarkStart w:id="78" w:name="fn7"/>
    <w:bookmarkEnd w:id="78"/>
    <w:p>
      <w:pPr>
        <w:numPr>
          <w:ilvl w:val="0"/>
          <w:numId w:val="25"/>
        </w:numPr>
        <w:spacing w:line="360" w:after="210" w:lineRule="auto"/>
      </w:pPr>
      <w:hyperlink r:id="rId17">
        <w:r>
          <w:rPr>
            <w:rFonts w:eastAsia="inter" w:cs="inter" w:ascii="inter" w:hAnsi="inter"/>
            <w:color w:val="#000"/>
            <w:sz w:val="18"/>
            <w:u w:val="single"/>
          </w:rPr>
          <w:t xml:space="preserve">https://finance.yahoo.com/news/nvidia-advanced-talks-buy-israels-171025289.html</w:t>
        </w:r>
      </w:hyperlink>
      <w:r>
        <w:rPr>
          <w:rFonts w:eastAsia="inter" w:cs="inter" w:ascii="inter" w:hAnsi="inter"/>
          <w:color w:val="000000"/>
          <w:sz w:val="18"/>
        </w:rPr>
        <w:t xml:space="preserve"> </w:t>
      </w:r>
    </w:p>
    <w:bookmarkStart w:id="79" w:name="fn8"/>
    <w:bookmarkEnd w:id="79"/>
    <w:p>
      <w:pPr>
        <w:numPr>
          <w:ilvl w:val="0"/>
          <w:numId w:val="25"/>
        </w:numPr>
        <w:spacing w:line="360" w:after="210" w:lineRule="auto"/>
      </w:pPr>
      <w:hyperlink r:id="rId18">
        <w:r>
          <w:rPr>
            <w:rFonts w:eastAsia="inter" w:cs="inter" w:ascii="inter" w:hAnsi="inter"/>
            <w:color w:val="#000"/>
            <w:sz w:val="18"/>
            <w:u w:val="single"/>
          </w:rPr>
          <w:t xml:space="preserve">https://www.ai21.com/research/page/2/</w:t>
        </w:r>
      </w:hyperlink>
      <w:r>
        <w:rPr>
          <w:rFonts w:eastAsia="inter" w:cs="inter" w:ascii="inter" w:hAnsi="inter"/>
          <w:color w:val="000000"/>
          <w:sz w:val="18"/>
        </w:rPr>
        <w:t xml:space="preserve"> </w:t>
      </w:r>
    </w:p>
    <w:bookmarkStart w:id="80" w:name="fn9"/>
    <w:bookmarkEnd w:id="80"/>
    <w:p>
      <w:pPr>
        <w:numPr>
          <w:ilvl w:val="0"/>
          <w:numId w:val="25"/>
        </w:numPr>
        <w:spacing w:line="360" w:after="210" w:lineRule="auto"/>
      </w:pPr>
      <w:hyperlink r:id="rId19">
        <w:r>
          <w:rPr>
            <w:rFonts w:eastAsia="inter" w:cs="inter" w:ascii="inter" w:hAnsi="inter"/>
            <w:color w:val="#000"/>
            <w:sz w:val="18"/>
            <w:u w:val="single"/>
          </w:rPr>
          <w:t xml:space="preserve">https://www.calcalistech.com/ctechnews/article/sywu003axyg</w:t>
        </w:r>
      </w:hyperlink>
      <w:r>
        <w:rPr>
          <w:rFonts w:eastAsia="inter" w:cs="inter" w:ascii="inter" w:hAnsi="inter"/>
          <w:color w:val="000000"/>
          <w:sz w:val="18"/>
        </w:rPr>
        <w:t xml:space="preserve"> </w:t>
      </w:r>
    </w:p>
    <w:bookmarkStart w:id="81" w:name="fn10"/>
    <w:bookmarkEnd w:id="81"/>
    <w:p>
      <w:pPr>
        <w:numPr>
          <w:ilvl w:val="0"/>
          <w:numId w:val="25"/>
        </w:numPr>
        <w:spacing w:line="360" w:after="210" w:lineRule="auto"/>
      </w:pPr>
      <w:hyperlink r:id="rId20">
        <w:r>
          <w:rPr>
            <w:rFonts w:eastAsia="inter" w:cs="inter" w:ascii="inter" w:hAnsi="inter"/>
            <w:color w:val="#000"/>
            <w:sz w:val="18"/>
            <w:u w:val="single"/>
          </w:rPr>
          <w:t xml:space="preserve">https://www.prnewswire.com/news-releases/ai21-introduces-maestro-the-worlds-first-ai-planning-and-orchestration-system-built-for-the-enterprise-302397075.html</w:t>
        </w:r>
      </w:hyperlink>
      <w:r>
        <w:rPr>
          <w:rFonts w:eastAsia="inter" w:cs="inter" w:ascii="inter" w:hAnsi="inter"/>
          <w:color w:val="000000"/>
          <w:sz w:val="18"/>
        </w:rPr>
        <w:t xml:space="preserve"> </w:t>
      </w:r>
    </w:p>
    <w:bookmarkStart w:id="82" w:name="fn11"/>
    <w:bookmarkEnd w:id="82"/>
    <w:p>
      <w:pPr>
        <w:numPr>
          <w:ilvl w:val="0"/>
          <w:numId w:val="25"/>
        </w:numPr>
        <w:spacing w:line="360" w:after="210" w:lineRule="auto"/>
      </w:pPr>
      <w:hyperlink r:id="rId21">
        <w:r>
          <w:rPr>
            <w:rFonts w:eastAsia="inter" w:cs="inter" w:ascii="inter" w:hAnsi="inter"/>
            <w:color w:val="#000"/>
            <w:sz w:val="18"/>
            <w:u w:val="single"/>
          </w:rPr>
          <w:t xml:space="preserve">https://www.ai21.com/blog/maestro-ai-enterprise-knowledge-work/</w:t>
        </w:r>
      </w:hyperlink>
      <w:r>
        <w:rPr>
          <w:rFonts w:eastAsia="inter" w:cs="inter" w:ascii="inter" w:hAnsi="inter"/>
          <w:color w:val="000000"/>
          <w:sz w:val="18"/>
        </w:rPr>
        <w:t xml:space="preserve"> </w:t>
      </w:r>
    </w:p>
    <w:bookmarkStart w:id="83" w:name="fn12"/>
    <w:bookmarkEnd w:id="83"/>
    <w:p>
      <w:pPr>
        <w:numPr>
          <w:ilvl w:val="0"/>
          <w:numId w:val="25"/>
        </w:numPr>
        <w:spacing w:line="360" w:after="210" w:lineRule="auto"/>
      </w:pPr>
      <w:hyperlink r:id="rId22">
        <w:r>
          <w:rPr>
            <w:rFonts w:eastAsia="inter" w:cs="inter" w:ascii="inter" w:hAnsi="inter"/>
            <w:color w:val="#000"/>
            <w:sz w:val="18"/>
            <w:u w:val="single"/>
          </w:rPr>
          <w:t xml:space="preserve">https://arxiv.org/pdf/2205.00445.pdf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4" w:name="fn13"/>
    <w:bookmarkEnd w:id="84"/>
    <w:p>
      <w:pPr>
        <w:numPr>
          <w:ilvl w:val="0"/>
          <w:numId w:val="25"/>
        </w:numPr>
        <w:spacing w:line="360" w:after="210" w:lineRule="auto"/>
      </w:pPr>
      <w:hyperlink r:id="rId23">
        <w:r>
          <w:rPr>
            <w:rFonts w:eastAsia="inter" w:cs="inter" w:ascii="inter" w:hAnsi="inter"/>
            <w:color w:val="#000"/>
            <w:sz w:val="18"/>
            <w:u w:val="single"/>
          </w:rPr>
          <w:t xml:space="preserve">https://www.morningstar.com/news/accesswire/1113250msn/ai21-launches-maestro-on-amazon-vpc-bringing-enterprise-grade-agentic-ai-to-every-organization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5" w:name="fn14"/>
    <w:bookmarkEnd w:id="85"/>
    <w:p>
      <w:pPr>
        <w:numPr>
          <w:ilvl w:val="0"/>
          <w:numId w:val="25"/>
        </w:numPr>
        <w:spacing w:line="360" w:after="210" w:lineRule="auto"/>
      </w:pPr>
      <w:hyperlink r:id="rId24">
        <w:r>
          <w:rPr>
            <w:rFonts w:eastAsia="inter" w:cs="inter" w:ascii="inter" w:hAnsi="inter"/>
            <w:color w:val="#000"/>
            <w:sz w:val="18"/>
            <w:u w:val="single"/>
          </w:rPr>
          <w:t xml:space="preserve">https://www.ai21.com/resources/case-studies/product-description/</w:t>
        </w:r>
      </w:hyperlink>
      <w:r>
        <w:rPr>
          <w:rFonts w:eastAsia="inter" w:cs="inter" w:ascii="inter" w:hAnsi="inter"/>
          <w:color w:val="000000"/>
          <w:sz w:val="18"/>
        </w:rPr>
        <w:t xml:space="preserve"> </w:t>
      </w:r>
    </w:p>
    <w:bookmarkStart w:id="86" w:name="fn15"/>
    <w:bookmarkEnd w:id="86"/>
    <w:p>
      <w:pPr>
        <w:numPr>
          <w:ilvl w:val="0"/>
          <w:numId w:val="25"/>
        </w:numPr>
        <w:spacing w:line="360" w:after="210" w:lineRule="auto"/>
      </w:pPr>
      <w:hyperlink r:id="rId25">
        <w:r>
          <w:rPr>
            <w:rFonts w:eastAsia="inter" w:cs="inter" w:ascii="inter" w:hAnsi="inter"/>
            <w:color w:val="#000"/>
            <w:sz w:val="18"/>
            <w:u w:val="single"/>
          </w:rPr>
          <w:t xml:space="preserve">https://www.alphamatch.ai/blog/top-agentic-ai-frameworks-2026</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7" w:name="fn16"/>
    <w:bookmarkEnd w:id="87"/>
    <w:p>
      <w:pPr>
        <w:numPr>
          <w:ilvl w:val="0"/>
          <w:numId w:val="25"/>
        </w:numPr>
        <w:spacing w:line="360" w:after="210" w:lineRule="auto"/>
      </w:pPr>
      <w:hyperlink r:id="rId26">
        <w:r>
          <w:rPr>
            <w:rFonts w:eastAsia="inter" w:cs="inter" w:ascii="inter" w:hAnsi="inter"/>
            <w:color w:val="#000"/>
            <w:sz w:val="18"/>
            <w:u w:val="single"/>
          </w:rPr>
          <w:t xml:space="preserve">https://www.wix.com/seo/learn/case-studies</w:t>
        </w:r>
      </w:hyperlink>
      <w:r>
        <w:rPr>
          <w:rFonts w:eastAsia="inter" w:cs="inter" w:ascii="inter" w:hAnsi="inter"/>
          <w:color w:val="000000"/>
          <w:sz w:val="18"/>
        </w:rPr>
        <w:t xml:space="preserve"> </w:t>
      </w:r>
    </w:p>
    <w:bookmarkStart w:id="88" w:name="fn17"/>
    <w:bookmarkEnd w:id="88"/>
    <w:p>
      <w:pPr>
        <w:numPr>
          <w:ilvl w:val="0"/>
          <w:numId w:val="25"/>
        </w:numPr>
        <w:spacing w:line="360" w:after="210" w:lineRule="auto"/>
      </w:pPr>
      <w:hyperlink r:id="rId27">
        <w:r>
          <w:rPr>
            <w:rFonts w:eastAsia="inter" w:cs="inter" w:ascii="inter" w:hAnsi="inter"/>
            <w:color w:val="#000"/>
            <w:sz w:val="18"/>
            <w:u w:val="single"/>
          </w:rPr>
          <w:t xml:space="preserve">https://www.ai21.com/blog/announcing-jamba-model-family/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9" w:name="fn18"/>
    <w:bookmarkEnd w:id="89"/>
    <w:p>
      <w:pPr>
        <w:numPr>
          <w:ilvl w:val="0"/>
          <w:numId w:val="25"/>
        </w:numPr>
        <w:spacing w:line="360" w:after="210" w:lineRule="auto"/>
      </w:pPr>
      <w:hyperlink r:id="rId28">
        <w:r>
          <w:rPr>
            <w:rFonts w:eastAsia="inter" w:cs="inter" w:ascii="inter" w:hAnsi="inter"/>
            <w:color w:val="#000"/>
            <w:sz w:val="18"/>
            <w:u w:val="single"/>
          </w:rPr>
          <w:t xml:space="preserve">https://synthedia.substack.com/p/ai21-labs-debuts-an-open-source-model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0" w:name="fn19"/>
    <w:bookmarkEnd w:id="90"/>
    <w:p>
      <w:pPr>
        <w:numPr>
          <w:ilvl w:val="0"/>
          <w:numId w:val="25"/>
        </w:numPr>
        <w:spacing w:line="360" w:after="210" w:lineRule="auto"/>
      </w:pPr>
      <w:hyperlink r:id="rId29">
        <w:r>
          <w:rPr>
            <w:rFonts w:eastAsia="inter" w:cs="inter" w:ascii="inter" w:hAnsi="inter"/>
            <w:color w:val="#000"/>
            <w:sz w:val="18"/>
            <w:u w:val="single"/>
          </w:rPr>
          <w:t xml:space="preserve">https://arxiv.org/html/2403.19887v2</w:t>
        </w:r>
      </w:hyperlink>
      <w:r>
        <w:rPr>
          <w:rFonts w:eastAsia="inter" w:cs="inter" w:ascii="inter" w:hAnsi="inter"/>
          <w:color w:val="000000"/>
          <w:sz w:val="18"/>
        </w:rPr>
        <w:t xml:space="preserve"> </w:t>
      </w:r>
    </w:p>
    <w:bookmarkStart w:id="91" w:name="fn20"/>
    <w:bookmarkEnd w:id="91"/>
    <w:p>
      <w:pPr>
        <w:numPr>
          <w:ilvl w:val="0"/>
          <w:numId w:val="25"/>
        </w:numPr>
        <w:spacing w:line="360" w:after="210" w:lineRule="auto"/>
      </w:pPr>
      <w:hyperlink r:id="rId30">
        <w:r>
          <w:rPr>
            <w:rFonts w:eastAsia="inter" w:cs="inter" w:ascii="inter" w:hAnsi="inter"/>
            <w:color w:val="#000"/>
            <w:sz w:val="18"/>
            <w:u w:val="single"/>
          </w:rPr>
          <w:t xml:space="preserve">https://www.fxmweb.com/insights/jamba-15-the-future-of-hybrid-ai-models-in-long-context-handling-and-superior-efficiency.html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2" w:name="fn21"/>
    <w:bookmarkEnd w:id="92"/>
    <w:p>
      <w:pPr>
        <w:numPr>
          <w:ilvl w:val="0"/>
          <w:numId w:val="25"/>
        </w:numPr>
        <w:spacing w:line="360" w:after="210" w:lineRule="auto"/>
      </w:pPr>
      <w:hyperlink r:id="rId31">
        <w:r>
          <w:rPr>
            <w:rFonts w:eastAsia="inter" w:cs="inter" w:ascii="inter" w:hAnsi="inter"/>
            <w:color w:val="#000"/>
            <w:sz w:val="18"/>
            <w:u w:val="single"/>
          </w:rPr>
          <w:t xml:space="preserve">https://www.youtube.com/watch?v=pNUptWJN_9U</w:t>
        </w:r>
      </w:hyperlink>
      <w:r>
        <w:rPr>
          <w:rFonts w:eastAsia="inter" w:cs="inter" w:ascii="inter" w:hAnsi="inter"/>
          <w:color w:val="000000"/>
          <w:sz w:val="18"/>
        </w:rPr>
        <w:t xml:space="preserve"> </w:t>
      </w:r>
    </w:p>
    <w:bookmarkStart w:id="93" w:name="fn22"/>
    <w:bookmarkEnd w:id="93"/>
    <w:p>
      <w:pPr>
        <w:numPr>
          <w:ilvl w:val="0"/>
          <w:numId w:val="25"/>
        </w:numPr>
        <w:spacing w:line="360" w:after="210" w:lineRule="auto"/>
      </w:pPr>
      <w:hyperlink r:id="rId32">
        <w:r>
          <w:rPr>
            <w:rFonts w:eastAsia="inter" w:cs="inter" w:ascii="inter" w:hAnsi="inter"/>
            <w:color w:val="#000"/>
            <w:sz w:val="18"/>
            <w:u w:val="single"/>
          </w:rPr>
          <w:t xml:space="preserve">https://en.globes.co.il/en/article-amnon-shashuas-ai-empire-comes-up-against-bg-tech-1001486678</w:t>
        </w:r>
      </w:hyperlink>
      <w:r>
        <w:rPr>
          <w:rFonts w:eastAsia="inter" w:cs="inter" w:ascii="inter" w:hAnsi="inter"/>
          <w:color w:val="000000"/>
          <w:sz w:val="18"/>
        </w:rPr>
        <w:t xml:space="preserve"> </w:t>
      </w:r>
    </w:p>
    <w:bookmarkStart w:id="94" w:name="fn23"/>
    <w:bookmarkEnd w:id="94"/>
    <w:p>
      <w:pPr>
        <w:numPr>
          <w:ilvl w:val="0"/>
          <w:numId w:val="25"/>
        </w:numPr>
        <w:spacing w:line="360" w:after="210" w:lineRule="auto"/>
      </w:pPr>
      <w:hyperlink r:id="rId33">
        <w:r>
          <w:rPr>
            <w:rFonts w:eastAsia="inter" w:cs="inter" w:ascii="inter" w:hAnsi="inter"/>
            <w:color w:val="#000"/>
            <w:sz w:val="18"/>
            <w:u w:val="single"/>
          </w:rPr>
          <w:t xml:space="preserve">https://www.ai21.com/blog/ai21-completes-208-million-oversubscribed-series-c-round/</w:t>
        </w:r>
      </w:hyperlink>
      <w:r>
        <w:rPr>
          <w:rFonts w:eastAsia="inter" w:cs="inter" w:ascii="inter" w:hAnsi="inter"/>
          <w:color w:val="000000"/>
          <w:sz w:val="18"/>
        </w:rPr>
        <w:t xml:space="preserve"> </w:t>
      </w:r>
    </w:p>
    <w:bookmarkStart w:id="95" w:name="fn24"/>
    <w:bookmarkEnd w:id="95"/>
    <w:p>
      <w:pPr>
        <w:numPr>
          <w:ilvl w:val="0"/>
          <w:numId w:val="25"/>
        </w:numPr>
        <w:spacing w:line="360" w:after="210" w:lineRule="auto"/>
      </w:pPr>
      <w:hyperlink r:id="rId34">
        <w:r>
          <w:rPr>
            <w:rFonts w:eastAsia="inter" w:cs="inter" w:ascii="inter" w:hAnsi="inter"/>
            <w:color w:val="#000"/>
            <w:sz w:val="18"/>
            <w:u w:val="single"/>
          </w:rPr>
          <w:t xml:space="preserve">https://www.ai21.com/knowledge/ai-compliance/</w:t>
        </w:r>
      </w:hyperlink>
      <w:r>
        <w:rPr>
          <w:rFonts w:eastAsia="inter" w:cs="inter" w:ascii="inter" w:hAnsi="inter"/>
          <w:color w:val="000000"/>
          <w:sz w:val="18"/>
        </w:rPr>
        <w:t xml:space="preserve"> </w:t>
      </w:r>
    </w:p>
    <w:bookmarkStart w:id="96" w:name="fn25"/>
    <w:bookmarkEnd w:id="96"/>
    <w:p>
      <w:pPr>
        <w:numPr>
          <w:ilvl w:val="0"/>
          <w:numId w:val="25"/>
        </w:numPr>
        <w:spacing w:line="360" w:after="210" w:lineRule="auto"/>
      </w:pPr>
      <w:hyperlink r:id="rId35">
        <w:r>
          <w:rPr>
            <w:rFonts w:eastAsia="inter" w:cs="inter" w:ascii="inter" w:hAnsi="inter"/>
            <w:color w:val="#000"/>
            <w:sz w:val="18"/>
            <w:u w:val="single"/>
          </w:rPr>
          <w:t xml:space="preserve">https://www.ai21.com/knowledge/ai-deployment/</w:t>
        </w:r>
      </w:hyperlink>
      <w:r>
        <w:rPr>
          <w:rFonts w:eastAsia="inter" w:cs="inter" w:ascii="inter" w:hAnsi="inter"/>
          <w:color w:val="000000"/>
          <w:sz w:val="18"/>
        </w:rPr>
        <w:t xml:space="preserve"> </w:t>
      </w:r>
    </w:p>
    <w:bookmarkStart w:id="97" w:name="fn26"/>
    <w:bookmarkEnd w:id="97"/>
    <w:p>
      <w:pPr>
        <w:numPr>
          <w:ilvl w:val="0"/>
          <w:numId w:val="25"/>
        </w:numPr>
        <w:spacing w:line="360" w:after="210" w:lineRule="auto"/>
      </w:pPr>
      <w:hyperlink r:id="rId36">
        <w:r>
          <w:rPr>
            <w:rFonts w:eastAsia="inter" w:cs="inter" w:ascii="inter" w:hAnsi="inter"/>
            <w:color w:val="#000"/>
            <w:sz w:val="18"/>
            <w:u w:val="single"/>
          </w:rPr>
          <w:t xml:space="preserve">https://datagrid.ai/blog/ai-agent-platform-vs-building-langchain-autogpt</w:t>
        </w:r>
      </w:hyperlink>
      <w:r>
        <w:rPr>
          <w:rFonts w:eastAsia="inter" w:cs="inter" w:ascii="inter" w:hAnsi="inter"/>
          <w:color w:val="000000"/>
          <w:sz w:val="18"/>
        </w:rPr>
        <w:t xml:space="preserve"> </w:t>
      </w:r>
    </w:p>
    <w:bookmarkStart w:id="98" w:name="fn27"/>
    <w:bookmarkEnd w:id="98"/>
    <w:p>
      <w:pPr>
        <w:numPr>
          <w:ilvl w:val="0"/>
          <w:numId w:val="25"/>
        </w:numPr>
        <w:spacing w:line="360" w:after="210" w:lineRule="auto"/>
      </w:pPr>
      <w:hyperlink r:id="rId37">
        <w:r>
          <w:rPr>
            <w:rFonts w:eastAsia="inter" w:cs="inter" w:ascii="inter" w:hAnsi="inter"/>
            <w:color w:val="#000"/>
            <w:sz w:val="18"/>
            <w:u w:val="single"/>
          </w:rPr>
          <w:t xml:space="preserve">https://en.globes.co.il/en/article-amnon-shashuas-aa-i-unveils-new-approach-to-ai-1001496057</w:t>
        </w:r>
      </w:hyperlink>
      <w:r>
        <w:rPr>
          <w:rFonts w:eastAsia="inter" w:cs="inter" w:ascii="inter" w:hAnsi="inter"/>
          <w:color w:val="000000"/>
          <w:sz w:val="18"/>
        </w:rPr>
        <w:t xml:space="preserve"> </w:t>
      </w:r>
    </w:p>
    <w:bookmarkStart w:id="99" w:name="fn28"/>
    <w:bookmarkEnd w:id="99"/>
    <w:p>
      <w:pPr>
        <w:numPr>
          <w:ilvl w:val="0"/>
          <w:numId w:val="25"/>
        </w:numPr>
        <w:spacing w:line="360" w:after="210" w:lineRule="auto"/>
      </w:pPr>
      <w:hyperlink r:id="rId38">
        <w:r>
          <w:rPr>
            <w:rFonts w:eastAsia="inter" w:cs="inter" w:ascii="inter" w:hAnsi="inter"/>
            <w:color w:val="#000"/>
            <w:sz w:val="18"/>
            <w:u w:val="single"/>
          </w:rPr>
          <w:t xml:space="preserve">https://www.getmonetizely.com/blogs/28-genai-firms-and-their-pricing-metrics</w:t>
        </w:r>
      </w:hyperlink>
      <w:r>
        <w:rPr>
          <w:rFonts w:eastAsia="inter" w:cs="inter" w:ascii="inter" w:hAnsi="inter"/>
          <w:color w:val="000000"/>
          <w:sz w:val="18"/>
        </w:rPr>
        <w:t xml:space="preserve"> </w:t>
      </w:r>
    </w:p>
    <w:bookmarkStart w:id="100" w:name="fn29"/>
    <w:bookmarkEnd w:id="100"/>
    <w:p>
      <w:pPr>
        <w:numPr>
          <w:ilvl w:val="0"/>
          <w:numId w:val="25"/>
        </w:numPr>
        <w:spacing w:line="360" w:after="210" w:lineRule="auto"/>
      </w:pPr>
      <w:hyperlink r:id="rId39">
        <w:r>
          <w:rPr>
            <w:rFonts w:eastAsia="inter" w:cs="inter" w:ascii="inter" w:hAnsi="inter"/>
            <w:color w:val="#000"/>
            <w:sz w:val="18"/>
            <w:u w:val="single"/>
          </w:rPr>
          <w:t xml:space="preserve">https://www.ai21.com/about/</w:t>
        </w:r>
      </w:hyperlink>
      <w:r>
        <w:rPr>
          <w:rFonts w:eastAsia="inter" w:cs="inter" w:ascii="inter" w:hAnsi="inter"/>
          <w:color w:val="000000"/>
          <w:sz w:val="18"/>
        </w:rPr>
        <w:t xml:space="preserve"> </w:t>
      </w:r>
    </w:p>
    <w:bookmarkStart w:id="101" w:name="fn30"/>
    <w:bookmarkEnd w:id="101"/>
    <w:p>
      <w:pPr>
        <w:numPr>
          <w:ilvl w:val="0"/>
          <w:numId w:val="25"/>
        </w:numPr>
        <w:spacing w:line="360" w:after="210" w:lineRule="auto"/>
      </w:pPr>
      <w:hyperlink r:id="rId40">
        <w:r>
          <w:rPr>
            <w:rFonts w:eastAsia="inter" w:cs="inter" w:ascii="inter" w:hAnsi="inter"/>
            <w:color w:val="#000"/>
            <w:sz w:val="18"/>
            <w:u w:val="single"/>
          </w:rPr>
          <w:t xml:space="preserve">https://www.secondtalent.com/resources/top-llm-frameworks-for-building-ai-agents/</w:t>
        </w:r>
      </w:hyperlink>
      <w:r>
        <w:rPr>
          <w:rFonts w:eastAsia="inter" w:cs="inter" w:ascii="inter" w:hAnsi="inter"/>
          <w:color w:val="000000"/>
          <w:sz w:val="18"/>
        </w:rPr>
        <w:t xml:space="preserve"> </w:t>
      </w:r>
    </w:p>
    <w:bookmarkStart w:id="102" w:name="fn31"/>
    <w:bookmarkEnd w:id="102"/>
    <w:p>
      <w:pPr>
        <w:numPr>
          <w:ilvl w:val="0"/>
          <w:numId w:val="25"/>
        </w:numPr>
        <w:spacing w:line="360" w:after="210" w:lineRule="auto"/>
      </w:pPr>
      <w:hyperlink r:id="rId41">
        <w:r>
          <w:rPr>
            <w:rFonts w:eastAsia="inter" w:cs="inter" w:ascii="inter" w:hAnsi="inter"/>
            <w:color w:val="#000"/>
            <w:sz w:val="18"/>
            <w:u w:val="single"/>
          </w:rPr>
          <w:t xml:space="preserve">https://aws.amazon.com/marketplace/pp/prodview-bf26px7gdisek</w:t>
        </w:r>
      </w:hyperlink>
      <w:r>
        <w:rPr>
          <w:rFonts w:eastAsia="inter" w:cs="inter" w:ascii="inter" w:hAnsi="inter"/>
          <w:color w:val="000000"/>
          <w:sz w:val="18"/>
        </w:rPr>
        <w:t xml:space="preserve"> </w:t>
      </w:r>
    </w:p>
    <w:bookmarkStart w:id="103" w:name="fn32"/>
    <w:bookmarkEnd w:id="103"/>
    <w:p>
      <w:pPr>
        <w:numPr>
          <w:ilvl w:val="0"/>
          <w:numId w:val="25"/>
        </w:numPr>
        <w:spacing w:line="360" w:after="210" w:lineRule="auto"/>
      </w:pPr>
      <w:hyperlink r:id="rId42">
        <w:r>
          <w:rPr>
            <w:rFonts w:eastAsia="inter" w:cs="inter" w:ascii="inter" w:hAnsi="inter"/>
            <w:color w:val="#000"/>
            <w:sz w:val="18"/>
            <w:u w:val="single"/>
          </w:rPr>
          <w:t xml:space="preserve">https://www.mdpi.com/2078-2489/10/2/51/pdf?version=1550568554</w:t>
        </w:r>
      </w:hyperlink>
      <w:r>
        <w:rPr>
          <w:rFonts w:eastAsia="inter" w:cs="inter" w:ascii="inter" w:hAnsi="inter"/>
          <w:color w:val="000000"/>
          <w:sz w:val="18"/>
        </w:rPr>
        <w:t xml:space="preserve"> </w:t>
      </w:r>
    </w:p>
    <w:bookmarkStart w:id="104" w:name="fn33"/>
    <w:bookmarkEnd w:id="104"/>
    <w:p>
      <w:pPr>
        <w:numPr>
          <w:ilvl w:val="0"/>
          <w:numId w:val="25"/>
        </w:numPr>
        <w:spacing w:line="360" w:after="210" w:lineRule="auto"/>
      </w:pPr>
      <w:hyperlink r:id="rId43">
        <w:r>
          <w:rPr>
            <w:rFonts w:eastAsia="inter" w:cs="inter" w:ascii="inter" w:hAnsi="inter"/>
            <w:color w:val="#000"/>
            <w:sz w:val="18"/>
            <w:u w:val="single"/>
          </w:rPr>
          <w:t xml:space="preserve">http://arxiv.org/pdf/2501.09913.pdf</w:t>
        </w:r>
      </w:hyperlink>
      <w:r>
        <w:rPr>
          <w:rFonts w:eastAsia="inter" w:cs="inter" w:ascii="inter" w:hAnsi="inter"/>
          <w:color w:val="000000"/>
          <w:sz w:val="18"/>
        </w:rPr>
        <w:t xml:space="preserve"> </w:t>
      </w:r>
    </w:p>
    <w:bookmarkStart w:id="105" w:name="fn34"/>
    <w:bookmarkEnd w:id="105"/>
    <w:p>
      <w:pPr>
        <w:numPr>
          <w:ilvl w:val="0"/>
          <w:numId w:val="25"/>
        </w:numPr>
        <w:spacing w:line="360" w:after="210" w:lineRule="auto"/>
      </w:pPr>
      <w:hyperlink r:id="rId44">
        <w:r>
          <w:rPr>
            <w:rFonts w:eastAsia="inter" w:cs="inter" w:ascii="inter" w:hAnsi="inter"/>
            <w:color w:val="#000"/>
            <w:sz w:val="18"/>
            <w:u w:val="single"/>
          </w:rPr>
          <w:t xml:space="preserve">https://arxiv.org/pdf/2212.01354.pdf</w:t>
        </w:r>
      </w:hyperlink>
      <w:r>
        <w:rPr>
          <w:rFonts w:eastAsia="inter" w:cs="inter" w:ascii="inter" w:hAnsi="inter"/>
          <w:color w:val="000000"/>
          <w:sz w:val="18"/>
        </w:rPr>
        <w:t xml:space="preserve"> </w:t>
      </w:r>
    </w:p>
    <w:bookmarkStart w:id="106" w:name="fn35"/>
    <w:bookmarkEnd w:id="106"/>
    <w:p>
      <w:pPr>
        <w:numPr>
          <w:ilvl w:val="0"/>
          <w:numId w:val="25"/>
        </w:numPr>
        <w:spacing w:line="360" w:after="210" w:lineRule="auto"/>
      </w:pPr>
      <w:hyperlink r:id="rId45">
        <w:r>
          <w:rPr>
            <w:rFonts w:eastAsia="inter" w:cs="inter" w:ascii="inter" w:hAnsi="inter"/>
            <w:color w:val="#000"/>
            <w:sz w:val="18"/>
            <w:u w:val="single"/>
          </w:rPr>
          <w:t xml:space="preserve">http://arxiv.org/pdf/2405.19973.pdf</w:t>
        </w:r>
      </w:hyperlink>
      <w:r>
        <w:rPr>
          <w:rFonts w:eastAsia="inter" w:cs="inter" w:ascii="inter" w:hAnsi="inter"/>
          <w:color w:val="000000"/>
          <w:sz w:val="18"/>
        </w:rPr>
        <w:t xml:space="preserve"> </w:t>
      </w:r>
    </w:p>
    <w:bookmarkStart w:id="107" w:name="fn36"/>
    <w:bookmarkEnd w:id="107"/>
    <w:p>
      <w:pPr>
        <w:numPr>
          <w:ilvl w:val="0"/>
          <w:numId w:val="25"/>
        </w:numPr>
        <w:spacing w:line="360" w:after="210" w:lineRule="auto"/>
      </w:pPr>
      <w:hyperlink r:id="rId46">
        <w:r>
          <w:rPr>
            <w:rFonts w:eastAsia="inter" w:cs="inter" w:ascii="inter" w:hAnsi="inter"/>
            <w:color w:val="#000"/>
            <w:sz w:val="18"/>
            <w:u w:val="single"/>
          </w:rPr>
          <w:t xml:space="preserve">https://arxiv.org/pdf/2002.06177.pdf</w:t>
        </w:r>
      </w:hyperlink>
      <w:r>
        <w:rPr>
          <w:rFonts w:eastAsia="inter" w:cs="inter" w:ascii="inter" w:hAnsi="inter"/>
          <w:color w:val="000000"/>
          <w:sz w:val="18"/>
        </w:rPr>
        <w:t xml:space="preserve"> </w:t>
      </w:r>
    </w:p>
    <w:bookmarkStart w:id="108" w:name="fn37"/>
    <w:bookmarkEnd w:id="108"/>
    <w:p>
      <w:pPr>
        <w:numPr>
          <w:ilvl w:val="0"/>
          <w:numId w:val="25"/>
        </w:numPr>
        <w:spacing w:line="360" w:after="210" w:lineRule="auto"/>
      </w:pPr>
      <w:hyperlink r:id="rId47">
        <w:r>
          <w:rPr>
            <w:rFonts w:eastAsia="inter" w:cs="inter" w:ascii="inter" w:hAnsi="inter"/>
            <w:color w:val="#000"/>
            <w:sz w:val="18"/>
            <w:u w:val="single"/>
          </w:rPr>
          <w:t xml:space="preserve">https://arxiv.org/pdf/2503.05731.pdf</w:t>
        </w:r>
      </w:hyperlink>
      <w:r>
        <w:rPr>
          <w:rFonts w:eastAsia="inter" w:cs="inter" w:ascii="inter" w:hAnsi="inter"/>
          <w:color w:val="000000"/>
          <w:sz w:val="18"/>
        </w:rPr>
        <w:t xml:space="preserve"> </w:t>
      </w:r>
    </w:p>
    <w:bookmarkStart w:id="109" w:name="fn38"/>
    <w:bookmarkEnd w:id="109"/>
    <w:p>
      <w:pPr>
        <w:numPr>
          <w:ilvl w:val="0"/>
          <w:numId w:val="25"/>
        </w:numPr>
        <w:spacing w:line="360" w:after="210" w:lineRule="auto"/>
      </w:pPr>
      <w:hyperlink r:id="rId48">
        <w:r>
          <w:rPr>
            <w:rFonts w:eastAsia="inter" w:cs="inter" w:ascii="inter" w:hAnsi="inter"/>
            <w:color w:val="#000"/>
            <w:sz w:val="18"/>
            <w:u w:val="single"/>
          </w:rPr>
          <w:t xml:space="preserve">https://www.calcalistech.com/ctech/articles/0,7340,L-3887334,00.html</w:t>
        </w:r>
      </w:hyperlink>
      <w:r>
        <w:rPr>
          <w:rFonts w:eastAsia="inter" w:cs="inter" w:ascii="inter" w:hAnsi="inter"/>
          <w:color w:val="000000"/>
          <w:sz w:val="18"/>
        </w:rPr>
        <w:t xml:space="preserve"> </w:t>
      </w:r>
    </w:p>
    <w:bookmarkStart w:id="110" w:name="fn39"/>
    <w:bookmarkEnd w:id="110"/>
    <w:p>
      <w:pPr>
        <w:numPr>
          <w:ilvl w:val="0"/>
          <w:numId w:val="25"/>
        </w:numPr>
        <w:spacing w:line="360" w:after="210" w:lineRule="auto"/>
      </w:pPr>
      <w:hyperlink r:id="rId49">
        <w:r>
          <w:rPr>
            <w:rFonts w:eastAsia="inter" w:cs="inter" w:ascii="inter" w:hAnsi="inter"/>
            <w:color w:val="#000"/>
            <w:sz w:val="18"/>
            <w:u w:val="single"/>
          </w:rPr>
          <w:t xml:space="preserve">https://www.eesel.ai/en/blog/agentkit-vs-langchain</w:t>
        </w:r>
      </w:hyperlink>
      <w:r>
        <w:rPr>
          <w:rFonts w:eastAsia="inter" w:cs="inter" w:ascii="inter" w:hAnsi="inter"/>
          <w:color w:val="000000"/>
          <w:sz w:val="18"/>
        </w:rPr>
        <w:t xml:space="preserve"> </w:t>
      </w:r>
    </w:p>
    <w:bookmarkStart w:id="111" w:name="fn40"/>
    <w:bookmarkEnd w:id="111"/>
    <w:p>
      <w:pPr>
        <w:numPr>
          <w:ilvl w:val="0"/>
          <w:numId w:val="25"/>
        </w:numPr>
        <w:spacing w:line="360" w:after="210" w:lineRule="auto"/>
      </w:pPr>
      <w:hyperlink r:id="rId50">
        <w:r>
          <w:rPr>
            <w:rFonts w:eastAsia="inter" w:cs="inter" w:ascii="inter" w:hAnsi="inter"/>
            <w:color w:val="#000"/>
            <w:sz w:val="18"/>
            <w:u w:val="single"/>
          </w:rPr>
          <w:t xml:space="preserve">https://www.mobileye.com/blog/takeaways-from-the-mobileye-press-conference-with-ceo-prof-amnon-shashua-at-ces-2026/</w:t>
        </w:r>
      </w:hyperlink>
      <w:r>
        <w:rPr>
          <w:rFonts w:eastAsia="inter" w:cs="inter" w:ascii="inter" w:hAnsi="inter"/>
          <w:color w:val="000000"/>
          <w:sz w:val="18"/>
        </w:rPr>
        <w:t xml:space="preserve"> </w:t>
      </w:r>
    </w:p>
    <w:bookmarkStart w:id="112" w:name="fn41"/>
    <w:bookmarkEnd w:id="112"/>
    <w:p>
      <w:pPr>
        <w:numPr>
          <w:ilvl w:val="0"/>
          <w:numId w:val="25"/>
        </w:numPr>
        <w:spacing w:line="360" w:after="210" w:lineRule="auto"/>
      </w:pPr>
      <w:hyperlink r:id="rId51">
        <w:r>
          <w:rPr>
            <w:rFonts w:eastAsia="inter" w:cs="inter" w:ascii="inter" w:hAnsi="inter"/>
            <w:color w:val="#000"/>
            <w:sz w:val="18"/>
            <w:u w:val="single"/>
          </w:rPr>
          <w:t xml:space="preserve">https://skywork.ai/blog/ai-agent/agent-builder-vs-langchain-which-is-better-for-production-ready-agents/</w:t>
        </w:r>
      </w:hyperlink>
      <w:r>
        <w:rPr>
          <w:rFonts w:eastAsia="inter" w:cs="inter" w:ascii="inter" w:hAnsi="inter"/>
          <w:color w:val="000000"/>
          <w:sz w:val="18"/>
        </w:rPr>
        <w:t xml:space="preserve"> </w:t>
      </w:r>
    </w:p>
    <w:bookmarkStart w:id="113" w:name="fn42"/>
    <w:bookmarkEnd w:id="113"/>
    <w:p>
      <w:pPr>
        <w:numPr>
          <w:ilvl w:val="0"/>
          <w:numId w:val="25"/>
        </w:numPr>
        <w:spacing w:line="360" w:after="210" w:lineRule="auto"/>
      </w:pPr>
      <w:hyperlink r:id="rId52">
        <w:r>
          <w:rPr>
            <w:rFonts w:eastAsia="inter" w:cs="inter" w:ascii="inter" w:hAnsi="inter"/>
            <w:color w:val="#000"/>
            <w:sz w:val="18"/>
            <w:u w:val="single"/>
          </w:rPr>
          <w:t xml:space="preserve">https://dl.acm.org/doi/pdf/10.1145/3630106.3658979</w:t>
        </w:r>
      </w:hyperlink>
      <w:r>
        <w:rPr>
          <w:rFonts w:eastAsia="inter" w:cs="inter" w:ascii="inter" w:hAnsi="inter"/>
          <w:color w:val="000000"/>
          <w:sz w:val="18"/>
        </w:rPr>
        <w:t xml:space="preserve"> </w:t>
      </w:r>
    </w:p>
    <w:bookmarkStart w:id="114" w:name="fn43"/>
    <w:bookmarkEnd w:id="114"/>
    <w:p>
      <w:pPr>
        <w:numPr>
          <w:ilvl w:val="0"/>
          <w:numId w:val="25"/>
        </w:numPr>
        <w:spacing w:line="360" w:after="210" w:lineRule="auto"/>
      </w:pPr>
      <w:hyperlink r:id="rId53">
        <w:r>
          <w:rPr>
            <w:rFonts w:eastAsia="inter" w:cs="inter" w:ascii="inter" w:hAnsi="inter"/>
            <w:color w:val="#000"/>
            <w:sz w:val="18"/>
            <w:u w:val="single"/>
          </w:rPr>
          <w:t xml:space="preserve">https://arxiv.org/html/2406.07814</w:t>
        </w:r>
      </w:hyperlink>
      <w:r>
        <w:rPr>
          <w:rFonts w:eastAsia="inter" w:cs="inter" w:ascii="inter" w:hAnsi="inter"/>
          <w:color w:val="000000"/>
          <w:sz w:val="18"/>
        </w:rPr>
        <w:t xml:space="preserve"> </w:t>
      </w:r>
    </w:p>
    <w:bookmarkStart w:id="115" w:name="fn44"/>
    <w:bookmarkEnd w:id="115"/>
    <w:p>
      <w:pPr>
        <w:numPr>
          <w:ilvl w:val="0"/>
          <w:numId w:val="25"/>
        </w:numPr>
        <w:spacing w:line="360" w:after="210" w:lineRule="auto"/>
      </w:pPr>
      <w:hyperlink r:id="rId54">
        <w:r>
          <w:rPr>
            <w:rFonts w:eastAsia="inter" w:cs="inter" w:ascii="inter" w:hAnsi="inter"/>
            <w:color w:val="#000"/>
            <w:sz w:val="18"/>
            <w:u w:val="single"/>
          </w:rPr>
          <w:t xml:space="preserve">https://arxiv.org/pdf/2212.08073.pdf</w:t>
        </w:r>
      </w:hyperlink>
      <w:r>
        <w:rPr>
          <w:rFonts w:eastAsia="inter" w:cs="inter" w:ascii="inter" w:hAnsi="inter"/>
          <w:color w:val="000000"/>
          <w:sz w:val="18"/>
        </w:rPr>
        <w:t xml:space="preserve"> </w:t>
      </w:r>
    </w:p>
    <w:bookmarkStart w:id="116" w:name="fn45"/>
    <w:bookmarkEnd w:id="116"/>
    <w:p>
      <w:pPr>
        <w:numPr>
          <w:ilvl w:val="0"/>
          <w:numId w:val="25"/>
        </w:numPr>
        <w:spacing w:line="360" w:after="210" w:lineRule="auto"/>
      </w:pPr>
      <w:hyperlink r:id="rId55">
        <w:r>
          <w:rPr>
            <w:rFonts w:eastAsia="inter" w:cs="inter" w:ascii="inter" w:hAnsi="inter"/>
            <w:color w:val="#000"/>
            <w:sz w:val="18"/>
            <w:u w:val="single"/>
          </w:rPr>
          <w:t xml:space="preserve">https://arxiv.org/pdf/2412.14566.pdf</w:t>
        </w:r>
      </w:hyperlink>
      <w:r>
        <w:rPr>
          <w:rFonts w:eastAsia="inter" w:cs="inter" w:ascii="inter" w:hAnsi="inter"/>
          <w:color w:val="000000"/>
          <w:sz w:val="18"/>
        </w:rPr>
        <w:t xml:space="preserve"> </w:t>
      </w:r>
    </w:p>
    <w:bookmarkStart w:id="117" w:name="fn46"/>
    <w:bookmarkEnd w:id="117"/>
    <w:p>
      <w:pPr>
        <w:numPr>
          <w:ilvl w:val="0"/>
          <w:numId w:val="25"/>
        </w:numPr>
        <w:spacing w:line="360" w:after="210" w:lineRule="auto"/>
      </w:pPr>
      <w:hyperlink r:id="rId56">
        <w:r>
          <w:rPr>
            <w:rFonts w:eastAsia="inter" w:cs="inter" w:ascii="inter" w:hAnsi="inter"/>
            <w:color w:val="#000"/>
            <w:sz w:val="18"/>
            <w:u w:val="single"/>
          </w:rPr>
          <w:t xml:space="preserve">https://arxiv.org/pdf/2209.09780.pdf</w:t>
        </w:r>
      </w:hyperlink>
      <w:r>
        <w:rPr>
          <w:rFonts w:eastAsia="inter" w:cs="inter" w:ascii="inter" w:hAnsi="inter"/>
          <w:color w:val="000000"/>
          <w:sz w:val="18"/>
        </w:rPr>
        <w:t xml:space="preserve"> </w:t>
      </w:r>
    </w:p>
    <w:bookmarkStart w:id="118" w:name="fn47"/>
    <w:bookmarkEnd w:id="118"/>
    <w:p>
      <w:pPr>
        <w:numPr>
          <w:ilvl w:val="0"/>
          <w:numId w:val="25"/>
        </w:numPr>
        <w:spacing w:line="360" w:after="210" w:lineRule="auto"/>
      </w:pPr>
      <w:hyperlink r:id="rId57">
        <w:r>
          <w:rPr>
            <w:rFonts w:eastAsia="inter" w:cs="inter" w:ascii="inter" w:hAnsi="inter"/>
            <w:color w:val="#000"/>
            <w:sz w:val="18"/>
            <w:u w:val="single"/>
          </w:rPr>
          <w:t xml:space="preserve">https://arxiv.org/abs/2503.06074</w:t>
        </w:r>
      </w:hyperlink>
      <w:r>
        <w:rPr>
          <w:rFonts w:eastAsia="inter" w:cs="inter" w:ascii="inter" w:hAnsi="inter"/>
          <w:color w:val="000000"/>
          <w:sz w:val="18"/>
        </w:rPr>
        <w:t xml:space="preserve"> </w:t>
      </w:r>
    </w:p>
    <w:bookmarkStart w:id="119" w:name="fn48"/>
    <w:bookmarkEnd w:id="119"/>
    <w:p>
      <w:pPr>
        <w:numPr>
          <w:ilvl w:val="0"/>
          <w:numId w:val="25"/>
        </w:numPr>
        <w:spacing w:line="360" w:after="210" w:lineRule="auto"/>
      </w:pPr>
      <w:hyperlink r:id="rId58">
        <w:r>
          <w:rPr>
            <w:rFonts w:eastAsia="inter" w:cs="inter" w:ascii="inter" w:hAnsi="inter"/>
            <w:color w:val="#000"/>
            <w:sz w:val="18"/>
            <w:u w:val="single"/>
          </w:rPr>
          <w:t xml:space="preserve">https://arxiv.org/pdf/2302.02337.pdf</w:t>
        </w:r>
      </w:hyperlink>
      <w:r>
        <w:rPr>
          <w:rFonts w:eastAsia="inter" w:cs="inter" w:ascii="inter" w:hAnsi="inter"/>
          <w:color w:val="000000"/>
          <w:sz w:val="18"/>
        </w:rPr>
        <w:t xml:space="preserve"> </w:t>
      </w:r>
    </w:p>
    <w:bookmarkStart w:id="120" w:name="fn49"/>
    <w:bookmarkEnd w:id="120"/>
    <w:p>
      <w:pPr>
        <w:numPr>
          <w:ilvl w:val="0"/>
          <w:numId w:val="25"/>
        </w:numPr>
        <w:spacing w:line="360" w:after="210" w:lineRule="auto"/>
      </w:pPr>
      <w:hyperlink r:id="rId59">
        <w:r>
          <w:rPr>
            <w:rFonts w:eastAsia="inter" w:cs="inter" w:ascii="inter" w:hAnsi="inter"/>
            <w:color w:val="#000"/>
            <w:sz w:val="18"/>
            <w:u w:val="single"/>
          </w:rPr>
          <w:t xml:space="preserve">https://arxiv.org/pdf/2310.17688.pdf</w:t>
        </w:r>
      </w:hyperlink>
      <w:r>
        <w:rPr>
          <w:rFonts w:eastAsia="inter" w:cs="inter" w:ascii="inter" w:hAnsi="inter"/>
          <w:color w:val="000000"/>
          <w:sz w:val="18"/>
        </w:rPr>
        <w:t xml:space="preserve"> </w:t>
      </w:r>
    </w:p>
    <w:bookmarkStart w:id="121" w:name="fn50"/>
    <w:bookmarkEnd w:id="121"/>
    <w:p>
      <w:pPr>
        <w:numPr>
          <w:ilvl w:val="0"/>
          <w:numId w:val="25"/>
        </w:numPr>
        <w:spacing w:line="360" w:after="210" w:lineRule="auto"/>
      </w:pPr>
      <w:hyperlink r:id="rId60">
        <w:r>
          <w:rPr>
            <w:rFonts w:eastAsia="inter" w:cs="inter" w:ascii="inter" w:hAnsi="inter"/>
            <w:color w:val="#000"/>
            <w:sz w:val="18"/>
            <w:u w:val="single"/>
          </w:rPr>
          <w:t xml:space="preserve">https://www.reuters.com/technology/ai-startup-ai21-labs-valued-14-bln-after-latest-fund-raise-2023-08-30/</w:t>
        </w:r>
      </w:hyperlink>
      <w:r>
        <w:rPr>
          <w:rFonts w:eastAsia="inter" w:cs="inter" w:ascii="inter" w:hAnsi="inter"/>
          <w:color w:val="000000"/>
          <w:sz w:val="18"/>
        </w:rPr>
        <w:t xml:space="preserve"> </w:t>
      </w:r>
    </w:p>
    <w:bookmarkStart w:id="122" w:name="fn51"/>
    <w:bookmarkEnd w:id="122"/>
    <w:p>
      <w:pPr>
        <w:numPr>
          <w:ilvl w:val="0"/>
          <w:numId w:val="25"/>
        </w:numPr>
        <w:spacing w:line="360" w:after="210" w:lineRule="auto"/>
      </w:pPr>
      <w:hyperlink r:id="rId61">
        <w:r>
          <w:rPr>
            <w:rFonts w:eastAsia="inter" w:cs="inter" w:ascii="inter" w:hAnsi="inter"/>
            <w:color w:val="#000"/>
            <w:sz w:val="18"/>
            <w:u w:val="single"/>
          </w:rPr>
          <w:t xml:space="preserve">https://www.scribd.com/document/18049508/Case-Study-Samba</w:t>
        </w:r>
      </w:hyperlink>
      <w:r>
        <w:rPr>
          <w:rFonts w:eastAsia="inter" w:cs="inter" w:ascii="inter" w:hAnsi="inter"/>
          <w:color w:val="000000"/>
          <w:sz w:val="18"/>
        </w:rPr>
        <w:t xml:space="preserve"> </w:t>
      </w:r>
    </w:p>
    <w:bookmarkStart w:id="123" w:name="fn52"/>
    <w:bookmarkEnd w:id="123"/>
    <w:p>
      <w:pPr>
        <w:numPr>
          <w:ilvl w:val="0"/>
          <w:numId w:val="25"/>
        </w:numPr>
        <w:spacing w:line="360" w:after="210" w:lineRule="auto"/>
      </w:pPr>
      <w:hyperlink r:id="rId62">
        <w:r>
          <w:rPr>
            <w:rFonts w:eastAsia="inter" w:cs="inter" w:ascii="inter" w:hAnsi="inter"/>
            <w:color w:val="#000"/>
            <w:sz w:val="18"/>
            <w:u w:val="single"/>
          </w:rPr>
          <w:t xml:space="preserve">https://israeldesks.com/israeli-generative-ai-co-ai21-labs-raises-usd155-million-at-usd1-4b-valuation/</w:t>
        </w:r>
      </w:hyperlink>
      <w:r>
        <w:rPr>
          <w:rFonts w:eastAsia="inter" w:cs="inter" w:ascii="inter" w:hAnsi="inter"/>
          <w:color w:val="000000"/>
          <w:sz w:val="18"/>
        </w:rPr>
        <w:t xml:space="preserve"> </w:t>
      </w:r>
    </w:p>
    <w:bookmarkStart w:id="124" w:name="fn53"/>
    <w:bookmarkEnd w:id="124"/>
    <w:p>
      <w:pPr>
        <w:numPr>
          <w:ilvl w:val="0"/>
          <w:numId w:val="25"/>
        </w:numPr>
        <w:spacing w:line="360" w:after="210" w:lineRule="auto"/>
      </w:pPr>
      <w:hyperlink r:id="rId63">
        <w:r>
          <w:rPr>
            <w:rFonts w:eastAsia="inter" w:cs="inter" w:ascii="inter" w:hAnsi="inter"/>
            <w:color w:val="#000"/>
            <w:sz w:val="18"/>
            <w:u w:val="single"/>
          </w:rPr>
          <w:t xml:space="preserve">https://www.ai21.com/jamba/</w:t>
        </w:r>
      </w:hyperlink>
      <w:r>
        <w:rPr>
          <w:rFonts w:eastAsia="inter" w:cs="inter" w:ascii="inter" w:hAnsi="inter"/>
          <w:color w:val="000000"/>
          <w:sz w:val="18"/>
        </w:rPr>
        <w:t xml:space="preserve"> </w:t>
      </w:r>
    </w:p>
    <w:bookmarkStart w:id="125" w:name="fn54"/>
    <w:bookmarkEnd w:id="125"/>
    <w:p>
      <w:pPr>
        <w:numPr>
          <w:ilvl w:val="0"/>
          <w:numId w:val="25"/>
        </w:numPr>
        <w:spacing w:line="360" w:after="210" w:lineRule="auto"/>
      </w:pPr>
      <w:hyperlink r:id="rId64">
        <w:r>
          <w:rPr>
            <w:rFonts w:eastAsia="inter" w:cs="inter" w:ascii="inter" w:hAnsi="inter"/>
            <w:color w:val="#000"/>
            <w:sz w:val="18"/>
            <w:u w:val="single"/>
          </w:rPr>
          <w:t xml:space="preserve">https://www.ai21.com/blog/series-c-funding/</w:t>
        </w:r>
      </w:hyperlink>
      <w:r>
        <w:rPr>
          <w:rFonts w:eastAsia="inter" w:cs="inter" w:ascii="inter" w:hAnsi="inter"/>
          <w:color w:val="000000"/>
          <w:sz w:val="18"/>
        </w:rPr>
        <w:t xml:space="preserve"> </w:t>
      </w:r>
    </w:p>
    <w:bookmarkStart w:id="126" w:name="fn55"/>
    <w:bookmarkEnd w:id="126"/>
    <w:p>
      <w:pPr>
        <w:numPr>
          <w:ilvl w:val="0"/>
          <w:numId w:val="25"/>
        </w:numPr>
        <w:spacing w:line="360" w:after="210" w:lineRule="auto"/>
      </w:pPr>
      <w:hyperlink r:id="rId65">
        <w:r>
          <w:rPr>
            <w:rFonts w:eastAsia="inter" w:cs="inter" w:ascii="inter" w:hAnsi="inter"/>
            <w:color w:val="#000"/>
            <w:sz w:val="18"/>
            <w:u w:val="single"/>
          </w:rPr>
          <w:t xml:space="preserve">http://arxiv.org/abs/2201.11133</w:t>
        </w:r>
      </w:hyperlink>
      <w:r>
        <w:rPr>
          <w:rFonts w:eastAsia="inter" w:cs="inter" w:ascii="inter" w:hAnsi="inter"/>
          <w:color w:val="000000"/>
          <w:sz w:val="18"/>
        </w:rPr>
        <w:t xml:space="preserve"> </w:t>
      </w:r>
    </w:p>
    <w:bookmarkStart w:id="127" w:name="fn56"/>
    <w:bookmarkEnd w:id="127"/>
    <w:p>
      <w:pPr>
        <w:numPr>
          <w:ilvl w:val="0"/>
          <w:numId w:val="25"/>
        </w:numPr>
        <w:spacing w:line="360" w:after="210" w:lineRule="auto"/>
      </w:pPr>
      <w:hyperlink r:id="rId66">
        <w:r>
          <w:rPr>
            <w:rFonts w:eastAsia="inter" w:cs="inter" w:ascii="inter" w:hAnsi="inter"/>
            <w:color w:val="#000"/>
            <w:sz w:val="18"/>
            <w:u w:val="single"/>
          </w:rPr>
          <w:t xml:space="preserve">https://downloads.hindawi.com/journals/scn/2021/9918697.pdf</w:t>
        </w:r>
      </w:hyperlink>
      <w:r>
        <w:rPr>
          <w:rFonts w:eastAsia="inter" w:cs="inter" w:ascii="inter" w:hAnsi="inter"/>
          <w:color w:val="000000"/>
          <w:sz w:val="18"/>
        </w:rPr>
        <w:t xml:space="preserve"> </w:t>
      </w:r>
    </w:p>
    <w:bookmarkStart w:id="128" w:name="fn57"/>
    <w:bookmarkEnd w:id="128"/>
    <w:p>
      <w:pPr>
        <w:numPr>
          <w:ilvl w:val="0"/>
          <w:numId w:val="25"/>
        </w:numPr>
        <w:spacing w:line="360" w:after="210" w:lineRule="auto"/>
      </w:pPr>
      <w:hyperlink r:id="rId67">
        <w:r>
          <w:rPr>
            <w:rFonts w:eastAsia="inter" w:cs="inter" w:ascii="inter" w:hAnsi="inter"/>
            <w:color w:val="#000"/>
            <w:sz w:val="18"/>
            <w:u w:val="single"/>
          </w:rPr>
          <w:t xml:space="preserve">https://www.linkedin.com/posts/ori-goshen_today-we-launched-jamba-16-the-best-open-activity-7303441993580384256-EtAj</w:t>
        </w:r>
      </w:hyperlink>
      <w:r>
        <w:rPr>
          <w:rFonts w:eastAsia="inter" w:cs="inter" w:ascii="inter" w:hAnsi="inter"/>
          <w:color w:val="000000"/>
          <w:sz w:val="18"/>
        </w:rPr>
        <w:t xml:space="preserve"> </w:t>
      </w:r>
    </w:p>
    <w:bookmarkStart w:id="129" w:name="fn58"/>
    <w:bookmarkEnd w:id="129"/>
    <w:p>
      <w:pPr>
        <w:numPr>
          <w:ilvl w:val="0"/>
          <w:numId w:val="25"/>
        </w:numPr>
        <w:spacing w:line="360" w:after="210" w:lineRule="auto"/>
      </w:pPr>
      <w:hyperlink r:id="rId68">
        <w:r>
          <w:rPr>
            <w:rFonts w:eastAsia="inter" w:cs="inter" w:ascii="inter" w:hAnsi="inter"/>
            <w:color w:val="#000"/>
            <w:sz w:val="18"/>
            <w:u w:val="single"/>
          </w:rPr>
          <w:t xml:space="preserve">https://www.bloomberg.com/news/articles/2026-01-07/ai21-co-founder-says-firm-held-early-talks-with-nvidia-others</w:t>
        </w:r>
      </w:hyperlink>
      <w:r>
        <w:rPr>
          <w:rFonts w:eastAsia="inter" w:cs="inter" w:ascii="inter" w:hAnsi="inter"/>
          <w:color w:val="000000"/>
          <w:sz w:val="18"/>
        </w:rPr>
        <w:t xml:space="preserve"> </w:t>
      </w:r>
    </w:p>
    <w:bookmarkStart w:id="130" w:name="fn59"/>
    <w:bookmarkEnd w:id="130"/>
    <w:p>
      <w:pPr>
        <w:numPr>
          <w:ilvl w:val="0"/>
          <w:numId w:val="25"/>
        </w:numPr>
        <w:spacing w:line="360" w:after="210" w:lineRule="auto"/>
      </w:pPr>
      <w:hyperlink r:id="rId69">
        <w:r>
          <w:rPr>
            <w:rFonts w:eastAsia="inter" w:cs="inter" w:ascii="inter" w:hAnsi="inter"/>
            <w:color w:val="#000"/>
            <w:sz w:val="18"/>
            <w:u w:val="single"/>
          </w:rPr>
          <w:t xml:space="preserve">https://arxiv.org/pdf/2406.01722.pdf</w:t>
        </w:r>
      </w:hyperlink>
      <w:r>
        <w:rPr>
          <w:rFonts w:eastAsia="inter" w:cs="inter" w:ascii="inter" w:hAnsi="inter"/>
          <w:color w:val="000000"/>
          <w:sz w:val="18"/>
        </w:rPr>
        <w:t xml:space="preserve"> </w:t>
      </w:r>
    </w:p>
    <w:bookmarkStart w:id="131" w:name="fn60"/>
    <w:bookmarkEnd w:id="131"/>
    <w:p>
      <w:pPr>
        <w:numPr>
          <w:ilvl w:val="0"/>
          <w:numId w:val="25"/>
        </w:numPr>
        <w:spacing w:line="360" w:after="210" w:lineRule="auto"/>
      </w:pPr>
      <w:hyperlink r:id="rId70">
        <w:r>
          <w:rPr>
            <w:rFonts w:eastAsia="inter" w:cs="inter" w:ascii="inter" w:hAnsi="inter"/>
            <w:color w:val="#000"/>
            <w:sz w:val="18"/>
            <w:u w:val="single"/>
          </w:rPr>
          <w:t xml:space="preserve">http://arxiv.org/pdf/2502.21266.pdf</w:t>
        </w:r>
      </w:hyperlink>
      <w:r>
        <w:rPr>
          <w:rFonts w:eastAsia="inter" w:cs="inter" w:ascii="inter" w:hAnsi="inter"/>
          <w:color w:val="000000"/>
          <w:sz w:val="18"/>
        </w:rPr>
        <w:t xml:space="preserve"> </w:t>
      </w:r>
    </w:p>
    <w:bookmarkStart w:id="132" w:name="fn61"/>
    <w:bookmarkEnd w:id="132"/>
    <w:p>
      <w:pPr>
        <w:numPr>
          <w:ilvl w:val="0"/>
          <w:numId w:val="25"/>
        </w:numPr>
        <w:spacing w:line="360" w:after="210" w:lineRule="auto"/>
      </w:pPr>
      <w:hyperlink r:id="rId71">
        <w:r>
          <w:rPr>
            <w:rFonts w:eastAsia="inter" w:cs="inter" w:ascii="inter" w:hAnsi="inter"/>
            <w:color w:val="#000"/>
            <w:sz w:val="18"/>
            <w:u w:val="single"/>
          </w:rPr>
          <w:t xml:space="preserve">http://arxiv.org/pdf/2410.11199.pdf</w:t>
        </w:r>
      </w:hyperlink>
      <w:r>
        <w:rPr>
          <w:rFonts w:eastAsia="inter" w:cs="inter" w:ascii="inter" w:hAnsi="inter"/>
          <w:color w:val="000000"/>
          <w:sz w:val="18"/>
        </w:rPr>
        <w:t xml:space="preserve"> </w:t>
      </w:r>
    </w:p>
    <w:bookmarkStart w:id="133" w:name="fn62"/>
    <w:bookmarkEnd w:id="133"/>
    <w:p>
      <w:pPr>
        <w:numPr>
          <w:ilvl w:val="0"/>
          <w:numId w:val="25"/>
        </w:numPr>
        <w:spacing w:line="360" w:after="210" w:lineRule="auto"/>
      </w:pPr>
      <w:hyperlink r:id="rId72">
        <w:r>
          <w:rPr>
            <w:rFonts w:eastAsia="inter" w:cs="inter" w:ascii="inter" w:hAnsi="inter"/>
            <w:color w:val="#000"/>
            <w:sz w:val="18"/>
            <w:u w:val="single"/>
          </w:rPr>
          <w:t xml:space="preserve">https://arxiv.org/pdf/2501.10187.pdf</w:t>
        </w:r>
      </w:hyperlink>
      <w:r>
        <w:rPr>
          <w:rFonts w:eastAsia="inter" w:cs="inter" w:ascii="inter" w:hAnsi="inter"/>
          <w:color w:val="000000"/>
          <w:sz w:val="18"/>
        </w:rPr>
        <w:t xml:space="preserve"> </w:t>
      </w:r>
    </w:p>
    <w:bookmarkStart w:id="134" w:name="fn63"/>
    <w:bookmarkEnd w:id="134"/>
    <w:p>
      <w:pPr>
        <w:numPr>
          <w:ilvl w:val="0"/>
          <w:numId w:val="25"/>
        </w:numPr>
        <w:spacing w:line="360" w:after="210" w:lineRule="auto"/>
      </w:pPr>
      <w:hyperlink r:id="rId73">
        <w:r>
          <w:rPr>
            <w:rFonts w:eastAsia="inter" w:cs="inter" w:ascii="inter" w:hAnsi="inter"/>
            <w:color w:val="#000"/>
            <w:sz w:val="18"/>
            <w:u w:val="single"/>
          </w:rPr>
          <w:t xml:space="preserve">http://arxiv.org/pdf/2407.00031.pdf</w:t>
        </w:r>
      </w:hyperlink>
      <w:r>
        <w:rPr>
          <w:rFonts w:eastAsia="inter" w:cs="inter" w:ascii="inter" w:hAnsi="inter"/>
          <w:color w:val="000000"/>
          <w:sz w:val="18"/>
        </w:rPr>
        <w:t xml:space="preserve"> </w:t>
      </w:r>
    </w:p>
    <w:bookmarkStart w:id="135" w:name="fn64"/>
    <w:bookmarkEnd w:id="135"/>
    <w:p>
      <w:pPr>
        <w:numPr>
          <w:ilvl w:val="0"/>
          <w:numId w:val="25"/>
        </w:numPr>
        <w:spacing w:line="360" w:after="210" w:lineRule="auto"/>
      </w:pPr>
      <w:hyperlink r:id="rId74">
        <w:r>
          <w:rPr>
            <w:rFonts w:eastAsia="inter" w:cs="inter" w:ascii="inter" w:hAnsi="inter"/>
            <w:color w:val="#000"/>
            <w:sz w:val="18"/>
            <w:u w:val="single"/>
          </w:rPr>
          <w:t xml:space="preserve">https://arxiv.org/pdf/2409.03112.pdf</w:t>
        </w:r>
      </w:hyperlink>
      <w:r>
        <w:rPr>
          <w:rFonts w:eastAsia="inter" w:cs="inter" w:ascii="inter" w:hAnsi="inter"/>
          <w:color w:val="000000"/>
          <w:sz w:val="18"/>
        </w:rPr>
        <w:t xml:space="preserve"> </w:t>
      </w:r>
    </w:p>
    <w:bookmarkStart w:id="136" w:name="fn65"/>
    <w:bookmarkEnd w:id="136"/>
    <w:p>
      <w:pPr>
        <w:numPr>
          <w:ilvl w:val="0"/>
          <w:numId w:val="25"/>
        </w:numPr>
        <w:spacing w:line="360" w:after="210" w:lineRule="auto"/>
      </w:pPr>
      <w:hyperlink r:id="rId75">
        <w:r>
          <w:rPr>
            <w:rFonts w:eastAsia="inter" w:cs="inter" w:ascii="inter" w:hAnsi="inter"/>
            <w:color w:val="#000"/>
            <w:sz w:val="18"/>
            <w:u w:val="single"/>
          </w:rPr>
          <w:t xml:space="preserve">http://arxiv.org/pdf/2411.03449.pdf</w:t>
        </w:r>
      </w:hyperlink>
      <w:r>
        <w:rPr>
          <w:rFonts w:eastAsia="inter" w:cs="inter" w:ascii="inter" w:hAnsi="inter"/>
          <w:color w:val="000000"/>
          <w:sz w:val="18"/>
        </w:rPr>
        <w:t xml:space="preserve"> </w:t>
      </w:r>
    </w:p>
    <w:bookmarkStart w:id="137" w:name="fn66"/>
    <w:bookmarkEnd w:id="137"/>
    <w:p>
      <w:pPr>
        <w:numPr>
          <w:ilvl w:val="0"/>
          <w:numId w:val="25"/>
        </w:numPr>
        <w:spacing w:line="360" w:after="210" w:lineRule="auto"/>
      </w:pPr>
      <w:hyperlink r:id="rId76">
        <w:r>
          <w:rPr>
            <w:rFonts w:eastAsia="inter" w:cs="inter" w:ascii="inter" w:hAnsi="inter"/>
            <w:color w:val="#000"/>
            <w:sz w:val="18"/>
            <w:u w:val="single"/>
          </w:rPr>
          <w:t xml:space="preserve">https://arxiv.org/pdf/2504.00986.pdf</w:t>
        </w:r>
      </w:hyperlink>
      <w:r>
        <w:rPr>
          <w:rFonts w:eastAsia="inter" w:cs="inter" w:ascii="inter" w:hAnsi="inter"/>
          <w:color w:val="000000"/>
          <w:sz w:val="18"/>
        </w:rPr>
        <w:t xml:space="preserve"> </w:t>
      </w:r>
    </w:p>
    <w:bookmarkStart w:id="138" w:name="fn67"/>
    <w:bookmarkEnd w:id="138"/>
    <w:p>
      <w:pPr>
        <w:numPr>
          <w:ilvl w:val="0"/>
          <w:numId w:val="25"/>
        </w:numPr>
        <w:spacing w:line="360" w:after="210" w:lineRule="auto"/>
      </w:pPr>
      <w:hyperlink r:id="rId77">
        <w:r>
          <w:rPr>
            <w:rFonts w:eastAsia="inter" w:cs="inter" w:ascii="inter" w:hAnsi="inter"/>
            <w:color w:val="#000"/>
            <w:sz w:val="18"/>
            <w:u w:val="single"/>
          </w:rPr>
          <w:t xml:space="preserve">https://www.ai21.com/events/</w:t>
        </w:r>
      </w:hyperlink>
      <w:r>
        <w:rPr>
          <w:rFonts w:eastAsia="inter" w:cs="inter" w:ascii="inter" w:hAnsi="inter"/>
          <w:color w:val="000000"/>
          <w:sz w:val="18"/>
        </w:rPr>
        <w:t xml:space="preserve"> </w:t>
      </w:r>
    </w:p>
    <w:bookmarkStart w:id="139" w:name="fn68"/>
    <w:bookmarkEnd w:id="139"/>
    <w:p>
      <w:pPr>
        <w:numPr>
          <w:ilvl w:val="0"/>
          <w:numId w:val="25"/>
        </w:numPr>
        <w:spacing w:line="360" w:after="210" w:lineRule="auto"/>
      </w:pPr>
      <w:hyperlink r:id="rId78">
        <w:r>
          <w:rPr>
            <w:rFonts w:eastAsia="inter" w:cs="inter" w:ascii="inter" w:hAnsi="inter"/>
            <w:color w:val="#000"/>
            <w:sz w:val="18"/>
            <w:u w:val="single"/>
          </w:rPr>
          <w:t xml:space="preserve">https://www.precedenceresearch.com/news/nvidia-ai21-labs-acquisition</w:t>
        </w:r>
      </w:hyperlink>
      <w:r>
        <w:rPr>
          <w:rFonts w:eastAsia="inter" w:cs="inter" w:ascii="inter" w:hAnsi="inter"/>
          <w:color w:val="000000"/>
          <w:sz w:val="18"/>
        </w:rPr>
        <w:t xml:space="preserve"> </w:t>
      </w:r>
    </w:p>
    <w:bookmarkStart w:id="140" w:name="fn69"/>
    <w:bookmarkEnd w:id="140"/>
    <w:p>
      <w:pPr>
        <w:numPr>
          <w:ilvl w:val="0"/>
          <w:numId w:val="25"/>
        </w:numPr>
        <w:spacing w:line="360" w:after="210" w:lineRule="auto"/>
      </w:pPr>
      <w:hyperlink r:id="rId79">
        <w:r>
          <w:rPr>
            <w:rFonts w:eastAsia="inter" w:cs="inter" w:ascii="inter" w:hAnsi="inter"/>
            <w:color w:val="#000"/>
            <w:sz w:val="18"/>
            <w:u w:val="single"/>
          </w:rPr>
          <w:t xml:space="preserve">https://en.globes.co.il/en/article-after-raising-700m-ai21-labs-looks-for-exit-1001530580</w:t>
        </w:r>
      </w:hyperlink>
      <w:r>
        <w:rPr>
          <w:rFonts w:eastAsia="inter" w:cs="inter" w:ascii="inter" w:hAnsi="inter"/>
          <w:color w:val="000000"/>
          <w:sz w:val="18"/>
        </w:rPr>
        <w:t xml:space="preserve"> </w:t>
      </w:r>
    </w:p>
    <w:bookmarkStart w:id="141" w:name="fn70"/>
    <w:bookmarkEnd w:id="141"/>
    <w:p>
      <w:pPr>
        <w:numPr>
          <w:ilvl w:val="0"/>
          <w:numId w:val="25"/>
        </w:numPr>
        <w:spacing w:line="360" w:after="210" w:lineRule="auto"/>
      </w:pPr>
      <w:hyperlink r:id="rId80">
        <w:r>
          <w:rPr>
            <w:rFonts w:eastAsia="inter" w:cs="inter" w:ascii="inter" w:hAnsi="inter"/>
            <w:color w:val="#000"/>
            <w:sz w:val="18"/>
            <w:u w:val="single"/>
          </w:rPr>
          <w:t xml:space="preserve">https://www.timesofisrael.com/report-nvidia-in-advanced-talks-to-buy-israels-ai21-labs-for-up-to-3-billion/</w:t>
        </w:r>
      </w:hyperlink>
      <w:r>
        <w:rPr>
          <w:rFonts w:eastAsia="inter" w:cs="inter" w:ascii="inter" w:hAnsi="inter"/>
          <w:color w:val="000000"/>
          <w:sz w:val="18"/>
        </w:rPr>
        <w:t xml:space="preserve"> </w:t>
      </w:r>
    </w:p>
    <w:bookmarkStart w:id="142" w:name="fn71"/>
    <w:bookmarkEnd w:id="142"/>
    <w:p>
      <w:pPr>
        <w:numPr>
          <w:ilvl w:val="0"/>
          <w:numId w:val="25"/>
        </w:numPr>
        <w:spacing w:line="360" w:after="210" w:lineRule="auto"/>
      </w:pPr>
      <w:hyperlink r:id="rId81">
        <w:r>
          <w:rPr>
            <w:rFonts w:eastAsia="inter" w:cs="inter" w:ascii="inter" w:hAnsi="inter"/>
            <w:color w:val="#000"/>
            <w:sz w:val="18"/>
            <w:u w:val="single"/>
          </w:rPr>
          <w:t xml:space="preserve">https://finance.yahoo.com/news/nvidia-talks-buy-israel-ai21-111146958.html</w:t>
        </w:r>
      </w:hyperlink>
      <w:r>
        <w:rPr>
          <w:rFonts w:eastAsia="inter" w:cs="inter" w:ascii="inter" w:hAnsi="inter"/>
          <w:color w:val="000000"/>
          <w:sz w:val="18"/>
        </w:rPr>
        <w:t xml:space="preserve"> </w:t>
      </w:r>
    </w:p>
    <w:bookmarkStart w:id="143" w:name="fn72"/>
    <w:bookmarkEnd w:id="143"/>
    <w:p>
      <w:pPr>
        <w:numPr>
          <w:ilvl w:val="0"/>
          <w:numId w:val="25"/>
        </w:numPr>
        <w:spacing w:line="360" w:after="210" w:lineRule="auto"/>
      </w:pPr>
      <w:hyperlink r:id="rId82">
        <w:r>
          <w:rPr>
            <w:rFonts w:eastAsia="inter" w:cs="inter" w:ascii="inter" w:hAnsi="inter"/>
            <w:color w:val="#000"/>
            <w:sz w:val="18"/>
            <w:u w:val="single"/>
          </w:rPr>
          <w:t xml:space="preserve">https://www.linkedin.com/posts/andrewrichland_nvidia-in-advanced-talks-to-buy-israels-activity-7416837724378214400-kS1w</w:t>
        </w:r>
      </w:hyperlink>
      <w:r>
        <w:rPr>
          <w:rFonts w:eastAsia="inter" w:cs="inter" w:ascii="inter" w:hAnsi="inter"/>
          <w:color w:val="000000"/>
          <w:sz w:val="18"/>
        </w:rPr>
        <w:t xml:space="preserve"> </w:t>
      </w:r>
    </w:p>
    <w:bookmarkStart w:id="144" w:name="fn73"/>
    <w:bookmarkEnd w:id="144"/>
    <w:p>
      <w:pPr>
        <w:numPr>
          <w:ilvl w:val="0"/>
          <w:numId w:val="25"/>
        </w:numPr>
        <w:spacing w:line="360" w:after="210" w:lineRule="auto"/>
      </w:pPr>
      <w:hyperlink r:id="rId83">
        <w:r>
          <w:rPr>
            <w:rFonts w:eastAsia="inter" w:cs="inter" w:ascii="inter" w:hAnsi="inter"/>
            <w:color w:val="#000"/>
            <w:sz w:val="18"/>
            <w:u w:val="single"/>
          </w:rPr>
          <w:t xml:space="preserve">https://siliconangle.com/2025/12/30/report-nvidia-acquire-llm-startup-ai21-labs-3b/</w:t>
        </w:r>
      </w:hyperlink>
      <w:r>
        <w:rPr>
          <w:rFonts w:eastAsia="inter" w:cs="inter" w:ascii="inter" w:hAnsi="inter"/>
          <w:color w:val="000000"/>
          <w:sz w:val="18"/>
        </w:rPr>
        <w:t xml:space="preserve"> </w:t>
      </w:r>
    </w:p>
    <w:bookmarkStart w:id="145" w:name="fn74"/>
    <w:bookmarkEnd w:id="145"/>
    <w:p>
      <w:pPr>
        <w:numPr>
          <w:ilvl w:val="0"/>
          <w:numId w:val="25"/>
        </w:numPr>
        <w:spacing w:line="360" w:after="210" w:lineRule="auto"/>
      </w:pPr>
      <w:hyperlink r:id="rId84">
        <w:r>
          <w:rPr>
            <w:rFonts w:eastAsia="inter" w:cs="inter" w:ascii="inter" w:hAnsi="inter"/>
            <w:color w:val="#000"/>
            <w:sz w:val="18"/>
            <w:u w:val="single"/>
          </w:rPr>
          <w:t xml:space="preserve">https://israelseen.com/ctech-latest-israeli-innovation-technology-news-jan-13-2026/</w:t>
        </w:r>
      </w:hyperlink>
      <w:r>
        <w:rPr>
          <w:rFonts w:eastAsia="inter" w:cs="inter" w:ascii="inter" w:hAnsi="inter"/>
          <w:color w:val="000000"/>
          <w:sz w:val="18"/>
        </w:rPr>
        <w:t xml:space="preserve"> </w:t>
      </w:r>
    </w:p>
    <w:bookmarkStart w:id="146" w:name="fn75"/>
    <w:bookmarkEnd w:id="146"/>
    <w:p>
      <w:pPr>
        <w:numPr>
          <w:ilvl w:val="0"/>
          <w:numId w:val="25"/>
        </w:numPr>
        <w:spacing w:line="360" w:after="210" w:lineRule="auto"/>
      </w:pPr>
      <w:hyperlink r:id="rId85">
        <w:r>
          <w:rPr>
            <w:rFonts w:eastAsia="inter" w:cs="inter" w:ascii="inter" w:hAnsi="inter"/>
            <w:color w:val="#000"/>
            <w:sz w:val="18"/>
            <w:u w:val="single"/>
          </w:rPr>
          <w:t xml:space="preserve">https://eajournals.org/ejcsit/vol13-issue26-2025/salesforce-as-an-enterprise-platform-for-smart-city-integration-architectural-approaches-and-implementation-challenges/</w:t>
        </w:r>
      </w:hyperlink>
      <w:r>
        <w:rPr>
          <w:rFonts w:eastAsia="inter" w:cs="inter" w:ascii="inter" w:hAnsi="inter"/>
          <w:color w:val="000000"/>
          <w:sz w:val="18"/>
        </w:rPr>
        <w:t xml:space="preserve"> </w:t>
      </w:r>
    </w:p>
    <w:bookmarkStart w:id="147" w:name="fn76"/>
    <w:bookmarkEnd w:id="147"/>
    <w:p>
      <w:pPr>
        <w:numPr>
          <w:ilvl w:val="0"/>
          <w:numId w:val="25"/>
        </w:numPr>
        <w:spacing w:line="360" w:after="210" w:lineRule="auto"/>
      </w:pPr>
      <w:hyperlink r:id="rId86">
        <w:r>
          <w:rPr>
            <w:rFonts w:eastAsia="inter" w:cs="inter" w:ascii="inter" w:hAnsi="inter"/>
            <w:color w:val="#000"/>
            <w:sz w:val="18"/>
            <w:u w:val="single"/>
          </w:rPr>
          <w:t xml:space="preserve">https://al-kindipublisher.com/index.php/jcsts/article/view/10664</w:t>
        </w:r>
      </w:hyperlink>
      <w:r>
        <w:rPr>
          <w:rFonts w:eastAsia="inter" w:cs="inter" w:ascii="inter" w:hAnsi="inter"/>
          <w:color w:val="000000"/>
          <w:sz w:val="18"/>
        </w:rPr>
        <w:t xml:space="preserve"> </w:t>
      </w:r>
    </w:p>
    <w:bookmarkStart w:id="148" w:name="fn77"/>
    <w:bookmarkEnd w:id="148"/>
    <w:p>
      <w:pPr>
        <w:numPr>
          <w:ilvl w:val="0"/>
          <w:numId w:val="25"/>
        </w:numPr>
        <w:spacing w:line="360" w:after="210" w:lineRule="auto"/>
      </w:pPr>
      <w:hyperlink r:id="rId87">
        <w:r>
          <w:rPr>
            <w:rFonts w:eastAsia="inter" w:cs="inter" w:ascii="inter" w:hAnsi="inter"/>
            <w:color w:val="#000"/>
            <w:sz w:val="18"/>
            <w:u w:val="single"/>
          </w:rPr>
          <w:t xml:space="preserve">https://eajournals.org/ejcsit/vol13-issue-8-2025/cross-industry-enterprise-solution-a-technical-deep-dive-into-a-versatile-business-management-platform/</w:t>
        </w:r>
      </w:hyperlink>
      <w:r>
        <w:rPr>
          <w:rFonts w:eastAsia="inter" w:cs="inter" w:ascii="inter" w:hAnsi="inter"/>
          <w:color w:val="000000"/>
          <w:sz w:val="18"/>
        </w:rPr>
        <w:t xml:space="preserve"> </w:t>
      </w:r>
    </w:p>
    <w:bookmarkStart w:id="149" w:name="fn78"/>
    <w:bookmarkEnd w:id="149"/>
    <w:p>
      <w:pPr>
        <w:numPr>
          <w:ilvl w:val="0"/>
          <w:numId w:val="25"/>
        </w:numPr>
        <w:spacing w:line="360" w:after="210" w:lineRule="auto"/>
      </w:pPr>
      <w:hyperlink r:id="rId88">
        <w:r>
          <w:rPr>
            <w:rFonts w:eastAsia="inter" w:cs="inter" w:ascii="inter" w:hAnsi="inter"/>
            <w:color w:val="#000"/>
            <w:sz w:val="18"/>
            <w:u w:val="single"/>
          </w:rPr>
          <w:t xml:space="preserve">https://wjaets.com/node/1046</w:t>
        </w:r>
      </w:hyperlink>
      <w:r>
        <w:rPr>
          <w:rFonts w:eastAsia="inter" w:cs="inter" w:ascii="inter" w:hAnsi="inter"/>
          <w:color w:val="000000"/>
          <w:sz w:val="18"/>
        </w:rPr>
        <w:t xml:space="preserve"> </w:t>
      </w:r>
    </w:p>
    <w:bookmarkStart w:id="150" w:name="fn79"/>
    <w:bookmarkEnd w:id="150"/>
    <w:p>
      <w:pPr>
        <w:numPr>
          <w:ilvl w:val="0"/>
          <w:numId w:val="25"/>
        </w:numPr>
        <w:spacing w:line="360" w:after="210" w:lineRule="auto"/>
      </w:pPr>
      <w:hyperlink r:id="rId89">
        <w:r>
          <w:rPr>
            <w:rFonts w:eastAsia="inter" w:cs="inter" w:ascii="inter" w:hAnsi="inter"/>
            <w:color w:val="#000"/>
            <w:sz w:val="18"/>
            <w:u w:val="single"/>
          </w:rPr>
          <w:t xml:space="preserve">https://eajournals.org/ejcsit/vol13-issue47-2025/automation-platform-a-paradigm-shift-in-enterprise-cloud-management/</w:t>
        </w:r>
      </w:hyperlink>
      <w:r>
        <w:rPr>
          <w:rFonts w:eastAsia="inter" w:cs="inter" w:ascii="inter" w:hAnsi="inter"/>
          <w:color w:val="000000"/>
          <w:sz w:val="18"/>
        </w:rPr>
        <w:t xml:space="preserve"> </w:t>
      </w:r>
    </w:p>
    <w:bookmarkStart w:id="151" w:name="fn80"/>
    <w:bookmarkEnd w:id="151"/>
    <w:p>
      <w:pPr>
        <w:numPr>
          <w:ilvl w:val="0"/>
          <w:numId w:val="25"/>
        </w:numPr>
        <w:spacing w:line="360" w:after="210" w:lineRule="auto"/>
      </w:pPr>
      <w:hyperlink r:id="rId90">
        <w:r>
          <w:rPr>
            <w:rFonts w:eastAsia="inter" w:cs="inter" w:ascii="inter" w:hAnsi="inter"/>
            <w:color w:val="#000"/>
            <w:sz w:val="18"/>
            <w:u w:val="single"/>
          </w:rPr>
          <w:t xml:space="preserve">https://www.jisem-journal.com/index.php/journal/article/view/12545</w:t>
        </w:r>
      </w:hyperlink>
      <w:r>
        <w:rPr>
          <w:rFonts w:eastAsia="inter" w:cs="inter" w:ascii="inter" w:hAnsi="inter"/>
          <w:color w:val="000000"/>
          <w:sz w:val="18"/>
        </w:rPr>
        <w:t xml:space="preserve"> </w:t>
      </w:r>
    </w:p>
    <w:bookmarkStart w:id="152" w:name="fn81"/>
    <w:bookmarkEnd w:id="152"/>
    <w:p>
      <w:pPr>
        <w:numPr>
          <w:ilvl w:val="0"/>
          <w:numId w:val="25"/>
        </w:numPr>
        <w:spacing w:line="360" w:after="210" w:lineRule="auto"/>
      </w:pPr>
      <w:hyperlink r:id="rId91">
        <w:r>
          <w:rPr>
            <w:rFonts w:eastAsia="inter" w:cs="inter" w:ascii="inter" w:hAnsi="inter"/>
            <w:color w:val="#000"/>
            <w:sz w:val="18"/>
            <w:u w:val="single"/>
          </w:rPr>
          <w:t xml:space="preserve">https://www.ijsrcseit.com/index.php/home/article/view/CSEIT25112716</w:t>
        </w:r>
      </w:hyperlink>
      <w:r>
        <w:rPr>
          <w:rFonts w:eastAsia="inter" w:cs="inter" w:ascii="inter" w:hAnsi="inter"/>
          <w:color w:val="000000"/>
          <w:sz w:val="18"/>
        </w:rPr>
        <w:t xml:space="preserve"> </w:t>
      </w:r>
    </w:p>
    <w:bookmarkStart w:id="153" w:name="fn82"/>
    <w:bookmarkEnd w:id="153"/>
    <w:p>
      <w:pPr>
        <w:numPr>
          <w:ilvl w:val="0"/>
          <w:numId w:val="25"/>
        </w:numPr>
        <w:spacing w:line="360" w:after="210" w:lineRule="auto"/>
      </w:pPr>
      <w:hyperlink r:id="rId92">
        <w:r>
          <w:rPr>
            <w:rFonts w:eastAsia="inter" w:cs="inter" w:ascii="inter" w:hAnsi="inter"/>
            <w:color w:val="#000"/>
            <w:sz w:val="18"/>
            <w:u w:val="single"/>
          </w:rPr>
          <w:t xml:space="preserve">https://www.ijsat.org/research-paper.php?id=2750</w:t>
        </w:r>
      </w:hyperlink>
      <w:r>
        <w:rPr>
          <w:rFonts w:eastAsia="inter" w:cs="inter" w:ascii="inter" w:hAnsi="inter"/>
          <w:color w:val="000000"/>
          <w:sz w:val="18"/>
        </w:rPr>
        <w:t xml:space="preserve"> </w:t>
      </w:r>
    </w:p>
    <w:bookmarkStart w:id="154" w:name="fn83"/>
    <w:bookmarkEnd w:id="154"/>
    <w:p>
      <w:pPr>
        <w:numPr>
          <w:ilvl w:val="0"/>
          <w:numId w:val="25"/>
        </w:numPr>
        <w:spacing w:line="360" w:after="210" w:lineRule="auto"/>
      </w:pPr>
      <w:hyperlink r:id="rId93">
        <w:r>
          <w:rPr>
            <w:rFonts w:eastAsia="inter" w:cs="inter" w:ascii="inter" w:hAnsi="inter"/>
            <w:color w:val="#000"/>
            <w:sz w:val="18"/>
            <w:u w:val="single"/>
          </w:rPr>
          <w:t xml:space="preserve">https://wjaets.com/node/926</w:t>
        </w:r>
      </w:hyperlink>
      <w:r>
        <w:rPr>
          <w:rFonts w:eastAsia="inter" w:cs="inter" w:ascii="inter" w:hAnsi="inter"/>
          <w:color w:val="000000"/>
          <w:sz w:val="18"/>
        </w:rPr>
        <w:t xml:space="preserve"> </w:t>
      </w:r>
    </w:p>
    <w:bookmarkStart w:id="155" w:name="fn84"/>
    <w:bookmarkEnd w:id="155"/>
    <w:p>
      <w:pPr>
        <w:numPr>
          <w:ilvl w:val="0"/>
          <w:numId w:val="25"/>
        </w:numPr>
        <w:spacing w:line="360" w:after="210" w:lineRule="auto"/>
      </w:pPr>
      <w:hyperlink r:id="rId94">
        <w:r>
          <w:rPr>
            <w:rFonts w:eastAsia="inter" w:cs="inter" w:ascii="inter" w:hAnsi="inter"/>
            <w:color w:val="#000"/>
            <w:sz w:val="18"/>
            <w:u w:val="single"/>
          </w:rPr>
          <w:t xml:space="preserve">https://journalwjarr.com/node/1320</w:t>
        </w:r>
      </w:hyperlink>
      <w:r>
        <w:rPr>
          <w:rFonts w:eastAsia="inter" w:cs="inter" w:ascii="inter" w:hAnsi="inter"/>
          <w:color w:val="000000"/>
          <w:sz w:val="18"/>
        </w:rPr>
        <w:t xml:space="preserve"> </w:t>
      </w:r>
    </w:p>
    <w:bookmarkStart w:id="156" w:name="fn85"/>
    <w:bookmarkEnd w:id="156"/>
    <w:p>
      <w:pPr>
        <w:numPr>
          <w:ilvl w:val="0"/>
          <w:numId w:val="25"/>
        </w:numPr>
        <w:spacing w:line="360" w:after="210" w:lineRule="auto"/>
      </w:pPr>
      <w:hyperlink r:id="rId95">
        <w:r>
          <w:rPr>
            <w:rFonts w:eastAsia="inter" w:cs="inter" w:ascii="inter" w:hAnsi="inter"/>
            <w:color w:val="#000"/>
            <w:sz w:val="18"/>
            <w:u w:val="single"/>
          </w:rPr>
          <w:t xml:space="preserve">https://arxiv.org/pdf/2103.15975.pdf</w:t>
        </w:r>
      </w:hyperlink>
      <w:r>
        <w:rPr>
          <w:rFonts w:eastAsia="inter" w:cs="inter" w:ascii="inter" w:hAnsi="inter"/>
          <w:color w:val="000000"/>
          <w:sz w:val="18"/>
        </w:rPr>
        <w:t xml:space="preserve"> </w:t>
      </w:r>
    </w:p>
    <w:bookmarkStart w:id="157" w:name="fn86"/>
    <w:bookmarkEnd w:id="157"/>
    <w:p>
      <w:pPr>
        <w:numPr>
          <w:ilvl w:val="0"/>
          <w:numId w:val="25"/>
        </w:numPr>
        <w:spacing w:line="360" w:after="210" w:lineRule="auto"/>
      </w:pPr>
      <w:hyperlink r:id="rId96">
        <w:r>
          <w:rPr>
            <w:rFonts w:eastAsia="inter" w:cs="inter" w:ascii="inter" w:hAnsi="inter"/>
            <w:color w:val="#000"/>
            <w:sz w:val="18"/>
            <w:u w:val="single"/>
          </w:rPr>
          <w:t xml:space="preserve">https://dl.acm.org/doi/pdf/10.1145/3643832.3661891</w:t>
        </w:r>
      </w:hyperlink>
      <w:r>
        <w:rPr>
          <w:rFonts w:eastAsia="inter" w:cs="inter" w:ascii="inter" w:hAnsi="inter"/>
          <w:color w:val="000000"/>
          <w:sz w:val="18"/>
        </w:rPr>
        <w:t xml:space="preserve"> </w:t>
      </w:r>
    </w:p>
    <w:bookmarkStart w:id="158" w:name="fn87"/>
    <w:bookmarkEnd w:id="158"/>
    <w:p>
      <w:pPr>
        <w:numPr>
          <w:ilvl w:val="0"/>
          <w:numId w:val="25"/>
        </w:numPr>
        <w:spacing w:line="360" w:after="210" w:lineRule="auto"/>
      </w:pPr>
      <w:hyperlink r:id="rId97">
        <w:r>
          <w:rPr>
            <w:rFonts w:eastAsia="inter" w:cs="inter" w:ascii="inter" w:hAnsi="inter"/>
            <w:color w:val="#000"/>
            <w:sz w:val="18"/>
            <w:u w:val="single"/>
          </w:rPr>
          <w:t xml:space="preserve">https://arxiv.org/pdf/1901.05049.pdf</w:t>
        </w:r>
      </w:hyperlink>
      <w:r>
        <w:rPr>
          <w:rFonts w:eastAsia="inter" w:cs="inter" w:ascii="inter" w:hAnsi="inter"/>
          <w:color w:val="000000"/>
          <w:sz w:val="18"/>
        </w:rPr>
        <w:t xml:space="preserve"> </w:t>
      </w:r>
    </w:p>
    <w:bookmarkStart w:id="159" w:name="fn88"/>
    <w:bookmarkEnd w:id="159"/>
    <w:p>
      <w:pPr>
        <w:numPr>
          <w:ilvl w:val="0"/>
          <w:numId w:val="25"/>
        </w:numPr>
        <w:spacing w:line="360" w:after="210" w:lineRule="auto"/>
      </w:pPr>
      <w:hyperlink r:id="rId98">
        <w:r>
          <w:rPr>
            <w:rFonts w:eastAsia="inter" w:cs="inter" w:ascii="inter" w:hAnsi="inter"/>
            <w:color w:val="#000"/>
            <w:sz w:val="18"/>
            <w:u w:val="single"/>
          </w:rPr>
          <w:t xml:space="preserve">https://arxiv.org/html/2306.08238</w:t>
        </w:r>
      </w:hyperlink>
      <w:r>
        <w:rPr>
          <w:rFonts w:eastAsia="inter" w:cs="inter" w:ascii="inter" w:hAnsi="inter"/>
          <w:color w:val="000000"/>
          <w:sz w:val="18"/>
        </w:rPr>
        <w:t xml:space="preserve"> </w:t>
      </w:r>
    </w:p>
    <w:bookmarkStart w:id="160" w:name="fn89"/>
    <w:bookmarkEnd w:id="160"/>
    <w:p>
      <w:pPr>
        <w:numPr>
          <w:ilvl w:val="0"/>
          <w:numId w:val="25"/>
        </w:numPr>
        <w:spacing w:line="360" w:after="210" w:lineRule="auto"/>
      </w:pPr>
      <w:hyperlink r:id="rId99">
        <w:r>
          <w:rPr>
            <w:rFonts w:eastAsia="inter" w:cs="inter" w:ascii="inter" w:hAnsi="inter"/>
            <w:color w:val="#000"/>
            <w:sz w:val="18"/>
            <w:u w:val="single"/>
          </w:rPr>
          <w:t xml:space="preserve">https://dl.acm.org/doi/pdf/10.1145/3643832.3661414</w:t>
        </w:r>
      </w:hyperlink>
      <w:r>
        <w:rPr>
          <w:rFonts w:eastAsia="inter" w:cs="inter" w:ascii="inter" w:hAnsi="inter"/>
          <w:color w:val="000000"/>
          <w:sz w:val="18"/>
        </w:rPr>
        <w:t xml:space="preserve"> </w:t>
      </w:r>
    </w:p>
    <w:bookmarkStart w:id="161" w:name="fn90"/>
    <w:bookmarkEnd w:id="161"/>
    <w:p>
      <w:pPr>
        <w:numPr>
          <w:ilvl w:val="0"/>
          <w:numId w:val="25"/>
        </w:numPr>
        <w:spacing w:line="360" w:after="210" w:lineRule="auto"/>
      </w:pPr>
      <w:hyperlink r:id="rId100">
        <w:r>
          <w:rPr>
            <w:rFonts w:eastAsia="inter" w:cs="inter" w:ascii="inter" w:hAnsi="inter"/>
            <w:color w:val="#000"/>
            <w:sz w:val="18"/>
            <w:u w:val="single"/>
          </w:rPr>
          <w:t xml:space="preserve">http://arxiv.org/pdf/2302.14139.pdf</w:t>
        </w:r>
      </w:hyperlink>
      <w:r>
        <w:rPr>
          <w:rFonts w:eastAsia="inter" w:cs="inter" w:ascii="inter" w:hAnsi="inter"/>
          <w:color w:val="000000"/>
          <w:sz w:val="18"/>
        </w:rPr>
        <w:t xml:space="preserve"> </w:t>
      </w:r>
    </w:p>
    <w:bookmarkStart w:id="162" w:name="fn91"/>
    <w:bookmarkEnd w:id="162"/>
    <w:p>
      <w:pPr>
        <w:numPr>
          <w:ilvl w:val="0"/>
          <w:numId w:val="25"/>
        </w:numPr>
        <w:spacing w:line="360" w:after="210" w:lineRule="auto"/>
      </w:pPr>
      <w:hyperlink r:id="rId101">
        <w:r>
          <w:rPr>
            <w:rFonts w:eastAsia="inter" w:cs="inter" w:ascii="inter" w:hAnsi="inter"/>
            <w:color w:val="#000"/>
            <w:sz w:val="18"/>
            <w:u w:val="single"/>
          </w:rPr>
          <w:t xml:space="preserve">https://arxiv.org/pdf/2101.03989.pdf</w:t>
        </w:r>
      </w:hyperlink>
      <w:r>
        <w:rPr>
          <w:rFonts w:eastAsia="inter" w:cs="inter" w:ascii="inter" w:hAnsi="inter"/>
          <w:color w:val="000000"/>
          <w:sz w:val="18"/>
        </w:rPr>
        <w:t xml:space="preserve"> </w:t>
      </w:r>
    </w:p>
    <w:bookmarkStart w:id="163" w:name="fn92"/>
    <w:bookmarkEnd w:id="163"/>
    <w:p>
      <w:pPr>
        <w:numPr>
          <w:ilvl w:val="0"/>
          <w:numId w:val="25"/>
        </w:numPr>
        <w:spacing w:line="360" w:after="210" w:lineRule="auto"/>
      </w:pPr>
      <w:hyperlink r:id="rId102">
        <w:r>
          <w:rPr>
            <w:rFonts w:eastAsia="inter" w:cs="inter" w:ascii="inter" w:hAnsi="inter"/>
            <w:color w:val="#000"/>
            <w:sz w:val="18"/>
            <w:u w:val="single"/>
          </w:rPr>
          <w:t xml:space="preserve">https://www.mdpi.com/1424-8220/14/3/5392/pdf</w:t>
        </w:r>
      </w:hyperlink>
      <w:r>
        <w:rPr>
          <w:rFonts w:eastAsia="inter" w:cs="inter" w:ascii="inter" w:hAnsi="inter"/>
          <w:color w:val="000000"/>
          <w:sz w:val="18"/>
        </w:rPr>
        <w:t xml:space="preserve"> </w:t>
      </w:r>
    </w:p>
    <w:bookmarkStart w:id="164" w:name="fn93"/>
    <w:bookmarkEnd w:id="164"/>
    <w:p>
      <w:pPr>
        <w:numPr>
          <w:ilvl w:val="0"/>
          <w:numId w:val="25"/>
        </w:numPr>
        <w:spacing w:line="360" w:after="210" w:lineRule="auto"/>
      </w:pPr>
      <w:hyperlink r:id="rId103">
        <w:r>
          <w:rPr>
            <w:rFonts w:eastAsia="inter" w:cs="inter" w:ascii="inter" w:hAnsi="inter"/>
            <w:color w:val="#000"/>
            <w:sz w:val="18"/>
            <w:u w:val="single"/>
          </w:rPr>
          <w:t xml:space="preserve">https://www.ai21.com/maestro/</w:t>
        </w:r>
      </w:hyperlink>
      <w:r>
        <w:rPr>
          <w:rFonts w:eastAsia="inter" w:cs="inter" w:ascii="inter" w:hAnsi="inter"/>
          <w:color w:val="000000"/>
          <w:sz w:val="18"/>
        </w:rPr>
        <w:t xml:space="preserve"> </w:t>
      </w:r>
    </w:p>
    <w:bookmarkStart w:id="165" w:name="fn94"/>
    <w:bookmarkEnd w:id="165"/>
    <w:p>
      <w:pPr>
        <w:numPr>
          <w:ilvl w:val="0"/>
          <w:numId w:val="25"/>
        </w:numPr>
        <w:spacing w:line="360" w:after="210" w:lineRule="auto"/>
      </w:pPr>
      <w:hyperlink r:id="rId104">
        <w:r>
          <w:rPr>
            <w:rFonts w:eastAsia="inter" w:cs="inter" w:ascii="inter" w:hAnsi="inter"/>
            <w:color w:val="#000"/>
            <w:sz w:val="18"/>
            <w:u w:val="single"/>
          </w:rPr>
          <w:t xml:space="preserve">https://n1o.github.io/posts/ssm-transformer-hybrids-guide/</w:t>
        </w:r>
      </w:hyperlink>
      <w:r>
        <w:rPr>
          <w:rFonts w:eastAsia="inter" w:cs="inter" w:ascii="inter" w:hAnsi="inter"/>
          <w:color w:val="000000"/>
          <w:sz w:val="18"/>
        </w:rPr>
        <w:t xml:space="preserve"> </w:t>
      </w:r>
    </w:p>
    <w:bookmarkStart w:id="166" w:name="fn95"/>
    <w:bookmarkEnd w:id="166"/>
    <w:p>
      <w:pPr>
        <w:numPr>
          <w:ilvl w:val="0"/>
          <w:numId w:val="25"/>
        </w:numPr>
        <w:spacing w:line="360" w:after="210" w:lineRule="auto"/>
      </w:pPr>
      <w:hyperlink r:id="rId105">
        <w:r>
          <w:rPr>
            <w:rFonts w:eastAsia="inter" w:cs="inter" w:ascii="inter" w:hAnsi="inter"/>
            <w:color w:val="#000"/>
            <w:sz w:val="18"/>
            <w:u w:val="single"/>
          </w:rPr>
          <w:t xml:space="preserve">https://deepfa.ir/en/blog/jamba-model-hybrid-transformer-mamba-architecture</w:t>
        </w:r>
      </w:hyperlink>
      <w:r>
        <w:rPr>
          <w:rFonts w:eastAsia="inter" w:cs="inter" w:ascii="inter" w:hAnsi="inter"/>
          <w:color w:val="000000"/>
          <w:sz w:val="18"/>
        </w:rPr>
        <w:t xml:space="preserve"> </w:t>
      </w:r>
    </w:p>
    <w:bookmarkStart w:id="167" w:name="fn96"/>
    <w:bookmarkEnd w:id="167"/>
    <w:p>
      <w:pPr>
        <w:numPr>
          <w:ilvl w:val="0"/>
          <w:numId w:val="25"/>
        </w:numPr>
        <w:spacing w:line="360" w:after="210" w:lineRule="auto"/>
      </w:pPr>
      <w:hyperlink r:id="rId106">
        <w:r>
          <w:rPr>
            <w:rFonts w:eastAsia="inter" w:cs="inter" w:ascii="inter" w:hAnsi="inter"/>
            <w:color w:val="#000"/>
            <w:sz w:val="18"/>
            <w:u w:val="single"/>
          </w:rPr>
          <w:t xml:space="preserve">https://arxiv.org/pdf/2502.08932.pdf</w:t>
        </w:r>
      </w:hyperlink>
      <w:r>
        <w:rPr>
          <w:rFonts w:eastAsia="inter" w:cs="inter" w:ascii="inter" w:hAnsi="inter"/>
          <w:color w:val="000000"/>
          <w:sz w:val="18"/>
        </w:rPr>
        <w:t xml:space="preserve"> </w:t>
      </w:r>
    </w:p>
    <w:bookmarkStart w:id="168" w:name="fn97"/>
    <w:bookmarkEnd w:id="168"/>
    <w:p>
      <w:pPr>
        <w:numPr>
          <w:ilvl w:val="0"/>
          <w:numId w:val="25"/>
        </w:numPr>
        <w:spacing w:line="360" w:after="210" w:lineRule="auto"/>
      </w:pPr>
      <w:hyperlink r:id="rId107">
        <w:r>
          <w:rPr>
            <w:rFonts w:eastAsia="inter" w:cs="inter" w:ascii="inter" w:hAnsi="inter"/>
            <w:color w:val="#000"/>
            <w:sz w:val="18"/>
            <w:u w:val="single"/>
          </w:rPr>
          <w:t xml:space="preserve">https://arxiv.org/pdf/2304.13626.pdf</w:t>
        </w:r>
      </w:hyperlink>
      <w:r>
        <w:rPr>
          <w:rFonts w:eastAsia="inter" w:cs="inter" w:ascii="inter" w:hAnsi="inter"/>
          <w:color w:val="000000"/>
          <w:sz w:val="18"/>
        </w:rPr>
        <w:t xml:space="preserve"> </w:t>
      </w:r>
    </w:p>
    <w:bookmarkStart w:id="169" w:name="fn98"/>
    <w:bookmarkEnd w:id="169"/>
    <w:p>
      <w:pPr>
        <w:numPr>
          <w:ilvl w:val="0"/>
          <w:numId w:val="25"/>
        </w:numPr>
        <w:spacing w:line="360" w:after="210" w:lineRule="auto"/>
      </w:pPr>
      <w:hyperlink r:id="rId108">
        <w:r>
          <w:rPr>
            <w:rFonts w:eastAsia="inter" w:cs="inter" w:ascii="inter" w:hAnsi="inter"/>
            <w:color w:val="#000"/>
            <w:sz w:val="18"/>
            <w:u w:val="single"/>
          </w:rPr>
          <w:t xml:space="preserve">https://arxiv.org/abs/2409.13153</w:t>
        </w:r>
      </w:hyperlink>
      <w:r>
        <w:rPr>
          <w:rFonts w:eastAsia="inter" w:cs="inter" w:ascii="inter" w:hAnsi="inter"/>
          <w:color w:val="000000"/>
          <w:sz w:val="18"/>
        </w:rPr>
        <w:t xml:space="preserve"> </w:t>
      </w:r>
    </w:p>
    <w:bookmarkStart w:id="170" w:name="fn99"/>
    <w:bookmarkEnd w:id="170"/>
    <w:p>
      <w:pPr>
        <w:numPr>
          <w:ilvl w:val="0"/>
          <w:numId w:val="25"/>
        </w:numPr>
        <w:spacing w:line="360" w:after="210" w:lineRule="auto"/>
      </w:pPr>
      <w:hyperlink r:id="rId109">
        <w:r>
          <w:rPr>
            <w:rFonts w:eastAsia="inter" w:cs="inter" w:ascii="inter" w:hAnsi="inter"/>
            <w:color w:val="#000"/>
            <w:sz w:val="18"/>
            <w:u w:val="single"/>
          </w:rPr>
          <w:t xml:space="preserve">https://arxiv.org/html/2406.16087v5</w:t>
        </w:r>
      </w:hyperlink>
      <w:r>
        <w:rPr>
          <w:rFonts w:eastAsia="inter" w:cs="inter" w:ascii="inter" w:hAnsi="inter"/>
          <w:color w:val="000000"/>
          <w:sz w:val="18"/>
        </w:rPr>
        <w:t xml:space="preserve"> </w:t>
      </w:r>
    </w:p>
    <w:bookmarkStart w:id="171" w:name="fn100"/>
    <w:bookmarkEnd w:id="171"/>
    <w:p>
      <w:pPr>
        <w:numPr>
          <w:ilvl w:val="0"/>
          <w:numId w:val="25"/>
        </w:numPr>
        <w:spacing w:line="360" w:after="210" w:lineRule="auto"/>
      </w:pPr>
      <w:hyperlink r:id="rId110">
        <w:r>
          <w:rPr>
            <w:rFonts w:eastAsia="inter" w:cs="inter" w:ascii="inter" w:hAnsi="inter"/>
            <w:color w:val="#000"/>
            <w:sz w:val="18"/>
            <w:u w:val="single"/>
          </w:rPr>
          <w:t xml:space="preserve">https://aclanthology.org/2023.emnlp-main.313.pdf</w:t>
        </w:r>
      </w:hyperlink>
      <w:r>
        <w:rPr>
          <w:rFonts w:eastAsia="inter" w:cs="inter" w:ascii="inter" w:hAnsi="inter"/>
          <w:color w:val="000000"/>
          <w:sz w:val="18"/>
        </w:rPr>
        <w:t xml:space="preserve"> </w:t>
      </w:r>
    </w:p>
    <w:bookmarkStart w:id="172" w:name="fn101"/>
    <w:bookmarkEnd w:id="172"/>
    <w:p>
      <w:pPr>
        <w:numPr>
          <w:ilvl w:val="0"/>
          <w:numId w:val="25"/>
        </w:numPr>
        <w:spacing w:line="360" w:after="210" w:lineRule="auto"/>
      </w:pPr>
      <w:hyperlink r:id="rId111">
        <w:r>
          <w:rPr>
            <w:rFonts w:eastAsia="inter" w:cs="inter" w:ascii="inter" w:hAnsi="inter"/>
            <w:color w:val="#000"/>
            <w:sz w:val="18"/>
            <w:u w:val="single"/>
          </w:rPr>
          <w:t xml:space="preserve">https://arxiv.org/pdf/2309.13072.pdf</w:t>
        </w:r>
      </w:hyperlink>
      <w:r>
        <w:rPr>
          <w:rFonts w:eastAsia="inter" w:cs="inter" w:ascii="inter" w:hAnsi="inter"/>
          <w:color w:val="000000"/>
          <w:sz w:val="18"/>
        </w:rPr>
        <w:t xml:space="preserve"> </w:t>
      </w:r>
    </w:p>
    <w:bookmarkStart w:id="173" w:name="fn102"/>
    <w:bookmarkEnd w:id="173"/>
    <w:p>
      <w:pPr>
        <w:numPr>
          <w:ilvl w:val="0"/>
          <w:numId w:val="25"/>
        </w:numPr>
        <w:spacing w:line="360" w:after="210" w:lineRule="auto"/>
      </w:pPr>
      <w:hyperlink r:id="rId112">
        <w:r>
          <w:rPr>
            <w:rFonts w:eastAsia="inter" w:cs="inter" w:ascii="inter" w:hAnsi="inter"/>
            <w:color w:val="#000"/>
            <w:sz w:val="18"/>
            <w:u w:val="single"/>
          </w:rPr>
          <w:t xml:space="preserve">https://www.mdpi.com/2504-4990/6/1/28/pdf?version=1710058981</w:t>
        </w:r>
      </w:hyperlink>
      <w:r>
        <w:rPr>
          <w:rFonts w:eastAsia="inter" w:cs="inter" w:ascii="inter" w:hAnsi="inter"/>
          <w:color w:val="000000"/>
          <w:sz w:val="18"/>
        </w:rPr>
        <w:t xml:space="preserve"> </w:t>
      </w:r>
    </w:p>
    <w:bookmarkStart w:id="174" w:name="fn103"/>
    <w:bookmarkEnd w:id="174"/>
    <w:p>
      <w:pPr>
        <w:numPr>
          <w:ilvl w:val="0"/>
          <w:numId w:val="25"/>
        </w:numPr>
        <w:spacing w:line="360" w:after="210" w:lineRule="auto"/>
      </w:pPr>
      <w:hyperlink r:id="rId113">
        <w:r>
          <w:rPr>
            <w:rFonts w:eastAsia="inter" w:cs="inter" w:ascii="inter" w:hAnsi="inter"/>
            <w:color w:val="#000"/>
            <w:sz w:val="18"/>
            <w:u w:val="single"/>
          </w:rPr>
          <w:t xml:space="preserve">https://www.linkedin.com/pulse/why-high-stakes-enterprises-need-neurosymbolic-ai-2026-arun-majumdar-u9gze</w:t>
        </w:r>
      </w:hyperlink>
      <w:r>
        <w:rPr>
          <w:rFonts w:eastAsia="inter" w:cs="inter" w:ascii="inter" w:hAnsi="inter"/>
          <w:color w:val="000000"/>
          <w:sz w:val="18"/>
        </w:rPr>
        <w:t xml:space="preserve"> </w:t>
      </w:r>
    </w:p>
    <w:bookmarkStart w:id="175" w:name="fn104"/>
    <w:bookmarkEnd w:id="175"/>
    <w:p>
      <w:pPr>
        <w:numPr>
          <w:ilvl w:val="0"/>
          <w:numId w:val="25"/>
        </w:numPr>
        <w:spacing w:line="360" w:after="210" w:lineRule="auto"/>
      </w:pPr>
      <w:hyperlink r:id="rId114">
        <w:r>
          <w:rPr>
            <w:rFonts w:eastAsia="inter" w:cs="inter" w:ascii="inter" w:hAnsi="inter"/>
            <w:color w:val="#000"/>
            <w:sz w:val="18"/>
            <w:u w:val="single"/>
          </w:rPr>
          <w:t xml:space="preserve">https://www.linkedin.com/posts/ai21_ai21labs-ai21maestro-aws-activity-7402338543446163456-xQNW</w:t>
        </w:r>
      </w:hyperlink>
      <w:r>
        <w:rPr>
          <w:rFonts w:eastAsia="inter" w:cs="inter" w:ascii="inter" w:hAnsi="inter"/>
          <w:color w:val="000000"/>
          <w:sz w:val="18"/>
        </w:rPr>
        <w:t xml:space="preserve"> </w:t>
      </w:r>
    </w:p>
    <w:bookmarkStart w:id="176" w:name="fn105"/>
    <w:bookmarkEnd w:id="176"/>
    <w:p>
      <w:pPr>
        <w:numPr>
          <w:ilvl w:val="0"/>
          <w:numId w:val="25"/>
        </w:numPr>
        <w:spacing w:line="360" w:after="210" w:lineRule="auto"/>
      </w:pPr>
      <w:hyperlink r:id="rId115">
        <w:r>
          <w:rPr>
            <w:rFonts w:eastAsia="inter" w:cs="inter" w:ascii="inter" w:hAnsi="inter"/>
            <w:color w:val="#000"/>
            <w:sz w:val="18"/>
            <w:u w:val="single"/>
          </w:rPr>
          <w:t xml:space="preserve">https://www.ai21.com/blog/jurassic-x-crossing-the-neuro-symbolic-chasm-with-the-mrkl-system/</w:t>
        </w:r>
      </w:hyperlink>
      <w:r>
        <w:rPr>
          <w:rFonts w:eastAsia="inter" w:cs="inter" w:ascii="inter" w:hAnsi="inter"/>
          <w:color w:val="000000"/>
          <w:sz w:val="18"/>
        </w:rPr>
        <w:t xml:space="preserve"> </w:t>
      </w:r>
    </w:p>
    <w:bookmarkStart w:id="177" w:name="fn106"/>
    <w:bookmarkEnd w:id="177"/>
    <w:p>
      <w:pPr>
        <w:numPr>
          <w:ilvl w:val="0"/>
          <w:numId w:val="25"/>
        </w:numPr>
        <w:spacing w:line="360" w:after="210" w:lineRule="auto"/>
      </w:pPr>
      <w:hyperlink r:id="rId116">
        <w:r>
          <w:rPr>
            <w:rFonts w:eastAsia="inter" w:cs="inter" w:ascii="inter" w:hAnsi="inter"/>
            <w:color w:val="#000"/>
            <w:sz w:val="18"/>
            <w:u w:val="single"/>
          </w:rPr>
          <w:t xml:space="preserve">https://monday.com/w/customer-stories</w:t>
        </w:r>
      </w:hyperlink>
      <w:r>
        <w:rPr>
          <w:rFonts w:eastAsia="inter" w:cs="inter" w:ascii="inter" w:hAnsi="inter"/>
          <w:color w:val="000000"/>
          <w:sz w:val="18"/>
        </w:rPr>
        <w:t xml:space="preserve"> </w:t>
      </w:r>
    </w:p>
    <w:bookmarkStart w:id="178" w:name="fn107"/>
    <w:bookmarkEnd w:id="178"/>
    <w:p>
      <w:pPr>
        <w:numPr>
          <w:ilvl w:val="0"/>
          <w:numId w:val="25"/>
        </w:numPr>
        <w:spacing w:line="360" w:after="210" w:lineRule="auto"/>
      </w:pPr>
      <w:hyperlink r:id="rId117">
        <w:r>
          <w:rPr>
            <w:rFonts w:eastAsia="inter" w:cs="inter" w:ascii="inter" w:hAnsi="inter"/>
            <w:color w:val="#000"/>
            <w:sz w:val="18"/>
            <w:u w:val="single"/>
          </w:rPr>
          <w:t xml:space="preserve">https://arxiv.org/pdf/2503.15168.pdf</w:t>
        </w:r>
      </w:hyperlink>
      <w:r>
        <w:rPr>
          <w:rFonts w:eastAsia="inter" w:cs="inter" w:ascii="inter" w:hAnsi="inter"/>
          <w:color w:val="000000"/>
          <w:sz w:val="18"/>
        </w:rPr>
        <w:t xml:space="preserve"> </w:t>
      </w:r>
    </w:p>
    <w:bookmarkStart w:id="179" w:name="fn108"/>
    <w:bookmarkEnd w:id="179"/>
    <w:p>
      <w:pPr>
        <w:numPr>
          <w:ilvl w:val="0"/>
          <w:numId w:val="25"/>
        </w:numPr>
        <w:spacing w:line="360" w:after="210" w:lineRule="auto"/>
      </w:pPr>
      <w:hyperlink r:id="rId118">
        <w:r>
          <w:rPr>
            <w:rFonts w:eastAsia="inter" w:cs="inter" w:ascii="inter" w:hAnsi="inter"/>
            <w:color w:val="#000"/>
            <w:sz w:val="18"/>
            <w:u w:val="single"/>
          </w:rPr>
          <w:t xml:space="preserve">https://arxiv.org/pdf/2502.10742.pdf</w:t>
        </w:r>
      </w:hyperlink>
      <w:r>
        <w:rPr>
          <w:rFonts w:eastAsia="inter" w:cs="inter" w:ascii="inter" w:hAnsi="inter"/>
          <w:color w:val="000000"/>
          <w:sz w:val="18"/>
        </w:rPr>
        <w:t xml:space="preserve"> </w:t>
      </w:r>
    </w:p>
    <w:bookmarkStart w:id="180" w:name="fn109"/>
    <w:bookmarkEnd w:id="180"/>
    <w:p>
      <w:pPr>
        <w:numPr>
          <w:ilvl w:val="0"/>
          <w:numId w:val="25"/>
        </w:numPr>
        <w:spacing w:line="360" w:after="210" w:lineRule="auto"/>
      </w:pPr>
      <w:hyperlink r:id="rId119">
        <w:r>
          <w:rPr>
            <w:rFonts w:eastAsia="inter" w:cs="inter" w:ascii="inter" w:hAnsi="inter"/>
            <w:color w:val="#000"/>
            <w:sz w:val="18"/>
            <w:u w:val="single"/>
          </w:rPr>
          <w:t xml:space="preserve">http://arxiv.org/pdf/2104.11573.pdf</w:t>
        </w:r>
      </w:hyperlink>
      <w:r>
        <w:rPr>
          <w:rFonts w:eastAsia="inter" w:cs="inter" w:ascii="inter" w:hAnsi="inter"/>
          <w:color w:val="000000"/>
          <w:sz w:val="18"/>
        </w:rPr>
        <w:t xml:space="preserve"> </w:t>
      </w:r>
    </w:p>
    <w:bookmarkStart w:id="181" w:name="fn110"/>
    <w:bookmarkEnd w:id="181"/>
    <w:p>
      <w:pPr>
        <w:numPr>
          <w:ilvl w:val="0"/>
          <w:numId w:val="25"/>
        </w:numPr>
        <w:spacing w:line="360" w:after="210" w:lineRule="auto"/>
      </w:pPr>
      <w:hyperlink r:id="rId120">
        <w:r>
          <w:rPr>
            <w:rFonts w:eastAsia="inter" w:cs="inter" w:ascii="inter" w:hAnsi="inter"/>
            <w:color w:val="#000"/>
            <w:sz w:val="18"/>
            <w:u w:val="single"/>
          </w:rPr>
          <w:t xml:space="preserve">http://arxiv.org/pdf/2503.00483.pdf</w:t>
        </w:r>
      </w:hyperlink>
      <w:r>
        <w:rPr>
          <w:rFonts w:eastAsia="inter" w:cs="inter" w:ascii="inter" w:hAnsi="inter"/>
          <w:color w:val="000000"/>
          <w:sz w:val="18"/>
        </w:rPr>
        <w:t xml:space="preserve"> </w:t>
      </w:r>
    </w:p>
    <w:bookmarkStart w:id="182" w:name="fn111"/>
    <w:bookmarkEnd w:id="182"/>
    <w:p>
      <w:pPr>
        <w:numPr>
          <w:ilvl w:val="0"/>
          <w:numId w:val="25"/>
        </w:numPr>
        <w:spacing w:line="360" w:after="210" w:lineRule="auto"/>
      </w:pPr>
      <w:hyperlink r:id="rId121">
        <w:r>
          <w:rPr>
            <w:rFonts w:eastAsia="inter" w:cs="inter" w:ascii="inter" w:hAnsi="inter"/>
            <w:color w:val="#000"/>
            <w:sz w:val="18"/>
            <w:u w:val="single"/>
          </w:rPr>
          <w:t xml:space="preserve">http://arxiv.org/pdf/2407.06356.pdf</w:t>
        </w:r>
      </w:hyperlink>
      <w:r>
        <w:rPr>
          <w:rFonts w:eastAsia="inter" w:cs="inter" w:ascii="inter" w:hAnsi="inter"/>
          <w:color w:val="000000"/>
          <w:sz w:val="18"/>
        </w:rPr>
        <w:t xml:space="preserve"> </w:t>
      </w:r>
    </w:p>
    <w:bookmarkStart w:id="183" w:name="fn112"/>
    <w:bookmarkEnd w:id="183"/>
    <w:p>
      <w:pPr>
        <w:numPr>
          <w:ilvl w:val="0"/>
          <w:numId w:val="25"/>
        </w:numPr>
        <w:spacing w:line="360" w:after="210" w:lineRule="auto"/>
      </w:pPr>
      <w:hyperlink r:id="rId122">
        <w:r>
          <w:rPr>
            <w:rFonts w:eastAsia="inter" w:cs="inter" w:ascii="inter" w:hAnsi="inter"/>
            <w:color w:val="#000"/>
            <w:sz w:val="18"/>
            <w:u w:val="single"/>
          </w:rPr>
          <w:t xml:space="preserve">https://arxiv.org/pdf/2210.05359.pdf</w:t>
        </w:r>
      </w:hyperlink>
      <w:r>
        <w:rPr>
          <w:rFonts w:eastAsia="inter" w:cs="inter" w:ascii="inter" w:hAnsi="inter"/>
          <w:color w:val="000000"/>
          <w:sz w:val="18"/>
        </w:rPr>
        <w:t xml:space="preserve"> </w:t>
      </w:r>
    </w:p>
    <w:bookmarkStart w:id="184" w:name="fn113"/>
    <w:bookmarkEnd w:id="184"/>
    <w:p>
      <w:pPr>
        <w:numPr>
          <w:ilvl w:val="0"/>
          <w:numId w:val="25"/>
        </w:numPr>
        <w:spacing w:line="360" w:after="210" w:lineRule="auto"/>
      </w:pPr>
      <w:hyperlink r:id="rId123">
        <w:r>
          <w:rPr>
            <w:rFonts w:eastAsia="inter" w:cs="inter" w:ascii="inter" w:hAnsi="inter"/>
            <w:color w:val="#000"/>
            <w:sz w:val="18"/>
            <w:u w:val="single"/>
          </w:rPr>
          <w:t xml:space="preserve">https://arxiv.org/pdf/2502.17419.pdf</w:t>
        </w:r>
      </w:hyperlink>
      <w:r>
        <w:rPr>
          <w:rFonts w:eastAsia="inter" w:cs="inter" w:ascii="inter" w:hAnsi="inter"/>
          <w:color w:val="000000"/>
          <w:sz w:val="18"/>
        </w:rPr>
        <w:t xml:space="preserve"> </w:t>
      </w:r>
    </w:p>
    <w:bookmarkStart w:id="185" w:name="fn114"/>
    <w:bookmarkEnd w:id="185"/>
    <w:p>
      <w:pPr>
        <w:numPr>
          <w:ilvl w:val="0"/>
          <w:numId w:val="25"/>
        </w:numPr>
        <w:spacing w:line="360" w:after="210" w:lineRule="auto"/>
      </w:pPr>
      <w:hyperlink r:id="rId124">
        <w:r>
          <w:rPr>
            <w:rFonts w:eastAsia="inter" w:cs="inter" w:ascii="inter" w:hAnsi="inter"/>
            <w:color w:val="#000"/>
            <w:sz w:val="18"/>
            <w:u w:val="single"/>
          </w:rPr>
          <w:t xml:space="preserve">https://arxiv.org/pdf/2207.07051.pdf</w:t>
        </w:r>
      </w:hyperlink>
      <w:r>
        <w:rPr>
          <w:rFonts w:eastAsia="inter" w:cs="inter" w:ascii="inter" w:hAnsi="inter"/>
          <w:color w:val="000000"/>
          <w:sz w:val="18"/>
        </w:rPr>
        <w:t xml:space="preserve"> </w:t>
      </w:r>
    </w:p>
    <w:bookmarkStart w:id="186" w:name="fn115"/>
    <w:bookmarkEnd w:id="186"/>
    <w:p>
      <w:pPr>
        <w:numPr>
          <w:ilvl w:val="0"/>
          <w:numId w:val="25"/>
        </w:numPr>
        <w:spacing w:line="360" w:after="210" w:lineRule="auto"/>
      </w:pPr>
      <w:hyperlink r:id="rId125">
        <w:r>
          <w:rPr>
            <w:rFonts w:eastAsia="inter" w:cs="inter" w:ascii="inter" w:hAnsi="inter"/>
            <w:color w:val="#000"/>
            <w:sz w:val="18"/>
            <w:u w:val="single"/>
          </w:rPr>
          <w:t xml:space="preserve">https://www.linkedin.com/posts/amnon-shashua_we-just-released-two-papers-from-aai-technologies-activity-7351975816898953216-9b2P</w:t>
        </w:r>
      </w:hyperlink>
      <w:r>
        <w:rPr>
          <w:rFonts w:eastAsia="inter" w:cs="inter" w:ascii="inter" w:hAnsi="inter"/>
          <w:color w:val="000000"/>
          <w:sz w:val="18"/>
        </w:rPr>
        <w:t xml:space="preserve"> </w:t>
      </w:r>
    </w:p>
    <w:bookmarkStart w:id="187" w:name="fn116"/>
    <w:bookmarkEnd w:id="187"/>
    <w:p>
      <w:pPr>
        <w:numPr>
          <w:ilvl w:val="0"/>
          <w:numId w:val="25"/>
        </w:numPr>
        <w:spacing w:line="360" w:after="210" w:lineRule="auto"/>
      </w:pPr>
      <w:hyperlink r:id="rId126">
        <w:r>
          <w:rPr>
            <w:rFonts w:eastAsia="inter" w:cs="inter" w:ascii="inter" w:hAnsi="inter"/>
            <w:color w:val="#000"/>
            <w:sz w:val="18"/>
            <w:u w:val="single"/>
          </w:rPr>
          <w:t xml:space="preserve">https://www.calcalist.co.il/article/h1chftz3ge</w:t>
        </w:r>
      </w:hyperlink>
      <w:r>
        <w:rPr>
          <w:rFonts w:eastAsia="inter" w:cs="inter" w:ascii="inter" w:hAnsi="inter"/>
          <w:color w:val="000000"/>
          <w:sz w:val="18"/>
        </w:rPr>
        <w:t xml:space="preserve"> </w:t>
      </w:r>
    </w:p>
    <w:bookmarkStart w:id="188" w:name="fn117"/>
    <w:bookmarkEnd w:id="188"/>
    <w:p>
      <w:pPr>
        <w:numPr>
          <w:ilvl w:val="0"/>
          <w:numId w:val="25"/>
        </w:numPr>
        <w:spacing w:line="360" w:after="210" w:lineRule="auto"/>
      </w:pPr>
      <w:hyperlink r:id="rId127">
        <w:r>
          <w:rPr>
            <w:rFonts w:eastAsia="inter" w:cs="inter" w:ascii="inter" w:hAnsi="inter"/>
            <w:color w:val="#000"/>
            <w:sz w:val="18"/>
            <w:u w:val="single"/>
          </w:rPr>
          <w:t xml:space="preserve">https://www.ai21.com/blog/introducing-jamba-1-6/</w:t>
        </w:r>
      </w:hyperlink>
      <w:r>
        <w:rPr>
          <w:rFonts w:eastAsia="inter" w:cs="inter" w:ascii="inter" w:hAnsi="inter"/>
          <w:color w:val="000000"/>
          <w:sz w:val="18"/>
        </w:rPr>
        <w:t xml:space="preserve"> </w:t>
      </w:r>
    </w:p>
    <w:bookmarkStart w:id="189" w:name="fn118"/>
    <w:bookmarkEnd w:id="189"/>
    <w:p>
      <w:pPr>
        <w:numPr>
          <w:ilvl w:val="0"/>
          <w:numId w:val="25"/>
        </w:numPr>
        <w:spacing w:line="360" w:after="210" w:lineRule="auto"/>
      </w:pPr>
      <w:hyperlink r:id="rId128">
        <w:r>
          <w:rPr>
            <w:rFonts w:eastAsia="inter" w:cs="inter" w:ascii="inter" w:hAnsi="inter"/>
            <w:color w:val="#000"/>
            <w:sz w:val="18"/>
            <w:u w:val="single"/>
          </w:rPr>
          <w:t xml:space="preserve">https://research.contrary.com/company/ai21-labs</w:t>
        </w:r>
      </w:hyperlink>
      <w:r>
        <w:rPr>
          <w:rFonts w:eastAsia="inter" w:cs="inter" w:ascii="inter" w:hAnsi="inter"/>
          <w:color w:val="000000"/>
          <w:sz w:val="18"/>
        </w:rPr>
        <w:t xml:space="preserve"> </w:t>
      </w:r>
    </w:p>
    <w:bookmarkStart w:id="190" w:name="fn119"/>
    <w:bookmarkEnd w:id="190"/>
    <w:p>
      <w:pPr>
        <w:numPr>
          <w:ilvl w:val="0"/>
          <w:numId w:val="25"/>
        </w:numPr>
        <w:spacing w:line="360" w:after="210" w:lineRule="auto"/>
      </w:pPr>
      <w:hyperlink r:id="rId129">
        <w:r>
          <w:rPr>
            <w:rFonts w:eastAsia="inter" w:cs="inter" w:ascii="inter" w:hAnsi="inter"/>
            <w:color w:val="#000"/>
            <w:sz w:val="18"/>
            <w:u w:val="single"/>
          </w:rPr>
          <w:t xml:space="preserve">https://arxiv.org/pdf/2507.15865.pdf</w:t>
        </w:r>
      </w:hyperlink>
      <w:r>
        <w:rPr>
          <w:rFonts w:eastAsia="inter" w:cs="inter" w:ascii="inter" w:hAnsi="inter"/>
          <w:color w:val="000000"/>
          <w:sz w:val="18"/>
        </w:rPr>
        <w:t xml:space="preserve"> </w:t>
      </w:r>
    </w:p>
    <w:bookmarkStart w:id="191" w:name="fn120"/>
    <w:bookmarkEnd w:id="191"/>
    <w:p>
      <w:pPr>
        <w:numPr>
          <w:ilvl w:val="0"/>
          <w:numId w:val="25"/>
        </w:numPr>
        <w:spacing w:line="360" w:after="210" w:lineRule="auto"/>
      </w:pPr>
      <w:hyperlink r:id="rId130">
        <w:r>
          <w:rPr>
            <w:rFonts w:eastAsia="inter" w:cs="inter" w:ascii="inter" w:hAnsi="inter"/>
            <w:color w:val="#000"/>
            <w:sz w:val="18"/>
            <w:u w:val="single"/>
          </w:rPr>
          <w:t xml:space="preserve">https://www.linkedin.com/posts/tzachidaviovich_i-saw-the-reports-that-ai21-labs-is-considering-activity-7320148649328451585-nBfy</w:t>
        </w:r>
      </w:hyperlink>
      <w:r>
        <w:rPr>
          <w:rFonts w:eastAsia="inter" w:cs="inter" w:ascii="inter" w:hAnsi="inter"/>
          <w:color w:val="000000"/>
          <w:sz w:val="18"/>
        </w:rPr>
        <w:t xml:space="preserve"> </w:t>
      </w:r>
    </w:p>
    <w:bookmarkStart w:id="192" w:name="fn121"/>
    <w:bookmarkEnd w:id="192"/>
    <w:p>
      <w:pPr>
        <w:numPr>
          <w:ilvl w:val="0"/>
          <w:numId w:val="25"/>
        </w:numPr>
        <w:spacing w:line="360" w:after="210" w:lineRule="auto"/>
      </w:pPr>
      <w:hyperlink r:id="rId131">
        <w:r>
          <w:rPr>
            <w:rFonts w:eastAsia="inter" w:cs="inter" w:ascii="inter" w:hAnsi="inter"/>
            <w:color w:val="#000"/>
            <w:sz w:val="18"/>
            <w:u w:val="single"/>
          </w:rPr>
          <w:t xml:space="preserve">https://figshare.com/articles/journal_contribution/Advancing_innovation_in_financial_stability_A_comprehensive_review_of_AI_agent_frameworks_challenges_and_applications/28426736/1/files/52394846.pdf</w:t>
        </w:r>
      </w:hyperlink>
      <w:r>
        <w:rPr>
          <w:rFonts w:eastAsia="inter" w:cs="inter" w:ascii="inter" w:hAnsi="inter"/>
          <w:color w:val="000000"/>
          <w:sz w:val="18"/>
        </w:rPr>
        <w:t xml:space="preserve"> </w:t>
      </w:r>
    </w:p>
    <w:bookmarkStart w:id="193" w:name="fn122"/>
    <w:bookmarkEnd w:id="193"/>
    <w:p>
      <w:pPr>
        <w:numPr>
          <w:ilvl w:val="0"/>
          <w:numId w:val="25"/>
        </w:numPr>
        <w:spacing w:line="360" w:after="210" w:lineRule="auto"/>
      </w:pPr>
      <w:hyperlink r:id="rId132">
        <w:r>
          <w:rPr>
            <w:rFonts w:eastAsia="inter" w:cs="inter" w:ascii="inter" w:hAnsi="inter"/>
            <w:color w:val="#000"/>
            <w:sz w:val="18"/>
            <w:u w:val="single"/>
          </w:rPr>
          <w:t xml:space="preserve">https://arxiv.org/pdf/2311.17541v2.pdf</w:t>
        </w:r>
      </w:hyperlink>
      <w:r>
        <w:rPr>
          <w:rFonts w:eastAsia="inter" w:cs="inter" w:ascii="inter" w:hAnsi="inter"/>
          <w:color w:val="000000"/>
          <w:sz w:val="18"/>
        </w:rPr>
        <w:t xml:space="preserve"> </w:t>
      </w:r>
    </w:p>
    <w:bookmarkStart w:id="194" w:name="fn123"/>
    <w:bookmarkEnd w:id="194"/>
    <w:p>
      <w:pPr>
        <w:numPr>
          <w:ilvl w:val="0"/>
          <w:numId w:val="25"/>
        </w:numPr>
        <w:spacing w:line="360" w:after="210" w:lineRule="auto"/>
      </w:pPr>
      <w:hyperlink r:id="rId133">
        <w:r>
          <w:rPr>
            <w:rFonts w:eastAsia="inter" w:cs="inter" w:ascii="inter" w:hAnsi="inter"/>
            <w:color w:val="#000"/>
            <w:sz w:val="18"/>
            <w:u w:val="single"/>
          </w:rPr>
          <w:t xml:space="preserve">https://arxiv.org/pdf/2502.00964.pdf</w:t>
        </w:r>
      </w:hyperlink>
      <w:r>
        <w:rPr>
          <w:rFonts w:eastAsia="inter" w:cs="inter" w:ascii="inter" w:hAnsi="inter"/>
          <w:color w:val="000000"/>
          <w:sz w:val="18"/>
        </w:rPr>
        <w:t xml:space="preserve"> </w:t>
      </w:r>
    </w:p>
    <w:bookmarkStart w:id="195" w:name="fn124"/>
    <w:bookmarkEnd w:id="195"/>
    <w:p>
      <w:pPr>
        <w:numPr>
          <w:ilvl w:val="0"/>
          <w:numId w:val="25"/>
        </w:numPr>
        <w:spacing w:line="360" w:after="210" w:lineRule="auto"/>
      </w:pPr>
      <w:hyperlink r:id="rId134">
        <w:r>
          <w:rPr>
            <w:rFonts w:eastAsia="inter" w:cs="inter" w:ascii="inter" w:hAnsi="inter"/>
            <w:color w:val="#000"/>
            <w:sz w:val="18"/>
            <w:u w:val="single"/>
          </w:rPr>
          <w:t xml:space="preserve">https://arxiv.org/html/2502.05957</w:t>
        </w:r>
      </w:hyperlink>
      <w:r>
        <w:rPr>
          <w:rFonts w:eastAsia="inter" w:cs="inter" w:ascii="inter" w:hAnsi="inter"/>
          <w:color w:val="000000"/>
          <w:sz w:val="18"/>
        </w:rPr>
        <w:t xml:space="preserve"> </w:t>
      </w:r>
    </w:p>
    <w:bookmarkStart w:id="196" w:name="fn125"/>
    <w:bookmarkEnd w:id="196"/>
    <w:p>
      <w:pPr>
        <w:numPr>
          <w:ilvl w:val="0"/>
          <w:numId w:val="25"/>
        </w:numPr>
        <w:spacing w:line="360" w:after="210" w:lineRule="auto"/>
      </w:pPr>
      <w:hyperlink r:id="rId135">
        <w:r>
          <w:rPr>
            <w:rFonts w:eastAsia="inter" w:cs="inter" w:ascii="inter" w:hAnsi="inter"/>
            <w:color w:val="#000"/>
            <w:sz w:val="18"/>
            <w:u w:val="single"/>
          </w:rPr>
          <w:t xml:space="preserve">https://arxiv.org/pdf/2309.07870.pdf</w:t>
        </w:r>
      </w:hyperlink>
      <w:r>
        <w:rPr>
          <w:rFonts w:eastAsia="inter" w:cs="inter" w:ascii="inter" w:hAnsi="inter"/>
          <w:color w:val="000000"/>
          <w:sz w:val="18"/>
        </w:rPr>
        <w:t xml:space="preserve"> </w:t>
      </w:r>
    </w:p>
    <w:bookmarkStart w:id="197" w:name="fn126"/>
    <w:bookmarkEnd w:id="197"/>
    <w:p>
      <w:pPr>
        <w:numPr>
          <w:ilvl w:val="0"/>
          <w:numId w:val="25"/>
        </w:numPr>
        <w:spacing w:line="360" w:after="210" w:lineRule="auto"/>
      </w:pPr>
      <w:hyperlink r:id="rId136">
        <w:r>
          <w:rPr>
            <w:rFonts w:eastAsia="inter" w:cs="inter" w:ascii="inter" w:hAnsi="inter"/>
            <w:color w:val="#000"/>
            <w:sz w:val="18"/>
            <w:u w:val="single"/>
          </w:rPr>
          <w:t xml:space="preserve">https://aclanthology.org/2023.emnlp-demo.20.pdf</w:t>
        </w:r>
      </w:hyperlink>
      <w:r>
        <w:rPr>
          <w:rFonts w:eastAsia="inter" w:cs="inter" w:ascii="inter" w:hAnsi="inter"/>
          <w:color w:val="000000"/>
          <w:sz w:val="18"/>
        </w:rPr>
        <w:t xml:space="preserve"> </w:t>
      </w:r>
    </w:p>
    <w:bookmarkStart w:id="198" w:name="fn127"/>
    <w:bookmarkEnd w:id="198"/>
    <w:p>
      <w:pPr>
        <w:numPr>
          <w:ilvl w:val="0"/>
          <w:numId w:val="25"/>
        </w:numPr>
        <w:spacing w:line="360" w:after="210" w:lineRule="auto"/>
      </w:pPr>
      <w:hyperlink r:id="rId137">
        <w:r>
          <w:rPr>
            <w:rFonts w:eastAsia="inter" w:cs="inter" w:ascii="inter" w:hAnsi="inter"/>
            <w:color w:val="#000"/>
            <w:sz w:val="18"/>
            <w:u w:val="single"/>
          </w:rPr>
          <w:t xml:space="preserve">https://arxiv.org/pdf/2411.07464.pdf</w:t>
        </w:r>
      </w:hyperlink>
      <w:r>
        <w:rPr>
          <w:rFonts w:eastAsia="inter" w:cs="inter" w:ascii="inter" w:hAnsi="inter"/>
          <w:color w:val="000000"/>
          <w:sz w:val="18"/>
        </w:rPr>
        <w:t xml:space="preserve"> </w:t>
      </w:r>
    </w:p>
    <w:bookmarkStart w:id="199" w:name="fn128"/>
    <w:bookmarkEnd w:id="199"/>
    <w:p>
      <w:pPr>
        <w:numPr>
          <w:ilvl w:val="0"/>
          <w:numId w:val="25"/>
        </w:numPr>
        <w:spacing w:line="360" w:after="210" w:lineRule="auto"/>
      </w:pPr>
      <w:hyperlink r:id="rId138">
        <w:r>
          <w:rPr>
            <w:rFonts w:eastAsia="inter" w:cs="inter" w:ascii="inter" w:hAnsi="inter"/>
            <w:color w:val="#000"/>
            <w:sz w:val="18"/>
            <w:u w:val="single"/>
          </w:rPr>
          <w:t xml:space="preserve">https://arxiv.org/html/2404.04902v1</w:t>
        </w:r>
      </w:hyperlink>
      <w:r>
        <w:rPr>
          <w:rFonts w:eastAsia="inter" w:cs="inter" w:ascii="inter" w:hAnsi="inter"/>
          <w:color w:val="000000"/>
          <w:sz w:val="18"/>
        </w:rPr>
        <w:t xml:space="preserve"> </w:t>
      </w:r>
    </w:p>
    <w:bookmarkStart w:id="200" w:name="fn129"/>
    <w:bookmarkEnd w:id="200"/>
    <w:p>
      <w:pPr>
        <w:numPr>
          <w:ilvl w:val="0"/>
          <w:numId w:val="25"/>
        </w:numPr>
        <w:spacing w:line="360" w:after="210" w:lineRule="auto"/>
      </w:pPr>
      <w:hyperlink r:id="rId139">
        <w:r>
          <w:rPr>
            <w:rFonts w:eastAsia="inter" w:cs="inter" w:ascii="inter" w:hAnsi="inter"/>
            <w:color w:val="#000"/>
            <w:sz w:val="18"/>
            <w:u w:val="single"/>
          </w:rPr>
          <w:t xml:space="preserve">https://www.turing.com/resources/ai-agent-frameworks</w:t>
        </w:r>
      </w:hyperlink>
      <w:r>
        <w:rPr>
          <w:rFonts w:eastAsia="inter" w:cs="inter" w:ascii="inter" w:hAnsi="inter"/>
          <w:color w:val="000000"/>
          <w:sz w:val="18"/>
        </w:rPr>
        <w:t xml:space="preserve"> </w:t>
      </w:r>
    </w:p>
    <w:bookmarkStart w:id="201" w:name="fn130"/>
    <w:bookmarkEnd w:id="201"/>
    <w:p>
      <w:pPr>
        <w:numPr>
          <w:ilvl w:val="0"/>
          <w:numId w:val="25"/>
        </w:numPr>
        <w:spacing w:line="360" w:after="210" w:lineRule="auto"/>
      </w:pPr>
      <w:hyperlink r:id="rId140">
        <w:r>
          <w:rPr>
            <w:rFonts w:eastAsia="inter" w:cs="inter" w:ascii="inter" w:hAnsi="inter"/>
            <w:color w:val="#000"/>
            <w:sz w:val="18"/>
            <w:u w:val="single"/>
          </w:rPr>
          <w:t xml:space="preserve">https://www.reddit.com/r/sales/comments/1809u3r/price_structure_for_enterprise_saas_licenses/</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decimal"/>
      <w:lvlText w:val="%1."/>
      <w:lvlJc w:val="left"/>
      <w:pPr>
        <w:tabs>
          <w:tab w:val="num" w:pos="900"/>
        </w:tabs>
        <w:ind w:left="540" w:hanging="360"/>
      </w:pPr>
    </w:lvl>
  </w:abstractNum>
  <w:abstractNum w:abstractNumId="10">
    <w:multiLevelType w:val="hybridMultilevel"/>
    <w:lvl w:ilvl="0">
      <w:start w:val="1"/>
      <w:numFmt w:val="decimal"/>
      <w:lvlText w:val="%1."/>
      <w:lvlJc w:val="left"/>
      <w:pPr>
        <w:tabs>
          <w:tab w:val="num" w:pos="900"/>
        </w:tabs>
        <w:ind w:left="540" w:hanging="360"/>
      </w:p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decimal"/>
      <w:lvlText w:val="%1."/>
      <w:lvlJc w:val="left"/>
      <w:pPr>
        <w:tabs>
          <w:tab w:val="num" w:pos="900"/>
        </w:tabs>
        <w:ind w:left="540" w:hanging="360"/>
      </w:p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decimal"/>
      <w:lvlText w:val="%1."/>
      <w:lvlJc w:val="left"/>
      <w:pPr>
        <w:tabs>
          <w:tab w:val="num" w:pos="900"/>
        </w:tabs>
        <w:ind w:left="540" w:hanging="360"/>
      </w:p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abstractNum>
  <w:abstractNum w:abstractNumId="25">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4640aa8c26ed6e1159588b88eb02ae096d742075.png" TargetMode="Internal"/><Relationship Id="rId6" Type="http://schemas.openxmlformats.org/officeDocument/2006/relationships/hyperlink" Target="http://monday.com" TargetMode="External"/><Relationship Id="rId7" Type="http://schemas.openxmlformats.org/officeDocument/2006/relationships/hyperlink" Target="http://monday.com" TargetMode="External"/><Relationship Id="rId8" Type="http://schemas.openxmlformats.org/officeDocument/2006/relationships/hyperlink" Target="http://Monday.com" TargetMode="External"/><Relationship Id="rId9" Type="http://schemas.openxmlformats.org/officeDocument/2006/relationships/hyperlink" Target="http://monday.com" TargetMode="External"/><Relationship Id="rId10" Type="http://schemas.openxmlformats.org/officeDocument/2006/relationships/hyperlink" Target="http://Monday.com" TargetMode="External"/><Relationship Id="rId11" Type="http://schemas.openxmlformats.org/officeDocument/2006/relationships/hyperlink" Target="https://www.globes.co.il/news/article.aspx?did=1001531815" TargetMode="External"/><Relationship Id="rId12" Type="http://schemas.openxmlformats.org/officeDocument/2006/relationships/hyperlink" Target="https://www.calcalistech.com/ctechnews/article/rkbh00xnzl" TargetMode="External"/><Relationship Id="rId13" Type="http://schemas.openxmlformats.org/officeDocument/2006/relationships/hyperlink" Target="https://www.calcalistech.com/ctechnews/article/h1e8rttn11x" TargetMode="External"/><Relationship Id="rId14" Type="http://schemas.openxmlformats.org/officeDocument/2006/relationships/hyperlink" Target="https://www.calcalistech.com/ctechnews/article/rjswz37eze" TargetMode="External"/><Relationship Id="rId15" Type="http://schemas.openxmlformats.org/officeDocument/2006/relationships/hyperlink" Target="https://www.reuters.com/business/nvidia-advanced-talks-buy-israels-ai21-labs-up-3-billion-report-says-2025-12-30/" TargetMode="External"/><Relationship Id="rId16" Type="http://schemas.openxmlformats.org/officeDocument/2006/relationships/hyperlink" Target="https://www.investing.com/news/stock-market-news/nvidia-in-talks-to-buy-a21-labs-for-2b3b-israeli-media-reports-4425683" TargetMode="External"/><Relationship Id="rId17" Type="http://schemas.openxmlformats.org/officeDocument/2006/relationships/hyperlink" Target="https://finance.yahoo.com/news/nvidia-advanced-talks-buy-israels-171025289.html" TargetMode="External"/><Relationship Id="rId18" Type="http://schemas.openxmlformats.org/officeDocument/2006/relationships/hyperlink" Target="https://www.ai21.com/research/page/2/" TargetMode="External"/><Relationship Id="rId19" Type="http://schemas.openxmlformats.org/officeDocument/2006/relationships/hyperlink" Target="https://www.calcalistech.com/ctechnews/article/sywu003axyg" TargetMode="External"/><Relationship Id="rId20" Type="http://schemas.openxmlformats.org/officeDocument/2006/relationships/hyperlink" Target="https://www.prnewswire.com/news-releases/ai21-introduces-maestro-the-worlds-first-ai-planning-and-orchestration-system-built-for-the-enterprise-302397075.html" TargetMode="External"/><Relationship Id="rId21" Type="http://schemas.openxmlformats.org/officeDocument/2006/relationships/hyperlink" Target="https://www.ai21.com/blog/maestro-ai-enterprise-knowledge-work/" TargetMode="External"/><Relationship Id="rId22" Type="http://schemas.openxmlformats.org/officeDocument/2006/relationships/hyperlink" Target="https://arxiv.org/pdf/2205.00445.pdf" TargetMode="External"/><Relationship Id="rId23" Type="http://schemas.openxmlformats.org/officeDocument/2006/relationships/hyperlink" Target="https://www.morningstar.com/news/accesswire/1113250msn/ai21-launches-maestro-on-amazon-vpc-bringing-enterprise-grade-agentic-ai-to-every-organization" TargetMode="External"/><Relationship Id="rId24" Type="http://schemas.openxmlformats.org/officeDocument/2006/relationships/hyperlink" Target="https://www.ai21.com/resources/case-studies/product-description/" TargetMode="External"/><Relationship Id="rId25" Type="http://schemas.openxmlformats.org/officeDocument/2006/relationships/hyperlink" Target="https://www.alphamatch.ai/blog/top-agentic-ai-frameworks-2026" TargetMode="External"/><Relationship Id="rId26" Type="http://schemas.openxmlformats.org/officeDocument/2006/relationships/hyperlink" Target="https://www.wix.com/seo/learn/case-studies" TargetMode="External"/><Relationship Id="rId27" Type="http://schemas.openxmlformats.org/officeDocument/2006/relationships/hyperlink" Target="https://www.ai21.com/blog/announcing-jamba-model-family/" TargetMode="External"/><Relationship Id="rId28" Type="http://schemas.openxmlformats.org/officeDocument/2006/relationships/hyperlink" Target="https://synthedia.substack.com/p/ai21-labs-debuts-an-open-source-model" TargetMode="External"/><Relationship Id="rId29" Type="http://schemas.openxmlformats.org/officeDocument/2006/relationships/hyperlink" Target="https://arxiv.org/html/2403.19887v2" TargetMode="External"/><Relationship Id="rId30" Type="http://schemas.openxmlformats.org/officeDocument/2006/relationships/hyperlink" Target="https://www.fxmweb.com/insights/jamba-15-the-future-of-hybrid-ai-models-in-long-context-handling-and-superior-efficiency.html" TargetMode="External"/><Relationship Id="rId31" Type="http://schemas.openxmlformats.org/officeDocument/2006/relationships/hyperlink" Target="https://www.youtube.com/watch?v=pNUptWJN_9U" TargetMode="External"/><Relationship Id="rId32" Type="http://schemas.openxmlformats.org/officeDocument/2006/relationships/hyperlink" Target="https://en.globes.co.il/en/article-amnon-shashuas-ai-empire-comes-up-against-bg-tech-1001486678" TargetMode="External"/><Relationship Id="rId33" Type="http://schemas.openxmlformats.org/officeDocument/2006/relationships/hyperlink" Target="https://www.ai21.com/blog/ai21-completes-208-million-oversubscribed-series-c-round/" TargetMode="External"/><Relationship Id="rId34" Type="http://schemas.openxmlformats.org/officeDocument/2006/relationships/hyperlink" Target="https://www.ai21.com/knowledge/ai-compliance/" TargetMode="External"/><Relationship Id="rId35" Type="http://schemas.openxmlformats.org/officeDocument/2006/relationships/hyperlink" Target="https://www.ai21.com/knowledge/ai-deployment/" TargetMode="External"/><Relationship Id="rId36" Type="http://schemas.openxmlformats.org/officeDocument/2006/relationships/hyperlink" Target="https://datagrid.ai/blog/ai-agent-platform-vs-building-langchain-autogpt" TargetMode="External"/><Relationship Id="rId37" Type="http://schemas.openxmlformats.org/officeDocument/2006/relationships/hyperlink" Target="https://en.globes.co.il/en/article-amnon-shashuas-aa-i-unveils-new-approach-to-ai-1001496057" TargetMode="External"/><Relationship Id="rId38" Type="http://schemas.openxmlformats.org/officeDocument/2006/relationships/hyperlink" Target="https://www.getmonetizely.com/blogs/28-genai-firms-and-their-pricing-metrics" TargetMode="External"/><Relationship Id="rId39" Type="http://schemas.openxmlformats.org/officeDocument/2006/relationships/hyperlink" Target="https://www.ai21.com/about/" TargetMode="External"/><Relationship Id="rId40" Type="http://schemas.openxmlformats.org/officeDocument/2006/relationships/hyperlink" Target="https://www.secondtalent.com/resources/top-llm-frameworks-for-building-ai-agents/" TargetMode="External"/><Relationship Id="rId41" Type="http://schemas.openxmlformats.org/officeDocument/2006/relationships/hyperlink" Target="https://aws.amazon.com/marketplace/pp/prodview-bf26px7gdisek" TargetMode="External"/><Relationship Id="rId42" Type="http://schemas.openxmlformats.org/officeDocument/2006/relationships/hyperlink" Target="https://www.mdpi.com/2078-2489/10/2/51/pdf?version=1550568554" TargetMode="External"/><Relationship Id="rId43" Type="http://schemas.openxmlformats.org/officeDocument/2006/relationships/hyperlink" Target="http://arxiv.org/pdf/2501.09913.pdf" TargetMode="External"/><Relationship Id="rId44" Type="http://schemas.openxmlformats.org/officeDocument/2006/relationships/hyperlink" Target="https://arxiv.org/pdf/2212.01354.pdf" TargetMode="External"/><Relationship Id="rId45" Type="http://schemas.openxmlformats.org/officeDocument/2006/relationships/hyperlink" Target="http://arxiv.org/pdf/2405.19973.pdf" TargetMode="External"/><Relationship Id="rId46" Type="http://schemas.openxmlformats.org/officeDocument/2006/relationships/hyperlink" Target="https://arxiv.org/pdf/2002.06177.pdf" TargetMode="External"/><Relationship Id="rId47" Type="http://schemas.openxmlformats.org/officeDocument/2006/relationships/hyperlink" Target="https://arxiv.org/pdf/2503.05731.pdf" TargetMode="External"/><Relationship Id="rId48" Type="http://schemas.openxmlformats.org/officeDocument/2006/relationships/hyperlink" Target="https://www.calcalistech.com/ctech/articles/0,7340,L-3887334,00.html" TargetMode="External"/><Relationship Id="rId49" Type="http://schemas.openxmlformats.org/officeDocument/2006/relationships/hyperlink" Target="https://www.eesel.ai/en/blog/agentkit-vs-langchain" TargetMode="External"/><Relationship Id="rId50" Type="http://schemas.openxmlformats.org/officeDocument/2006/relationships/hyperlink" Target="https://www.mobileye.com/blog/takeaways-from-the-mobileye-press-conference-with-ceo-prof-amnon-shashua-at-ces-2026/" TargetMode="External"/><Relationship Id="rId51" Type="http://schemas.openxmlformats.org/officeDocument/2006/relationships/hyperlink" Target="https://skywork.ai/blog/ai-agent/agent-builder-vs-langchain-which-is-better-for-production-ready-agents/" TargetMode="External"/><Relationship Id="rId52" Type="http://schemas.openxmlformats.org/officeDocument/2006/relationships/hyperlink" Target="https://dl.acm.org/doi/pdf/10.1145/3630106.3658979" TargetMode="External"/><Relationship Id="rId53" Type="http://schemas.openxmlformats.org/officeDocument/2006/relationships/hyperlink" Target="https://arxiv.org/html/2406.07814" TargetMode="External"/><Relationship Id="rId54" Type="http://schemas.openxmlformats.org/officeDocument/2006/relationships/hyperlink" Target="https://arxiv.org/pdf/2212.08073.pdf" TargetMode="External"/><Relationship Id="rId55" Type="http://schemas.openxmlformats.org/officeDocument/2006/relationships/hyperlink" Target="https://arxiv.org/pdf/2412.14566.pdf" TargetMode="External"/><Relationship Id="rId56" Type="http://schemas.openxmlformats.org/officeDocument/2006/relationships/hyperlink" Target="https://arxiv.org/pdf/2209.09780.pdf" TargetMode="External"/><Relationship Id="rId57" Type="http://schemas.openxmlformats.org/officeDocument/2006/relationships/hyperlink" Target="https://arxiv.org/abs/2503.06074" TargetMode="External"/><Relationship Id="rId58" Type="http://schemas.openxmlformats.org/officeDocument/2006/relationships/hyperlink" Target="https://arxiv.org/pdf/2302.02337.pdf" TargetMode="External"/><Relationship Id="rId59" Type="http://schemas.openxmlformats.org/officeDocument/2006/relationships/hyperlink" Target="https://arxiv.org/pdf/2310.17688.pdf" TargetMode="External"/><Relationship Id="rId60" Type="http://schemas.openxmlformats.org/officeDocument/2006/relationships/hyperlink" Target="https://www.reuters.com/technology/ai-startup-ai21-labs-valued-14-bln-after-latest-fund-raise-2023-08-30/" TargetMode="External"/><Relationship Id="rId61" Type="http://schemas.openxmlformats.org/officeDocument/2006/relationships/hyperlink" Target="https://www.scribd.com/document/18049508/Case-Study-Samba" TargetMode="External"/><Relationship Id="rId62" Type="http://schemas.openxmlformats.org/officeDocument/2006/relationships/hyperlink" Target="https://israeldesks.com/israeli-generative-ai-co-ai21-labs-raises-usd155-million-at-usd1-4b-valuation/" TargetMode="External"/><Relationship Id="rId63" Type="http://schemas.openxmlformats.org/officeDocument/2006/relationships/hyperlink" Target="https://www.ai21.com/jamba/" TargetMode="External"/><Relationship Id="rId64" Type="http://schemas.openxmlformats.org/officeDocument/2006/relationships/hyperlink" Target="https://www.ai21.com/blog/series-c-funding/" TargetMode="External"/><Relationship Id="rId65" Type="http://schemas.openxmlformats.org/officeDocument/2006/relationships/hyperlink" Target="http://arxiv.org/abs/2201.11133" TargetMode="External"/><Relationship Id="rId66" Type="http://schemas.openxmlformats.org/officeDocument/2006/relationships/hyperlink" Target="https://downloads.hindawi.com/journals/scn/2021/9918697.pdf" TargetMode="External"/><Relationship Id="rId67" Type="http://schemas.openxmlformats.org/officeDocument/2006/relationships/hyperlink" Target="https://www.linkedin.com/posts/ori-goshen_today-we-launched-jamba-16-the-best-open-activity-7303441993580384256-EtAj" TargetMode="External"/><Relationship Id="rId68" Type="http://schemas.openxmlformats.org/officeDocument/2006/relationships/hyperlink" Target="https://www.bloomberg.com/news/articles/2026-01-07/ai21-co-founder-says-firm-held-early-talks-with-nvidia-others" TargetMode="External"/><Relationship Id="rId69" Type="http://schemas.openxmlformats.org/officeDocument/2006/relationships/hyperlink" Target="https://arxiv.org/pdf/2406.01722.pdf" TargetMode="External"/><Relationship Id="rId70" Type="http://schemas.openxmlformats.org/officeDocument/2006/relationships/hyperlink" Target="http://arxiv.org/pdf/2502.21266.pdf" TargetMode="External"/><Relationship Id="rId71" Type="http://schemas.openxmlformats.org/officeDocument/2006/relationships/hyperlink" Target="http://arxiv.org/pdf/2410.11199.pdf" TargetMode="External"/><Relationship Id="rId72" Type="http://schemas.openxmlformats.org/officeDocument/2006/relationships/hyperlink" Target="https://arxiv.org/pdf/2501.10187.pdf" TargetMode="External"/><Relationship Id="rId73" Type="http://schemas.openxmlformats.org/officeDocument/2006/relationships/hyperlink" Target="http://arxiv.org/pdf/2407.00031.pdf" TargetMode="External"/><Relationship Id="rId74" Type="http://schemas.openxmlformats.org/officeDocument/2006/relationships/hyperlink" Target="https://arxiv.org/pdf/2409.03112.pdf" TargetMode="External"/><Relationship Id="rId75" Type="http://schemas.openxmlformats.org/officeDocument/2006/relationships/hyperlink" Target="http://arxiv.org/pdf/2411.03449.pdf" TargetMode="External"/><Relationship Id="rId76" Type="http://schemas.openxmlformats.org/officeDocument/2006/relationships/hyperlink" Target="https://arxiv.org/pdf/2504.00986.pdf" TargetMode="External"/><Relationship Id="rId77" Type="http://schemas.openxmlformats.org/officeDocument/2006/relationships/hyperlink" Target="https://www.ai21.com/events/" TargetMode="External"/><Relationship Id="rId78" Type="http://schemas.openxmlformats.org/officeDocument/2006/relationships/hyperlink" Target="https://www.precedenceresearch.com/news/nvidia-ai21-labs-acquisition" TargetMode="External"/><Relationship Id="rId79" Type="http://schemas.openxmlformats.org/officeDocument/2006/relationships/hyperlink" Target="https://en.globes.co.il/en/article-after-raising-700m-ai21-labs-looks-for-exit-1001530580" TargetMode="External"/><Relationship Id="rId80" Type="http://schemas.openxmlformats.org/officeDocument/2006/relationships/hyperlink" Target="https://www.timesofisrael.com/report-nvidia-in-advanced-talks-to-buy-israels-ai21-labs-for-up-to-3-billion/" TargetMode="External"/><Relationship Id="rId81" Type="http://schemas.openxmlformats.org/officeDocument/2006/relationships/hyperlink" Target="https://finance.yahoo.com/news/nvidia-talks-buy-israel-ai21-111146958.html" TargetMode="External"/><Relationship Id="rId82" Type="http://schemas.openxmlformats.org/officeDocument/2006/relationships/hyperlink" Target="https://www.linkedin.com/posts/andrewrichland_nvidia-in-advanced-talks-to-buy-israels-activity-7416837724378214400-kS1w" TargetMode="External"/><Relationship Id="rId83" Type="http://schemas.openxmlformats.org/officeDocument/2006/relationships/hyperlink" Target="https://siliconangle.com/2025/12/30/report-nvidia-acquire-llm-startup-ai21-labs-3b/" TargetMode="External"/><Relationship Id="rId84" Type="http://schemas.openxmlformats.org/officeDocument/2006/relationships/hyperlink" Target="https://israelseen.com/ctech-latest-israeli-innovation-technology-news-jan-13-2026/" TargetMode="External"/><Relationship Id="rId85" Type="http://schemas.openxmlformats.org/officeDocument/2006/relationships/hyperlink" Target="https://eajournals.org/ejcsit/vol13-issue26-2025/salesforce-as-an-enterprise-platform-for-smart-city-integration-architectural-approaches-and-implementation-challenges/" TargetMode="External"/><Relationship Id="rId86" Type="http://schemas.openxmlformats.org/officeDocument/2006/relationships/hyperlink" Target="https://al-kindipublisher.com/index.php/jcsts/article/view/10664" TargetMode="External"/><Relationship Id="rId87" Type="http://schemas.openxmlformats.org/officeDocument/2006/relationships/hyperlink" Target="https://eajournals.org/ejcsit/vol13-issue-8-2025/cross-industry-enterprise-solution-a-technical-deep-dive-into-a-versatile-business-management-platform/" TargetMode="External"/><Relationship Id="rId88" Type="http://schemas.openxmlformats.org/officeDocument/2006/relationships/hyperlink" Target="https://wjaets.com/node/1046" TargetMode="External"/><Relationship Id="rId89" Type="http://schemas.openxmlformats.org/officeDocument/2006/relationships/hyperlink" Target="https://eajournals.org/ejcsit/vol13-issue47-2025/automation-platform-a-paradigm-shift-in-enterprise-cloud-management/" TargetMode="External"/><Relationship Id="rId90" Type="http://schemas.openxmlformats.org/officeDocument/2006/relationships/hyperlink" Target="https://www.jisem-journal.com/index.php/journal/article/view/12545" TargetMode="External"/><Relationship Id="rId91" Type="http://schemas.openxmlformats.org/officeDocument/2006/relationships/hyperlink" Target="https://www.ijsrcseit.com/index.php/home/article/view/CSEIT25112716" TargetMode="External"/><Relationship Id="rId92" Type="http://schemas.openxmlformats.org/officeDocument/2006/relationships/hyperlink" Target="https://www.ijsat.org/research-paper.php?id=2750" TargetMode="External"/><Relationship Id="rId93" Type="http://schemas.openxmlformats.org/officeDocument/2006/relationships/hyperlink" Target="https://wjaets.com/node/926" TargetMode="External"/><Relationship Id="rId94" Type="http://schemas.openxmlformats.org/officeDocument/2006/relationships/hyperlink" Target="https://journalwjarr.com/node/1320" TargetMode="External"/><Relationship Id="rId95" Type="http://schemas.openxmlformats.org/officeDocument/2006/relationships/hyperlink" Target="https://arxiv.org/pdf/2103.15975.pdf" TargetMode="External"/><Relationship Id="rId96" Type="http://schemas.openxmlformats.org/officeDocument/2006/relationships/hyperlink" Target="https://dl.acm.org/doi/pdf/10.1145/3643832.3661891" TargetMode="External"/><Relationship Id="rId97" Type="http://schemas.openxmlformats.org/officeDocument/2006/relationships/hyperlink" Target="https://arxiv.org/pdf/1901.05049.pdf" TargetMode="External"/><Relationship Id="rId98" Type="http://schemas.openxmlformats.org/officeDocument/2006/relationships/hyperlink" Target="https://arxiv.org/html/2306.08238" TargetMode="External"/><Relationship Id="rId99" Type="http://schemas.openxmlformats.org/officeDocument/2006/relationships/hyperlink" Target="https://dl.acm.org/doi/pdf/10.1145/3643832.3661414" TargetMode="External"/><Relationship Id="rId100" Type="http://schemas.openxmlformats.org/officeDocument/2006/relationships/hyperlink" Target="http://arxiv.org/pdf/2302.14139.pdf" TargetMode="External"/><Relationship Id="rId101" Type="http://schemas.openxmlformats.org/officeDocument/2006/relationships/hyperlink" Target="https://arxiv.org/pdf/2101.03989.pdf" TargetMode="External"/><Relationship Id="rId102" Type="http://schemas.openxmlformats.org/officeDocument/2006/relationships/hyperlink" Target="https://www.mdpi.com/1424-8220/14/3/5392/pdf" TargetMode="External"/><Relationship Id="rId103" Type="http://schemas.openxmlformats.org/officeDocument/2006/relationships/hyperlink" Target="https://www.ai21.com/maestro/" TargetMode="External"/><Relationship Id="rId104" Type="http://schemas.openxmlformats.org/officeDocument/2006/relationships/hyperlink" Target="https://n1o.github.io/posts/ssm-transformer-hybrids-guide/" TargetMode="External"/><Relationship Id="rId105" Type="http://schemas.openxmlformats.org/officeDocument/2006/relationships/hyperlink" Target="https://deepfa.ir/en/blog/jamba-model-hybrid-transformer-mamba-architecture" TargetMode="External"/><Relationship Id="rId106" Type="http://schemas.openxmlformats.org/officeDocument/2006/relationships/hyperlink" Target="https://arxiv.org/pdf/2502.08932.pdf" TargetMode="External"/><Relationship Id="rId107" Type="http://schemas.openxmlformats.org/officeDocument/2006/relationships/hyperlink" Target="https://arxiv.org/pdf/2304.13626.pdf" TargetMode="External"/><Relationship Id="rId108" Type="http://schemas.openxmlformats.org/officeDocument/2006/relationships/hyperlink" Target="https://arxiv.org/abs/2409.13153" TargetMode="External"/><Relationship Id="rId109" Type="http://schemas.openxmlformats.org/officeDocument/2006/relationships/hyperlink" Target="https://arxiv.org/html/2406.16087v5" TargetMode="External"/><Relationship Id="rId110" Type="http://schemas.openxmlformats.org/officeDocument/2006/relationships/hyperlink" Target="https://aclanthology.org/2023.emnlp-main.313.pdf" TargetMode="External"/><Relationship Id="rId111" Type="http://schemas.openxmlformats.org/officeDocument/2006/relationships/hyperlink" Target="https://arxiv.org/pdf/2309.13072.pdf" TargetMode="External"/><Relationship Id="rId112" Type="http://schemas.openxmlformats.org/officeDocument/2006/relationships/hyperlink" Target="https://www.mdpi.com/2504-4990/6/1/28/pdf?version=1710058981" TargetMode="External"/><Relationship Id="rId113" Type="http://schemas.openxmlformats.org/officeDocument/2006/relationships/hyperlink" Target="https://www.linkedin.com/pulse/why-high-stakes-enterprises-need-neurosymbolic-ai-2026-arun-majumdar-u9gze" TargetMode="External"/><Relationship Id="rId114" Type="http://schemas.openxmlformats.org/officeDocument/2006/relationships/hyperlink" Target="https://www.linkedin.com/posts/ai21_ai21labs-ai21maestro-aws-activity-7402338543446163456-xQNW" TargetMode="External"/><Relationship Id="rId115" Type="http://schemas.openxmlformats.org/officeDocument/2006/relationships/hyperlink" Target="https://www.ai21.com/blog/jurassic-x-crossing-the-neuro-symbolic-chasm-with-the-mrkl-system/" TargetMode="External"/><Relationship Id="rId116" Type="http://schemas.openxmlformats.org/officeDocument/2006/relationships/hyperlink" Target="https://monday.com/w/customer-stories" TargetMode="External"/><Relationship Id="rId117" Type="http://schemas.openxmlformats.org/officeDocument/2006/relationships/hyperlink" Target="https://arxiv.org/pdf/2503.15168.pdf" TargetMode="External"/><Relationship Id="rId118" Type="http://schemas.openxmlformats.org/officeDocument/2006/relationships/hyperlink" Target="https://arxiv.org/pdf/2502.10742.pdf" TargetMode="External"/><Relationship Id="rId119" Type="http://schemas.openxmlformats.org/officeDocument/2006/relationships/hyperlink" Target="http://arxiv.org/pdf/2104.11573.pdf" TargetMode="External"/><Relationship Id="rId120" Type="http://schemas.openxmlformats.org/officeDocument/2006/relationships/hyperlink" Target="http://arxiv.org/pdf/2503.00483.pdf" TargetMode="External"/><Relationship Id="rId121" Type="http://schemas.openxmlformats.org/officeDocument/2006/relationships/hyperlink" Target="http://arxiv.org/pdf/2407.06356.pdf" TargetMode="External"/><Relationship Id="rId122" Type="http://schemas.openxmlformats.org/officeDocument/2006/relationships/hyperlink" Target="https://arxiv.org/pdf/2210.05359.pdf" TargetMode="External"/><Relationship Id="rId123" Type="http://schemas.openxmlformats.org/officeDocument/2006/relationships/hyperlink" Target="https://arxiv.org/pdf/2502.17419.pdf" TargetMode="External"/><Relationship Id="rId124" Type="http://schemas.openxmlformats.org/officeDocument/2006/relationships/hyperlink" Target="https://arxiv.org/pdf/2207.07051.pdf" TargetMode="External"/><Relationship Id="rId125" Type="http://schemas.openxmlformats.org/officeDocument/2006/relationships/hyperlink" Target="https://www.linkedin.com/posts/amnon-shashua_we-just-released-two-papers-from-aai-technologies-activity-7351975816898953216-9b2P" TargetMode="External"/><Relationship Id="rId126" Type="http://schemas.openxmlformats.org/officeDocument/2006/relationships/hyperlink" Target="https://www.calcalist.co.il/article/h1chftz3ge" TargetMode="External"/><Relationship Id="rId127" Type="http://schemas.openxmlformats.org/officeDocument/2006/relationships/hyperlink" Target="https://www.ai21.com/blog/introducing-jamba-1-6/" TargetMode="External"/><Relationship Id="rId128" Type="http://schemas.openxmlformats.org/officeDocument/2006/relationships/hyperlink" Target="https://research.contrary.com/company/ai21-labs" TargetMode="External"/><Relationship Id="rId129" Type="http://schemas.openxmlformats.org/officeDocument/2006/relationships/hyperlink" Target="https://arxiv.org/pdf/2507.15865.pdf" TargetMode="External"/><Relationship Id="rId130" Type="http://schemas.openxmlformats.org/officeDocument/2006/relationships/hyperlink" Target="https://www.linkedin.com/posts/tzachidaviovich_i-saw-the-reports-that-ai21-labs-is-considering-activity-7320148649328451585-nBfy" TargetMode="External"/><Relationship Id="rId131" Type="http://schemas.openxmlformats.org/officeDocument/2006/relationships/hyperlink" Target="https://figshare.com/articles/journal_contribution/Advancing_innovation_in_financial_stability_A_comprehensive_review_of_AI_agent_frameworks_challenges_and_applications/28426736/1/files/52394846.pdf" TargetMode="External"/><Relationship Id="rId132" Type="http://schemas.openxmlformats.org/officeDocument/2006/relationships/hyperlink" Target="https://arxiv.org/pdf/2311.17541v2.pdf" TargetMode="External"/><Relationship Id="rId133" Type="http://schemas.openxmlformats.org/officeDocument/2006/relationships/hyperlink" Target="https://arxiv.org/pdf/2502.00964.pdf" TargetMode="External"/><Relationship Id="rId134" Type="http://schemas.openxmlformats.org/officeDocument/2006/relationships/hyperlink" Target="https://arxiv.org/html/2502.05957" TargetMode="External"/><Relationship Id="rId135" Type="http://schemas.openxmlformats.org/officeDocument/2006/relationships/hyperlink" Target="https://arxiv.org/pdf/2309.07870.pdf" TargetMode="External"/><Relationship Id="rId136" Type="http://schemas.openxmlformats.org/officeDocument/2006/relationships/hyperlink" Target="https://aclanthology.org/2023.emnlp-demo.20.pdf" TargetMode="External"/><Relationship Id="rId137" Type="http://schemas.openxmlformats.org/officeDocument/2006/relationships/hyperlink" Target="https://arxiv.org/pdf/2411.07464.pdf" TargetMode="External"/><Relationship Id="rId138" Type="http://schemas.openxmlformats.org/officeDocument/2006/relationships/hyperlink" Target="https://arxiv.org/html/2404.04902v1" TargetMode="External"/><Relationship Id="rId139" Type="http://schemas.openxmlformats.org/officeDocument/2006/relationships/hyperlink" Target="https://www.turing.com/resources/ai-agent-frameworks" TargetMode="External"/><Relationship Id="rId140" Type="http://schemas.openxmlformats.org/officeDocument/2006/relationships/hyperlink" Target="https://www.reddit.com/r/sales/comments/1809u3r/price_structure_for_enterprise_saas_license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2026-01-20T12:30:41.694Z</dcterms:created>
  <dcterms:modified xsi:type="dcterms:W3CDTF">2026-01-20T12:30:41.694Z</dcterms:modified>
</cp:coreProperties>
</file>