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e4cf0007a54d25c9d55d6609a35672eb758f3f5.png"/>
            <a:graphic>
              <a:graphicData uri="http://schemas.openxmlformats.org/drawingml/2006/picture">
                <pic:pic>
                  <pic:nvPicPr>
                    <pic:cNvPr id="1" name="image-fe4cf0007a54d25c9d55d6609a35672eb758f3f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gong_io_the_r_7433ee"/>
      <w:r>
        <w:rPr>
          <w:rFonts w:eastAsia="inter" w:cs="inter" w:ascii="inter" w:hAnsi="inter"/>
          <w:b/>
          <w:color w:val="000000"/>
          <w:sz w:val="39"/>
        </w:rPr>
        <w:t xml:space="preserve">Strategic Deep-Dive: </w:t>
      </w:r>
      <w:hyperlink r:id="rId6">
        <w:r>
          <w:rPr>
            <w:rFonts w:eastAsia="inter" w:cs="inter" w:ascii="inter" w:hAnsi="inter"/>
            <w:b/>
            <w:color w:val="#000"/>
            <w:sz w:val="39"/>
            <w:u w:val="single"/>
          </w:rPr>
          <w:t xml:space="preserve">Gong.io</w:t>
        </w:r>
      </w:hyperlink>
      <w:r>
        <w:rPr>
          <w:rFonts w:eastAsia="inter" w:cs="inter" w:ascii="inter" w:hAnsi="inter"/>
          <w:b/>
          <w:color w:val="000000"/>
          <w:sz w:val="39"/>
        </w:rPr>
        <w:t xml:space="preserve"> – The Revenue Intelligence Empire (2025-2026)</w:t>
      </w:r>
      <w:bookmarkEnd w:id="0"/>
    </w:p>
    <w:p>
      <w:pPr>
        <w:spacing w:line="360" w:after="210" w:lineRule="auto"/>
      </w:pPr>
      <w:r>
        <w:rPr>
          <w:rFonts w:eastAsia="inter" w:cs="inter" w:ascii="inter" w:hAnsi="inter"/>
          <w:color w:val="000000"/>
        </w:rPr>
        <w:t xml:space="preserve">Objective: Analyze Gong’s evolution from "Conversation Intelligence" to a full-scale "Revenue AI Instance." We need to find where they are vulnerable to smaller, more agile AI competitors and how they integrate into the enterprise tech stack.</w:t>
      </w:r>
    </w:p>
    <w:p>
      <w:pPr>
        <w:numPr>
          <w:ilvl w:val="0"/>
          <w:numId w:val="1"/>
        </w:numPr>
        <w:spacing w:line="360" w:before="105" w:after="105" w:lineRule="auto"/>
      </w:pPr>
      <w:r>
        <w:rPr>
          <w:rFonts w:eastAsia="inter" w:cs="inter" w:ascii="inter" w:hAnsi="inter"/>
          <w:color w:val="000000"/>
          <w:sz w:val="21"/>
        </w:rPr>
        <w:t xml:space="preserve">The "Revenue AI" Engine (Technical Depth):</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7">
        <w:r>
          <w:rPr>
            <w:rFonts w:eastAsia="inter" w:cs="inter" w:ascii="inter" w:hAnsi="inter"/>
            <w:color w:val="#000"/>
            <w:sz w:val="21"/>
            <w:u w:val="single"/>
          </w:rPr>
          <w:t xml:space="preserve">Gong.io</w:t>
        </w:r>
      </w:hyperlink>
      <w:r>
        <w:rPr>
          <w:rFonts w:eastAsia="inter" w:cs="inter" w:ascii="inter" w:hAnsi="inter"/>
          <w:color w:val="000000"/>
          <w:sz w:val="21"/>
        </w:rPr>
        <w:t xml:space="preserve"> new AI features 2026", "Gong Smart Trackers vs. Generative AI insights", "Gong's proprietary LLM vs. OpenAI integration".</w:t>
      </w:r>
      <w:r>
        <w:rPr>
          <w:rFonts w:eastAsia="inter" w:cs="inter" w:ascii="inter" w:hAnsi="inter"/>
          <w:color w:val="000000"/>
          <w:sz w:val="21"/>
        </w:rPr>
        <w:br w:type="textWrapping"/>
      </w:r>
      <w:r>
        <w:rPr>
          <w:rFonts w:eastAsia="inter" w:cs="inter" w:ascii="inter" w:hAnsi="inter"/>
          <w:color w:val="000000"/>
          <w:sz w:val="21"/>
        </w:rPr>
        <w:t xml:space="preserve">Goal: How has Gong integrated Generative AI? Are they just summarizing calls, or are they predicting deal outcomes and writing follow-up emails autonomously?</w:t>
      </w:r>
      <w:r>
        <w:rPr>
          <w:rFonts w:eastAsia="inter" w:cs="inter" w:ascii="inter" w:hAnsi="inter"/>
          <w:color w:val="000000"/>
          <w:sz w:val="21"/>
        </w:rPr>
        <w:br w:type="textWrapping"/>
      </w:r>
      <w:r>
        <w:rPr>
          <w:rFonts w:eastAsia="inter" w:cs="inter" w:ascii="inter" w:hAnsi="inter"/>
          <w:color w:val="000000"/>
          <w:sz w:val="21"/>
        </w:rPr>
        <w:t xml:space="preserve">Key Insight: Look for "Actionable Insights" – does the system now execute tasks (like updating the CRM) or only suggest them?</w:t>
      </w:r>
    </w:p>
    <w:p>
      <w:pPr>
        <w:numPr>
          <w:ilvl w:val="0"/>
          <w:numId w:val="1"/>
        </w:numPr>
        <w:spacing w:line="360" w:before="105" w:after="105" w:lineRule="auto"/>
      </w:pPr>
      <w:r>
        <w:rPr>
          <w:rFonts w:eastAsia="inter" w:cs="inter" w:ascii="inter" w:hAnsi="inter"/>
          <w:color w:val="000000"/>
          <w:sz w:val="21"/>
        </w:rPr>
        <w:t xml:space="preserve">The Ecosystem &amp; Platform Play:</w:t>
      </w:r>
      <w:r>
        <w:rPr>
          <w:rFonts w:eastAsia="inter" w:cs="inter" w:ascii="inter" w:hAnsi="inter"/>
          <w:color w:val="000000"/>
          <w:sz w:val="21"/>
        </w:rPr>
        <w:br w:type="textWrapping"/>
      </w:r>
      <w:r>
        <w:rPr>
          <w:rFonts w:eastAsia="inter" w:cs="inter" w:ascii="inter" w:hAnsi="inter"/>
          <w:color w:val="000000"/>
          <w:sz w:val="21"/>
        </w:rPr>
        <w:t xml:space="preserve">Search for: "Gong Connect 2026 updates", "Gong integration with Microsoft Teams and Salesforce 2026", "Gong's marketplace for 3rd party developers".</w:t>
      </w:r>
      <w:r>
        <w:rPr>
          <w:rFonts w:eastAsia="inter" w:cs="inter" w:ascii="inter" w:hAnsi="inter"/>
          <w:color w:val="000000"/>
          <w:sz w:val="21"/>
        </w:rPr>
        <w:br w:type="textWrapping"/>
      </w:r>
      <w:r>
        <w:rPr>
          <w:rFonts w:eastAsia="inter" w:cs="inter" w:ascii="inter" w:hAnsi="inter"/>
          <w:color w:val="000000"/>
          <w:sz w:val="21"/>
        </w:rPr>
        <w:t xml:space="preserve">Goal: Gong is trying to become a "Platform." Can other AI companies build on top of Gong?</w:t>
      </w:r>
      <w:r>
        <w:rPr>
          <w:rFonts w:eastAsia="inter" w:cs="inter" w:ascii="inter" w:hAnsi="inter"/>
          <w:color w:val="000000"/>
          <w:sz w:val="21"/>
        </w:rPr>
        <w:br w:type="textWrapping"/>
      </w:r>
      <w:r>
        <w:rPr>
          <w:rFonts w:eastAsia="inter" w:cs="inter" w:ascii="inter" w:hAnsi="inter"/>
          <w:color w:val="000000"/>
          <w:sz w:val="21"/>
        </w:rPr>
        <w:t xml:space="preserve">Key Insight: How does Gong handle Data Privacy and Security in 2026, especially with new global AI regulations (EU AI Act)?</w:t>
      </w:r>
    </w:p>
    <w:p>
      <w:pPr>
        <w:numPr>
          <w:ilvl w:val="0"/>
          <w:numId w:val="1"/>
        </w:numPr>
        <w:spacing w:line="360" w:before="105" w:after="105" w:lineRule="auto"/>
      </w:pPr>
      <w:r>
        <w:rPr>
          <w:rFonts w:eastAsia="inter" w:cs="inter" w:ascii="inter" w:hAnsi="inter"/>
          <w:color w:val="000000"/>
          <w:sz w:val="21"/>
        </w:rPr>
        <w:t xml:space="preserve">Financials &amp; Market Dominance:</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8">
        <w:r>
          <w:rPr>
            <w:rFonts w:eastAsia="inter" w:cs="inter" w:ascii="inter" w:hAnsi="inter"/>
            <w:color w:val="#000"/>
            <w:sz w:val="21"/>
            <w:u w:val="single"/>
          </w:rPr>
          <w:t xml:space="preserve">Gong.io</w:t>
        </w:r>
      </w:hyperlink>
      <w:r>
        <w:rPr>
          <w:rFonts w:eastAsia="inter" w:cs="inter" w:ascii="inter" w:hAnsi="inter"/>
          <w:color w:val="000000"/>
          <w:sz w:val="21"/>
        </w:rPr>
        <w:t xml:space="preserve"> IPO rumors 2026", "</w:t>
      </w:r>
      <w:hyperlink r:id="rId9">
        <w:r>
          <w:rPr>
            <w:rFonts w:eastAsia="inter" w:cs="inter" w:ascii="inter" w:hAnsi="inter"/>
            <w:color w:val="#000"/>
            <w:sz w:val="21"/>
            <w:u w:val="single"/>
          </w:rPr>
          <w:t xml:space="preserve">Gong.io</w:t>
        </w:r>
      </w:hyperlink>
      <w:r>
        <w:rPr>
          <w:rFonts w:eastAsia="inter" w:cs="inter" w:ascii="inter" w:hAnsi="inter"/>
          <w:color w:val="000000"/>
          <w:sz w:val="21"/>
        </w:rPr>
        <w:t xml:space="preserve"> annual revenue (ARR) 2025/2026", "</w:t>
      </w:r>
      <w:hyperlink r:id="rId10">
        <w:r>
          <w:rPr>
            <w:rFonts w:eastAsia="inter" w:cs="inter" w:ascii="inter" w:hAnsi="inter"/>
            <w:color w:val="#000"/>
            <w:sz w:val="21"/>
            <w:u w:val="single"/>
          </w:rPr>
          <w:t xml:space="preserve">Gong.io</w:t>
        </w:r>
      </w:hyperlink>
      <w:r>
        <w:rPr>
          <w:rFonts w:eastAsia="inter" w:cs="inter" w:ascii="inter" w:hAnsi="inter"/>
          <w:color w:val="000000"/>
          <w:sz w:val="21"/>
        </w:rPr>
        <w:t xml:space="preserve"> market share vs. </w:t>
      </w:r>
      <w:hyperlink r:id="rId11">
        <w:r>
          <w:rPr>
            <w:rFonts w:eastAsia="inter" w:cs="inter" w:ascii="inter" w:hAnsi="inter"/>
            <w:color w:val="#000"/>
            <w:sz w:val="21"/>
            <w:u w:val="single"/>
          </w:rPr>
          <w:t xml:space="preserve">Chorus.ai</w:t>
        </w:r>
      </w:hyperlink>
      <w:r>
        <w:rPr>
          <w:rFonts w:eastAsia="inter" w:cs="inter" w:ascii="inter" w:hAnsi="inter"/>
          <w:color w:val="000000"/>
          <w:sz w:val="21"/>
        </w:rPr>
        <w:t xml:space="preserve"> and Salesloft".</w:t>
      </w:r>
      <w:r>
        <w:rPr>
          <w:rFonts w:eastAsia="inter" w:cs="inter" w:ascii="inter" w:hAnsi="inter"/>
          <w:color w:val="000000"/>
          <w:sz w:val="21"/>
        </w:rPr>
        <w:br w:type="textWrapping"/>
      </w:r>
      <w:r>
        <w:rPr>
          <w:rFonts w:eastAsia="inter" w:cs="inter" w:ascii="inter" w:hAnsi="inter"/>
          <w:color w:val="000000"/>
          <w:sz w:val="21"/>
        </w:rPr>
        <w:t xml:space="preserve">Goal: They were valued at $7.25B. Are they still growing? Have they gone public yet?</w:t>
      </w:r>
      <w:r>
        <w:rPr>
          <w:rFonts w:eastAsia="inter" w:cs="inter" w:ascii="inter" w:hAnsi="inter"/>
          <w:color w:val="000000"/>
          <w:sz w:val="21"/>
        </w:rPr>
        <w:br w:type="textWrapping"/>
      </w:r>
      <w:r>
        <w:rPr>
          <w:rFonts w:eastAsia="inter" w:cs="inter" w:ascii="inter" w:hAnsi="inter"/>
          <w:color w:val="000000"/>
          <w:sz w:val="21"/>
        </w:rPr>
        <w:t xml:space="preserve">Key Insight: Look for "Customer Churn" or "Downsizing" news – are enterprises cutting back on expensive tools like Gong in favor of cheaper AI alternatives?</w:t>
      </w:r>
    </w:p>
    <w:p>
      <w:pPr>
        <w:numPr>
          <w:ilvl w:val="0"/>
          <w:numId w:val="1"/>
        </w:numPr>
        <w:spacing w:line="360" w:before="105" w:after="105" w:lineRule="auto"/>
      </w:pPr>
      <w:r>
        <w:rPr>
          <w:rFonts w:eastAsia="inter" w:cs="inter" w:ascii="inter" w:hAnsi="inter"/>
          <w:color w:val="000000"/>
          <w:sz w:val="21"/>
        </w:rPr>
        <w:t xml:space="preserve">The "Wrapper" &amp; User Experience:</w:t>
      </w:r>
      <w:r>
        <w:rPr>
          <w:rFonts w:eastAsia="inter" w:cs="inter" w:ascii="inter" w:hAnsi="inter"/>
          <w:color w:val="000000"/>
          <w:sz w:val="21"/>
        </w:rPr>
        <w:br w:type="textWrapping"/>
      </w:r>
      <w:r>
        <w:rPr>
          <w:rFonts w:eastAsia="inter" w:cs="inter" w:ascii="inter" w:hAnsi="inter"/>
          <w:color w:val="000000"/>
          <w:sz w:val="21"/>
        </w:rPr>
        <w:t xml:space="preserve">Search for: "Gong's mobile app AI features", "Gong's UI redesign 2026", "Gong for non-sales teams (Product, CS, Marketing)".</w:t>
      </w:r>
      <w:r>
        <w:rPr>
          <w:rFonts w:eastAsia="inter" w:cs="inter" w:ascii="inter" w:hAnsi="inter"/>
          <w:color w:val="000000"/>
          <w:sz w:val="21"/>
        </w:rPr>
        <w:br w:type="textWrapping"/>
      </w:r>
      <w:r>
        <w:rPr>
          <w:rFonts w:eastAsia="inter" w:cs="inter" w:ascii="inter" w:hAnsi="inter"/>
          <w:color w:val="000000"/>
          <w:sz w:val="21"/>
        </w:rPr>
        <w:t xml:space="preserve">Goal: Gong is expanding beyond sales. How do they "wrap" their AI for a Product Manager or a Marketing Executive?</w:t>
      </w:r>
    </w:p>
    <w:p>
      <w:pPr>
        <w:numPr>
          <w:ilvl w:val="0"/>
          <w:numId w:val="1"/>
        </w:numPr>
        <w:spacing w:line="360" w:before="105" w:after="105" w:lineRule="auto"/>
      </w:pPr>
      <w:r>
        <w:rPr>
          <w:rFonts w:eastAsia="inter" w:cs="inter" w:ascii="inter" w:hAnsi="inter"/>
          <w:color w:val="000000"/>
          <w:sz w:val="21"/>
        </w:rPr>
        <w:t xml:space="preserve">Vulnerabilities (The "Kill Chain"):</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12">
        <w:r>
          <w:rPr>
            <w:rFonts w:eastAsia="inter" w:cs="inter" w:ascii="inter" w:hAnsi="inter"/>
            <w:color w:val="#000"/>
            <w:sz w:val="21"/>
            <w:u w:val="single"/>
          </w:rPr>
          <w:t xml:space="preserve">Gong.io</w:t>
        </w:r>
      </w:hyperlink>
      <w:r>
        <w:rPr>
          <w:rFonts w:eastAsia="inter" w:cs="inter" w:ascii="inter" w:hAnsi="inter"/>
          <w:color w:val="000000"/>
          <w:sz w:val="21"/>
        </w:rPr>
        <w:t xml:space="preserve"> pricing complaints 2026", "Gong vs. specialized niche AI competitors", "Gong's complexity for small teams".</w:t>
      </w:r>
      <w:r>
        <w:rPr>
          <w:rFonts w:eastAsia="inter" w:cs="inter" w:ascii="inter" w:hAnsi="inter"/>
          <w:color w:val="000000"/>
          <w:sz w:val="21"/>
        </w:rPr>
        <w:br w:type="textWrapping"/>
      </w:r>
      <w:r>
        <w:rPr>
          <w:rFonts w:eastAsia="inter" w:cs="inter" w:ascii="inter" w:hAnsi="inter"/>
          <w:color w:val="000000"/>
          <w:sz w:val="21"/>
        </w:rPr>
        <w:t xml:space="preserve">Goal: Where is the "fat" in Gong? Is it too expensive? Too complex? Does it require too much "nurturing" from the Ops team?</w:t>
      </w:r>
    </w:p>
    <w:p>
      <w:pPr>
        <w:spacing w:line="360" w:after="210" w:lineRule="auto"/>
      </w:pPr>
      <w:r>
        <w:rPr>
          <w:rFonts w:eastAsia="inter" w:cs="inter" w:ascii="inter" w:hAnsi="inter"/>
          <w:color w:val="000000"/>
        </w:rPr>
        <w:t xml:space="preserve">Perfect. Now I have all the information I need to generate the final comprehensive report. Let me compose the executive-level strategic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gong_io_strategic_deep_dive_the_r_88a879"/>
      <w:hyperlink r:id="rId13">
        <w:r>
          <w:rPr>
            <w:rFonts w:eastAsia="inter" w:cs="inter" w:ascii="inter" w:hAnsi="inter"/>
            <w:b/>
            <w:color w:val="#000"/>
            <w:sz w:val="39"/>
            <w:u w:val="single"/>
          </w:rPr>
          <w:t xml:space="preserve">GONG.IO</w:t>
        </w:r>
      </w:hyperlink>
      <w:r>
        <w:rPr>
          <w:rFonts w:eastAsia="inter" w:cs="inter" w:ascii="inter" w:hAnsi="inter"/>
          <w:b/>
          <w:color w:val="000000"/>
          <w:sz w:val="39"/>
        </w:rPr>
        <w:t xml:space="preserve"> STRATEGIC DEEP-DIVE: THE REVENUE INTELLIGENCE EMPIRE AT INFLECTION POINT</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Gong has evolved from a conversation intelligence point solution into a comprehensive </w:t>
      </w:r>
      <w:r>
        <w:rPr>
          <w:rFonts w:eastAsia="inter" w:cs="inter" w:ascii="inter" w:hAnsi="inter"/>
          <w:b/>
          <w:color w:val="000000"/>
        </w:rPr>
        <w:t xml:space="preserve">Revenue AI Operating System</w:t>
      </w:r>
      <w:r>
        <w:rPr>
          <w:rFonts w:eastAsia="inter" w:cs="inter" w:ascii="inter" w:hAnsi="inter"/>
          <w:color w:val="000000"/>
        </w:rPr>
        <w:t xml:space="preserve">, capturing the market leadership through proprietary data and domain expertise. Yet the company now faces a critical strategic inflection point. Despite exceeding $300 million in annual recurring revenue (ARR) and commanding Gartner's inaugural 2025 Magic Quadrant for Revenue Action Orchestration as a Leader, Gong's valuation has compressed from $7.25 billion (2021) to $4.5 billion (November 2025 secondary round)—a 38 percent markdown that reflects investor repricing rather than market failure.</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This analysis examines Gong's evolution across five strategic dimensions: (1) technical depth of its Revenue AI engine and autonomous capabilities; (2) ecosystem integration and platform strategy; (3) financial trajectory and market dominance metrics; (4) expansion beyond sales into new personas and use cases; and (5) critical vulnerabilities exploitable by smaller, agile competitors. The evidence reveals a company that remains dominant but faces mounting pressure from three fronts: regulatory constraints on data sovereignty, pricing pressure from emerging challengers, and an approaching market saturation ceiling as AI adoption reaches 96 percent across revenue organizations.</w:t>
      </w:r>
      <w:bookmarkStart w:id="7" w:name="fnref5"/>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i_the_revenue_ai_engine_from_summ_9569a9"/>
      <w:r>
        <w:rPr>
          <w:rFonts w:eastAsia="inter" w:cs="inter" w:ascii="inter" w:hAnsi="inter"/>
          <w:b/>
          <w:color w:val="000000"/>
          <w:sz w:val="24"/>
        </w:rPr>
        <w:t xml:space="preserve">I. THE REVENUE AI ENGINE: FROM SUMMARIES TO AUTONOMOUS ORCHESTRATION</w:t>
      </w:r>
      <w:bookmarkEnd w:id="9"/>
    </w:p>
    <w:p>
      <w:pPr>
        <w:spacing w:line="360" w:before="315" w:after="105" w:lineRule="auto"/>
        <w:ind w:left="-30"/>
        <w:jc w:val="left"/>
      </w:pPr>
      <w:bookmarkStart w:id="10" w:name="evolution_of_ai_capabilities_2023_2026"/>
      <w:r>
        <w:rPr>
          <w:rFonts w:eastAsia="inter" w:cs="inter" w:ascii="inter" w:hAnsi="inter"/>
          <w:b/>
          <w:color w:val="000000"/>
          <w:sz w:val="24"/>
        </w:rPr>
        <w:t xml:space="preserve">Evolution of AI Capabilities (2023–2026)</w:t>
      </w:r>
      <w:bookmarkEnd w:id="10"/>
    </w:p>
    <w:p>
      <w:pPr>
        <w:spacing w:line="360" w:after="210" w:lineRule="auto"/>
      </w:pPr>
      <w:r>
        <w:rPr>
          <w:rFonts w:eastAsia="inter" w:cs="inter" w:ascii="inter" w:hAnsi="inter"/>
          <w:color w:val="000000"/>
        </w:rPr>
        <w:t xml:space="preserve">Gong's technological progression reveals a deliberate shift from descriptive intelligence to agentic autonomy. In 2023, Gong introduced proprietary generative AI models trained on its unique customer-interaction dataset, positioning itself as superior to general-purpose LLMs for sales contexts. By 2024, the company enhanced its AI Smart Trackers technology—context-aware concept detection systems that achieved 3x higher accuracy than keyword-based systems. Now, in 2025–2026, Gong has expanded to 18 specialized AI agents capable of autonomous execution, moving beyond suggestions to actual task completion.</w:t>
      </w:r>
      <w:bookmarkStart w:id="11" w:name="fnref7"/>
      <w:bookmarkEnd w:id="11"/>
      <w:hyperlink w:anchor="fn7">
        <w:r>
          <w:rPr>
            <w:rFonts w:eastAsia="inter" w:cs="inter" w:ascii="inter" w:hAnsi="inter"/>
            <w:color w:val="#000"/>
            <w:u w:val="single"/>
            <w:vertAlign w:val="superscript"/>
          </w:rPr>
          <w:t xml:space="preserve">[7]</w:t>
        </w:r>
      </w:hyperlink>
      <w:bookmarkStart w:id="12" w:name="fnref8"/>
      <w:bookmarkEnd w:id="12"/>
      <w:hyperlink w:anchor="fn8">
        <w:r>
          <w:rPr>
            <w:rFonts w:eastAsia="inter" w:cs="inter" w:ascii="inter" w:hAnsi="inter"/>
            <w:color w:val="#000"/>
            <w:u w:val="single"/>
            <w:vertAlign w:val="superscript"/>
          </w:rPr>
          <w:t xml:space="preserve">[8]</w:t>
        </w:r>
      </w:hyperlink>
      <w:bookmarkStart w:id="13" w:name="fnref9"/>
      <w:bookmarkEnd w:id="13"/>
      <w:hyperlink w:anchor="fn9">
        <w:r>
          <w:rPr>
            <w:rFonts w:eastAsia="inter" w:cs="inter" w:ascii="inter" w:hAnsi="inter"/>
            <w:color w:val="#000"/>
            <w:u w:val="single"/>
            <w:vertAlign w:val="superscript"/>
          </w:rPr>
          <w:t xml:space="preserve">[9]</w:t>
        </w:r>
      </w:hyperlink>
      <w:bookmarkStart w:id="14" w:name="fnref10"/>
      <w:bookmarkEnd w:id="14"/>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This evolution is not merely incremental feature development. It represents an architectural shift toward what Gong calls the </w:t>
      </w:r>
      <w:r>
        <w:rPr>
          <w:rFonts w:eastAsia="inter" w:cs="inter" w:ascii="inter" w:hAnsi="inter"/>
          <w:b/>
          <w:color w:val="000000"/>
        </w:rPr>
        <w:t xml:space="preserve">Revenue AI Operating System</w:t>
      </w:r>
      <w:r>
        <w:rPr>
          <w:rFonts w:eastAsia="inter" w:cs="inter" w:ascii="inter" w:hAnsi="inter"/>
          <w:color w:val="000000"/>
        </w:rPr>
        <w:t xml:space="preserve">—a unified platform that "observes, guides, and acts alongside the world's most successful revenue teams." The distinction between "guidance" (suggesting actions) and "acts" (executing them) is material. Gong Orchestrate, unveiled in October 2025, now automatically populates CRM fields, generates personalized emails, creates follow-up tasks, and updates deal stages based on conversation patterns—without requiring manual sales rep intervention.</w:t>
      </w:r>
      <w:bookmarkStart w:id="15" w:name="fnref11"/>
      <w:bookmarkEnd w:id="15"/>
      <w:hyperlink w:anchor="fn11">
        <w:r>
          <w:rPr>
            <w:rFonts w:eastAsia="inter" w:cs="inter" w:ascii="inter" w:hAnsi="inter"/>
            <w:color w:val="#000"/>
            <w:u w:val="single"/>
            <w:vertAlign w:val="superscript"/>
          </w:rPr>
          <w:t xml:space="preserve">[11]</w:t>
        </w:r>
      </w:hyperlink>
      <w:bookmarkStart w:id="16" w:name="fnref12"/>
      <w:bookmarkEnd w:id="16"/>
      <w:hyperlink w:anchor="fn12">
        <w:r>
          <w:rPr>
            <w:rFonts w:eastAsia="inter" w:cs="inter" w:ascii="inter" w:hAnsi="inter"/>
            <w:color w:val="#000"/>
            <w:u w:val="single"/>
            <w:vertAlign w:val="superscript"/>
          </w:rPr>
          <w:t xml:space="preserve">[12]</w:t>
        </w:r>
      </w:hyperlink>
      <w:bookmarkStart w:id="17" w:name="fnref13"/>
      <w:bookmarkEnd w:id="17"/>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18" w:name="the_proprietary_data_moat"/>
      <w:r>
        <w:rPr>
          <w:rFonts w:eastAsia="inter" w:cs="inter" w:ascii="inter" w:hAnsi="inter"/>
          <w:b/>
          <w:color w:val="000000"/>
          <w:sz w:val="24"/>
        </w:rPr>
        <w:t xml:space="preserve">The Proprietary Data Moat</w:t>
      </w:r>
      <w:bookmarkEnd w:id="18"/>
    </w:p>
    <w:p>
      <w:pPr>
        <w:spacing w:line="360" w:after="210" w:lineRule="auto"/>
      </w:pPr>
      <w:r>
        <w:rPr>
          <w:rFonts w:eastAsia="inter" w:cs="inter" w:ascii="inter" w:hAnsi="inter"/>
          <w:color w:val="000000"/>
        </w:rPr>
        <w:t xml:space="preserve">Gong's sustainable competitive advantage rests on a </w:t>
      </w:r>
      <w:r>
        <w:rPr>
          <w:rFonts w:eastAsia="inter" w:cs="inter" w:ascii="inter" w:hAnsi="inter"/>
          <w:b/>
          <w:color w:val="000000"/>
        </w:rPr>
        <w:t xml:space="preserve">proprietary data foundation</w:t>
      </w:r>
      <w:r>
        <w:rPr>
          <w:rFonts w:eastAsia="inter" w:cs="inter" w:ascii="inter" w:hAnsi="inter"/>
          <w:color w:val="000000"/>
        </w:rPr>
        <w:t xml:space="preserve"> that rivals large language models in domain-specific contexts. The company has accumulated intelligence from 7.1 million sales opportunities across 3,600+ customers spanning a decade. This dataset trains Gong's models to understand revenue-specific language, objection handling, buyer intent signals, and deal progression patterns—nuances that general-purpose LLMs (including GPT-4) cannot replicate without specialized fine-tuning.</w:t>
      </w:r>
      <w:bookmarkStart w:id="19" w:name="fnref14"/>
      <w:bookmarkEnd w:id="19"/>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The commercial impact is measurable: organizations deploying revenue-specific AI solutions (like Gong) report </w:t>
      </w:r>
      <w:r>
        <w:rPr>
          <w:rFonts w:eastAsia="inter" w:cs="inter" w:ascii="inter" w:hAnsi="inter"/>
          <w:b/>
          <w:color w:val="000000"/>
        </w:rPr>
        <w:t xml:space="preserve">13 percent higher revenue growth and 85 percent greater commercial impact</w:t>
      </w:r>
      <w:r>
        <w:rPr>
          <w:rFonts w:eastAsia="inter" w:cs="inter" w:ascii="inter" w:hAnsi="inter"/>
          <w:color w:val="000000"/>
        </w:rPr>
        <w:t xml:space="preserve"> compared to teams using general-purpose tools like ChatGPT. For teams using Gong's forecasting and predictive modeling features specifically trained on its data, adoption rates doubled year-over-year in 2025. This is not an efficiency edge; it is a fundamentally different business outcome.</w:t>
      </w:r>
      <w:bookmarkStart w:id="20" w:name="fnref15"/>
      <w:bookmarkEnd w:id="20"/>
      <w:hyperlink w:anchor="fn15">
        <w:r>
          <w:rPr>
            <w:rFonts w:eastAsia="inter" w:cs="inter" w:ascii="inter" w:hAnsi="inter"/>
            <w:color w:val="#000"/>
            <w:u w:val="single"/>
            <w:vertAlign w:val="superscript"/>
          </w:rPr>
          <w:t xml:space="preserve">[15]</w:t>
        </w:r>
      </w:hyperlink>
      <w:bookmarkStart w:id="21" w:name="fnref16"/>
      <w:bookmarkEnd w:id="21"/>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However, this moat is defensible, not insurmountable. Competitors with sufficient data—Salesforce (with its 200+ million customer interactions), or even smaller players like Chorus (now part of ZoomInfo with buyer intent data)—can attempt to replicate this advantage. The window for data-driven differentiation is narrowing as competitors invest in proprietary AI training.</w:t>
      </w:r>
    </w:p>
    <w:p>
      <w:pPr>
        <w:spacing w:line="360" w:before="315" w:after="105" w:lineRule="auto"/>
        <w:ind w:left="-30"/>
        <w:jc w:val="left"/>
      </w:pPr>
      <w:bookmarkStart w:id="22" w:name="key_ai_agents_autonomous_capabilities"/>
      <w:r>
        <w:rPr>
          <w:rFonts w:eastAsia="inter" w:cs="inter" w:ascii="inter" w:hAnsi="inter"/>
          <w:b/>
          <w:color w:val="000000"/>
          <w:sz w:val="24"/>
        </w:rPr>
        <w:t xml:space="preserve">Key AI Agents &amp; Autonomous Capabilities</w:t>
      </w:r>
      <w:bookmarkEnd w:id="22"/>
    </w:p>
    <w:p>
      <w:pPr>
        <w:spacing w:line="360" w:after="210" w:lineRule="auto"/>
      </w:pPr>
      <w:r>
        <w:rPr>
          <w:rFonts w:eastAsia="inter" w:cs="inter" w:ascii="inter" w:hAnsi="inter"/>
          <w:color w:val="000000"/>
        </w:rPr>
        <w:t xml:space="preserve">Gong's agent portfolio reflects the platform's shift toward autonomous execution:</w:t>
      </w:r>
      <w:bookmarkStart w:id="23" w:name="fnref17"/>
      <w:bookmarkEnd w:id="23"/>
      <w:hyperlink w:anchor="fn17">
        <w:r>
          <w:rPr>
            <w:rFonts w:eastAsia="inter" w:cs="inter" w:ascii="inter" w:hAnsi="inter"/>
            <w:color w:val="#000"/>
            <w:u w:val="single"/>
            <w:vertAlign w:val="superscript"/>
          </w:rPr>
          <w:t xml:space="preserve">[17]</w:t>
        </w:r>
      </w:hyperlink>
      <w:bookmarkStart w:id="24" w:name="fnref18"/>
      <w:bookmarkEnd w:id="24"/>
      <w:hyperlink w:anchor="fn18">
        <w:r>
          <w:rPr>
            <w:rFonts w:eastAsia="inter" w:cs="inter" w:ascii="inter" w:hAnsi="inter"/>
            <w:color w:val="#000"/>
            <w:u w:val="single"/>
            <w:vertAlign w:val="superscript"/>
          </w:rPr>
          <w:t xml:space="preserve">[18]</w:t>
        </w:r>
      </w:hyperlink>
    </w:p>
    <w:p>
      <w:pPr>
        <w:numPr>
          <w:ilvl w:val="0"/>
          <w:numId w:val="2"/>
        </w:numPr>
        <w:spacing w:line="360" w:before="105" w:after="105" w:lineRule="auto"/>
      </w:pPr>
      <w:r>
        <w:rPr>
          <w:rFonts w:eastAsia="inter" w:cs="inter" w:ascii="inter" w:hAnsi="inter"/>
          <w:b/>
          <w:color w:val="000000"/>
          <w:sz w:val="21"/>
        </w:rPr>
        <w:t xml:space="preserve">AI Ask Anything</w:t>
      </w:r>
      <w:r>
        <w:rPr>
          <w:rFonts w:eastAsia="inter" w:cs="inter" w:ascii="inter" w:hAnsi="inter"/>
          <w:color w:val="000000"/>
          <w:sz w:val="21"/>
        </w:rPr>
        <w:t xml:space="preserve">: Expanded from querying calls/deals/contacts to natural language search across entire customer base (400% YoY growth)</w:t>
      </w:r>
    </w:p>
    <w:p>
      <w:pPr>
        <w:numPr>
          <w:ilvl w:val="0"/>
          <w:numId w:val="2"/>
        </w:numPr>
        <w:spacing w:line="360" w:before="105" w:after="105" w:lineRule="auto"/>
      </w:pPr>
      <w:r>
        <w:rPr>
          <w:rFonts w:eastAsia="inter" w:cs="inter" w:ascii="inter" w:hAnsi="inter"/>
          <w:b/>
          <w:color w:val="000000"/>
          <w:sz w:val="21"/>
        </w:rPr>
        <w:t xml:space="preserve">AI Deep Researcher</w:t>
      </w:r>
      <w:r>
        <w:rPr>
          <w:rFonts w:eastAsia="inter" w:cs="inter" w:ascii="inter" w:hAnsi="inter"/>
          <w:color w:val="000000"/>
          <w:sz w:val="21"/>
        </w:rPr>
        <w:t xml:space="preserve">: Multi-step analysis for complex questions, moving beyond chatbot simplicity to structured reporting</w:t>
      </w:r>
    </w:p>
    <w:p>
      <w:pPr>
        <w:numPr>
          <w:ilvl w:val="0"/>
          <w:numId w:val="2"/>
        </w:numPr>
        <w:spacing w:line="360" w:before="105" w:after="105" w:lineRule="auto"/>
      </w:pPr>
      <w:r>
        <w:rPr>
          <w:rFonts w:eastAsia="inter" w:cs="inter" w:ascii="inter" w:hAnsi="inter"/>
          <w:b/>
          <w:color w:val="000000"/>
          <w:sz w:val="21"/>
        </w:rPr>
        <w:t xml:space="preserve">AI Data Extractor</w:t>
      </w:r>
      <w:r>
        <w:rPr>
          <w:rFonts w:eastAsia="inter" w:cs="inter" w:ascii="inter" w:hAnsi="inter"/>
          <w:color w:val="000000"/>
          <w:sz w:val="21"/>
        </w:rPr>
        <w:t xml:space="preserve">: Automatically creates CRM fields and populates them from conversations, eliminating manual data entry</w:t>
      </w:r>
    </w:p>
    <w:p>
      <w:pPr>
        <w:numPr>
          <w:ilvl w:val="0"/>
          <w:numId w:val="2"/>
        </w:numPr>
        <w:spacing w:line="360" w:before="105" w:after="105" w:lineRule="auto"/>
      </w:pPr>
      <w:r>
        <w:rPr>
          <w:rFonts w:eastAsia="inter" w:cs="inter" w:ascii="inter" w:hAnsi="inter"/>
          <w:b/>
          <w:color w:val="000000"/>
          <w:sz w:val="21"/>
        </w:rPr>
        <w:t xml:space="preserve">AI Forecast</w:t>
      </w:r>
      <w:r>
        <w:rPr>
          <w:rFonts w:eastAsia="inter" w:cs="inter" w:ascii="inter" w:hAnsi="inter"/>
          <w:color w:val="000000"/>
          <w:sz w:val="21"/>
        </w:rPr>
        <w:t xml:space="preserve">: Predicts deal closure probability and revenue outcomes</w:t>
      </w:r>
    </w:p>
    <w:p>
      <w:pPr>
        <w:numPr>
          <w:ilvl w:val="0"/>
          <w:numId w:val="2"/>
        </w:numPr>
        <w:spacing w:line="360" w:before="105" w:after="105" w:lineRule="auto"/>
      </w:pPr>
      <w:r>
        <w:rPr>
          <w:rFonts w:eastAsia="inter" w:cs="inter" w:ascii="inter" w:hAnsi="inter"/>
          <w:b/>
          <w:color w:val="000000"/>
          <w:sz w:val="21"/>
        </w:rPr>
        <w:t xml:space="preserve">AI Methodology Playbooks</w:t>
      </w:r>
      <w:r>
        <w:rPr>
          <w:rFonts w:eastAsia="inter" w:cs="inter" w:ascii="inter" w:hAnsi="inter"/>
          <w:color w:val="000000"/>
          <w:sz w:val="21"/>
        </w:rPr>
        <w:t xml:space="preserve">: Maps sales methodologies (Miller Heiman, Sandler, MEDDIC) to conversation patterns</w:t>
      </w:r>
    </w:p>
    <w:p>
      <w:pPr>
        <w:spacing w:line="360" w:after="210" w:lineRule="auto"/>
      </w:pPr>
      <w:r>
        <w:rPr>
          <w:rFonts w:eastAsia="inter" w:cs="inter" w:ascii="inter" w:hAnsi="inter"/>
          <w:color w:val="000000"/>
        </w:rPr>
        <w:t xml:space="preserve">The critical question: </w:t>
      </w:r>
      <w:r>
        <w:rPr>
          <w:rFonts w:eastAsia="inter" w:cs="inter" w:ascii="inter" w:hAnsi="inter"/>
          <w:b/>
          <w:color w:val="000000"/>
        </w:rPr>
        <w:t xml:space="preserve">Are these agents truly autonomous or merely sophisticated recommenders?</w:t>
      </w:r>
      <w:r>
        <w:rPr>
          <w:rFonts w:eastAsia="inter" w:cs="inter" w:ascii="inter" w:hAnsi="inter"/>
          <w:color w:val="000000"/>
        </w:rPr>
        <w:t xml:space="preserve"> Evidence suggests partial autonomy. Gong Orchestrate will auto-populate CRM fields and trigger workflows, but the system still requires human oversight for significant business decisions. This is appropriate—complete autonomy in revenue operations carries legal and accountability risks. Yet it also means Gong has not yet achieved full "hands-off" operation, differentiating it less from competitors than marketing suggests.</w:t>
      </w:r>
    </w:p>
    <w:p>
      <w:pPr>
        <w:spacing w:line="360" w:before="315" w:after="105" w:lineRule="auto"/>
        <w:ind w:left="-30"/>
        <w:jc w:val="left"/>
      </w:pPr>
      <w:bookmarkStart w:id="25" w:name="llm_strategy_proprietary_vs_third_party"/>
      <w:r>
        <w:rPr>
          <w:rFonts w:eastAsia="inter" w:cs="inter" w:ascii="inter" w:hAnsi="inter"/>
          <w:b/>
          <w:color w:val="000000"/>
          <w:sz w:val="24"/>
        </w:rPr>
        <w:t xml:space="preserve">LLM Strategy: Proprietary vs. Third-Party</w:t>
      </w:r>
      <w:bookmarkEnd w:id="25"/>
    </w:p>
    <w:p>
      <w:pPr>
        <w:spacing w:line="360" w:after="210" w:lineRule="auto"/>
      </w:pPr>
      <w:r>
        <w:rPr>
          <w:rFonts w:eastAsia="inter" w:cs="inter" w:ascii="inter" w:hAnsi="inter"/>
          <w:color w:val="000000"/>
        </w:rPr>
        <w:t xml:space="preserve">Gong employs a </w:t>
      </w:r>
      <w:r>
        <w:rPr>
          <w:rFonts w:eastAsia="inter" w:cs="inter" w:ascii="inter" w:hAnsi="inter"/>
          <w:b/>
          <w:color w:val="000000"/>
        </w:rPr>
        <w:t xml:space="preserve">hybrid LLM architecture</w:t>
      </w:r>
      <w:r>
        <w:rPr>
          <w:rFonts w:eastAsia="inter" w:cs="inter" w:ascii="inter" w:hAnsi="inter"/>
          <w:color w:val="000000"/>
        </w:rPr>
        <w:t xml:space="preserve">: in-house proprietary models trained on customer interaction data, augmented by integration with OpenAI APIs for general-purpose language tasks. This is strategically sound—it captures the domain expertise advantage while leveraging the scale and capability of OpenAI's models for tasks beyond revenue intelligence (e.g., email generation, summarization).</w:t>
      </w:r>
      <w:bookmarkStart w:id="26" w:name="fnref19"/>
      <w:bookmarkEnd w:id="26"/>
      <w:hyperlink w:anchor="fn19">
        <w:r>
          <w:rPr>
            <w:rFonts w:eastAsia="inter" w:cs="inter" w:ascii="inter" w:hAnsi="inter"/>
            <w:color w:val="#000"/>
            <w:u w:val="single"/>
            <w:vertAlign w:val="superscript"/>
          </w:rPr>
          <w:t xml:space="preserve">[19]</w:t>
        </w:r>
      </w:hyperlink>
      <w:bookmarkStart w:id="27" w:name="fnref20"/>
      <w:bookmarkEnd w:id="27"/>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More significantly, Gong announced support for </w:t>
      </w:r>
      <w:r>
        <w:rPr>
          <w:rFonts w:eastAsia="inter" w:cs="inter" w:ascii="inter" w:hAnsi="inter"/>
          <w:b/>
          <w:color w:val="000000"/>
        </w:rPr>
        <w:t xml:space="preserve">Model Context Protocol (MCP)</w:t>
      </w:r>
      <w:r>
        <w:rPr>
          <w:rFonts w:eastAsia="inter" w:cs="inter" w:ascii="inter" w:hAnsi="inter"/>
          <w:color w:val="000000"/>
        </w:rPr>
        <w:t xml:space="preserve">, enabling bidirectional intelligence flow with Salesforce Agentforce and Microsoft Copilot. This is a defensive move—Gong recognizes that customers demand interoperable AI ecosystems rather than walled-garden solutions. By supporting MCP, Gong positions itself as a data source and intelligence provider to broader AI agent networks, reducing switching costs while acknowledging that no single platform will monopolize revenue AI.</w:t>
      </w:r>
      <w:bookmarkStart w:id="28" w:name="fnref21"/>
      <w:bookmarkEnd w:id="28"/>
      <w:hyperlink w:anchor="fn21">
        <w:r>
          <w:rPr>
            <w:rFonts w:eastAsia="inter" w:cs="inter" w:ascii="inter" w:hAnsi="inter"/>
            <w:color w:val="#000"/>
            <w:u w:val="single"/>
            <w:vertAlign w:val="superscript"/>
          </w:rPr>
          <w:t xml:space="preserve">[21]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ii_the_ecosystem_platform_play_or_9e18c1"/>
      <w:r>
        <w:rPr>
          <w:rFonts w:eastAsia="inter" w:cs="inter" w:ascii="inter" w:hAnsi="inter"/>
          <w:b/>
          <w:color w:val="000000"/>
          <w:sz w:val="24"/>
        </w:rPr>
        <w:t xml:space="preserve">II. THE ECOSYSTEM &amp; PLATFORM PLAY: ORCHESTRATION VS. POINT SOLUTIONS</w:t>
      </w:r>
      <w:bookmarkEnd w:id="29"/>
    </w:p>
    <w:p>
      <w:pPr>
        <w:spacing w:line="360" w:before="315" w:after="105" w:lineRule="auto"/>
        <w:ind w:left="-30"/>
        <w:jc w:val="left"/>
      </w:pPr>
      <w:bookmarkStart w:id="30" w:name="current_integrations_data_flow"/>
      <w:r>
        <w:rPr>
          <w:rFonts w:eastAsia="inter" w:cs="inter" w:ascii="inter" w:hAnsi="inter"/>
          <w:b/>
          <w:color w:val="000000"/>
          <w:sz w:val="24"/>
        </w:rPr>
        <w:t xml:space="preserve">Current Integrations &amp; Data Flow</w:t>
      </w:r>
      <w:bookmarkEnd w:id="30"/>
    </w:p>
    <w:p>
      <w:pPr>
        <w:spacing w:line="360" w:after="210" w:lineRule="auto"/>
      </w:pPr>
      <w:r>
        <w:rPr>
          <w:rFonts w:eastAsia="inter" w:cs="inter" w:ascii="inter" w:hAnsi="inter"/>
          <w:color w:val="000000"/>
        </w:rPr>
        <w:t xml:space="preserve">Gong maintains deep, bidirectional integrations with critical GTM infrastructure:</w:t>
      </w:r>
      <w:bookmarkStart w:id="31" w:name="fnref22"/>
      <w:bookmarkEnd w:id="31"/>
      <w:hyperlink w:anchor="fn22">
        <w:r>
          <w:rPr>
            <w:rFonts w:eastAsia="inter" w:cs="inter" w:ascii="inter" w:hAnsi="inter"/>
            <w:color w:val="#000"/>
            <w:u w:val="single"/>
            <w:vertAlign w:val="superscript"/>
          </w:rPr>
          <w:t xml:space="preserve">[22]</w:t>
        </w:r>
      </w:hyperlink>
      <w:bookmarkStart w:id="32" w:name="fnref23"/>
      <w:bookmarkEnd w:id="32"/>
      <w:hyperlink w:anchor="fn23">
        <w:r>
          <w:rPr>
            <w:rFonts w:eastAsia="inter" w:cs="inter" w:ascii="inter" w:hAnsi="inter"/>
            <w:color w:val="#000"/>
            <w:u w:val="single"/>
            <w:vertAlign w:val="superscript"/>
          </w:rPr>
          <w:t xml:space="preserve">[23]</w:t>
        </w:r>
      </w:hyperlink>
    </w:p>
    <w:p>
      <w:pPr>
        <w:numPr>
          <w:ilvl w:val="0"/>
          <w:numId w:val="3"/>
        </w:numPr>
        <w:spacing w:line="360" w:before="105" w:after="105" w:lineRule="auto"/>
      </w:pPr>
      <w:r>
        <w:rPr>
          <w:rFonts w:eastAsia="inter" w:cs="inter" w:ascii="inter" w:hAnsi="inter"/>
          <w:b/>
          <w:color w:val="000000"/>
          <w:sz w:val="21"/>
        </w:rPr>
        <w:t xml:space="preserve">Salesforce</w:t>
      </w:r>
      <w:r>
        <w:rPr>
          <w:rFonts w:eastAsia="inter" w:cs="inter" w:ascii="inter" w:hAnsi="inter"/>
          <w:color w:val="000000"/>
          <w:sz w:val="21"/>
        </w:rPr>
        <w:t xml:space="preserve">: Two-way sync of opportunities, accounts, contacts; auto-population of call summaries, Smart Tracker insights, and action items directly into Salesforce records</w:t>
      </w:r>
    </w:p>
    <w:p>
      <w:pPr>
        <w:numPr>
          <w:ilvl w:val="0"/>
          <w:numId w:val="3"/>
        </w:numPr>
        <w:spacing w:line="360" w:before="105" w:after="105" w:lineRule="auto"/>
      </w:pPr>
      <w:r>
        <w:rPr>
          <w:rFonts w:eastAsia="inter" w:cs="inter" w:ascii="inter" w:hAnsi="inter"/>
          <w:b/>
          <w:color w:val="000000"/>
          <w:sz w:val="21"/>
        </w:rPr>
        <w:t xml:space="preserve">Sales Engagement</w:t>
      </w:r>
      <w:r>
        <w:rPr>
          <w:rFonts w:eastAsia="inter" w:cs="inter" w:ascii="inter" w:hAnsi="inter"/>
          <w:color w:val="000000"/>
          <w:sz w:val="21"/>
        </w:rPr>
        <w:t xml:space="preserve">: Outreach, Salesloft integration</w:t>
      </w:r>
    </w:p>
    <w:p>
      <w:pPr>
        <w:numPr>
          <w:ilvl w:val="0"/>
          <w:numId w:val="3"/>
        </w:numPr>
        <w:spacing w:line="360" w:before="105" w:after="105" w:lineRule="auto"/>
      </w:pPr>
      <w:r>
        <w:rPr>
          <w:rFonts w:eastAsia="inter" w:cs="inter" w:ascii="inter" w:hAnsi="inter"/>
          <w:b/>
          <w:color w:val="000000"/>
          <w:sz w:val="21"/>
        </w:rPr>
        <w:t xml:space="preserve">Additional CRMs</w:t>
      </w:r>
      <w:r>
        <w:rPr>
          <w:rFonts w:eastAsia="inter" w:cs="inter" w:ascii="inter" w:hAnsi="inter"/>
          <w:color w:val="000000"/>
          <w:sz w:val="21"/>
        </w:rPr>
        <w:t xml:space="preserve">: HubSpot, Microsoft Dynamics</w:t>
      </w:r>
    </w:p>
    <w:p>
      <w:pPr>
        <w:numPr>
          <w:ilvl w:val="0"/>
          <w:numId w:val="3"/>
        </w:numPr>
        <w:spacing w:line="360" w:before="105" w:after="105" w:lineRule="auto"/>
      </w:pPr>
      <w:r>
        <w:rPr>
          <w:rFonts w:eastAsia="inter" w:cs="inter" w:ascii="inter" w:hAnsi="inter"/>
          <w:b/>
          <w:color w:val="000000"/>
          <w:sz w:val="21"/>
        </w:rPr>
        <w:t xml:space="preserve">Communication</w:t>
      </w:r>
      <w:r>
        <w:rPr>
          <w:rFonts w:eastAsia="inter" w:cs="inter" w:ascii="inter" w:hAnsi="inter"/>
          <w:color w:val="000000"/>
          <w:sz w:val="21"/>
        </w:rPr>
        <w:t xml:space="preserve">: Zoom, Microsoft Teams, Google Meet, Webex</w:t>
      </w:r>
    </w:p>
    <w:p>
      <w:pPr>
        <w:spacing w:line="360" w:after="210" w:lineRule="auto"/>
      </w:pPr>
      <w:r>
        <w:rPr>
          <w:rFonts w:eastAsia="inter" w:cs="inter" w:ascii="inter" w:hAnsi="inter"/>
          <w:color w:val="000000"/>
        </w:rPr>
        <w:t xml:space="preserve">However, "integrated" does not mean "unified." Each integration requires separate field mapping, configuration, and maintenance. Sales reps still navigate multiple UIs, and data flow is often asymmetric. Gong remains largely a </w:t>
      </w:r>
      <w:r>
        <w:rPr>
          <w:rFonts w:eastAsia="inter" w:cs="inter" w:ascii="inter" w:hAnsi="inter"/>
          <w:b/>
          <w:color w:val="000000"/>
        </w:rPr>
        <w:t xml:space="preserve">standalone application that connects to the tech stack</w:t>
      </w:r>
      <w:r>
        <w:rPr>
          <w:rFonts w:eastAsia="inter" w:cs="inter" w:ascii="inter" w:hAnsi="inter"/>
          <w:color w:val="000000"/>
        </w:rPr>
        <w:t xml:space="preserve">, not a central orchestration layer.</w:t>
      </w:r>
    </w:p>
    <w:p>
      <w:pPr>
        <w:spacing w:line="360" w:before="315" w:after="105" w:lineRule="auto"/>
        <w:ind w:left="-30"/>
        <w:jc w:val="left"/>
      </w:pPr>
      <w:bookmarkStart w:id="33" w:name="gong_orchestrate_the_platform_bet"/>
      <w:r>
        <w:rPr>
          <w:rFonts w:eastAsia="inter" w:cs="inter" w:ascii="inter" w:hAnsi="inter"/>
          <w:b/>
          <w:color w:val="000000"/>
          <w:sz w:val="24"/>
        </w:rPr>
        <w:t xml:space="preserve">Gong Orchestrate: The Platform Bet</w:t>
      </w:r>
      <w:bookmarkEnd w:id="33"/>
    </w:p>
    <w:p>
      <w:pPr>
        <w:spacing w:line="360" w:after="210" w:lineRule="auto"/>
      </w:pPr>
      <w:r>
        <w:rPr>
          <w:rFonts w:eastAsia="inter" w:cs="inter" w:ascii="inter" w:hAnsi="inter"/>
          <w:color w:val="000000"/>
        </w:rPr>
        <w:t xml:space="preserve">Gong Orchestrate, expected for general availability in Q2 2025, represents the company's most ambitious platform expansion. The value proposition: define sales plays once (e.g., "Discovery-to-Demo Flow" or "Post-Signature Onboarding"), execute consistently across teams, and measure effectiveness in one place.</w:t>
      </w:r>
      <w:bookmarkStart w:id="34" w:name="fnref24"/>
      <w:bookmarkEnd w:id="34"/>
      <w:hyperlink w:anchor="fn24">
        <w:r>
          <w:rPr>
            <w:rFonts w:eastAsia="inter" w:cs="inter" w:ascii="inter" w:hAnsi="inter"/>
            <w:color w:val="#000"/>
            <w:u w:val="single"/>
            <w:vertAlign w:val="superscript"/>
          </w:rPr>
          <w:t xml:space="preserve">[24]</w:t>
        </w:r>
      </w:hyperlink>
      <w:bookmarkStart w:id="35" w:name="fnref25"/>
      <w:bookmarkEnd w:id="35"/>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What Orchestrate promises</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color w:val="000000"/>
          <w:sz w:val="21"/>
        </w:rPr>
        <w:t xml:space="preserve">Centralized sales motion definitions (eliminate ad-hoc rep behaviors)</w:t>
      </w:r>
    </w:p>
    <w:p>
      <w:pPr>
        <w:numPr>
          <w:ilvl w:val="0"/>
          <w:numId w:val="4"/>
        </w:numPr>
        <w:spacing w:line="360" w:before="105" w:after="105" w:lineRule="auto"/>
      </w:pPr>
      <w:r>
        <w:rPr>
          <w:rFonts w:eastAsia="inter" w:cs="inter" w:ascii="inter" w:hAnsi="inter"/>
          <w:color w:val="000000"/>
          <w:sz w:val="21"/>
        </w:rPr>
        <w:t xml:space="preserve">Real-time guidance to sellers based on conversation analysis</w:t>
      </w:r>
    </w:p>
    <w:p>
      <w:pPr>
        <w:numPr>
          <w:ilvl w:val="0"/>
          <w:numId w:val="4"/>
        </w:numPr>
        <w:spacing w:line="360" w:before="105" w:after="105" w:lineRule="auto"/>
      </w:pPr>
      <w:r>
        <w:rPr>
          <w:rFonts w:eastAsia="inter" w:cs="inter" w:ascii="inter" w:hAnsi="inter"/>
          <w:color w:val="000000"/>
          <w:sz w:val="21"/>
        </w:rPr>
        <w:t xml:space="preserve">Automated workflow progression (5x faster account handoffs)</w:t>
      </w:r>
    </w:p>
    <w:p>
      <w:pPr>
        <w:numPr>
          <w:ilvl w:val="0"/>
          <w:numId w:val="4"/>
        </w:numPr>
        <w:spacing w:line="360" w:before="105" w:after="105" w:lineRule="auto"/>
      </w:pPr>
      <w:r>
        <w:rPr>
          <w:rFonts w:eastAsia="inter" w:cs="inter" w:ascii="inter" w:hAnsi="inter"/>
          <w:color w:val="000000"/>
          <w:sz w:val="21"/>
        </w:rPr>
        <w:t xml:space="preserve">Data-driven play optimization (scale winning strategies)</w:t>
      </w:r>
    </w:p>
    <w:p>
      <w:pPr>
        <w:spacing w:line="360" w:after="210" w:lineRule="auto"/>
      </w:pPr>
      <w:r>
        <w:rPr>
          <w:rFonts w:eastAsia="inter" w:cs="inter" w:ascii="inter" w:hAnsi="inter"/>
          <w:b/>
          <w:color w:val="000000"/>
        </w:rPr>
        <w:t xml:space="preserve">Reality check</w:t>
      </w:r>
      <w:r>
        <w:rPr>
          <w:rFonts w:eastAsia="inter" w:cs="inter" w:ascii="inter" w:hAnsi="inter"/>
          <w:color w:val="000000"/>
        </w:rPr>
        <w:t xml:space="preserve">: The product remains on waitlist as of January 2026. Given Gong's typical 3-to-6-month enterprise implementation timeline, "Q2 2025" likely means Q3 or Q4 2025 for early customers. This delay signals either complexity or resource constraints—both are concerning for a product pitched as differentiating.</w:t>
      </w:r>
    </w:p>
    <w:p>
      <w:pPr>
        <w:spacing w:line="360" w:before="315" w:after="105" w:lineRule="auto"/>
        <w:ind w:left="-30"/>
        <w:jc w:val="left"/>
      </w:pPr>
      <w:bookmarkStart w:id="36" w:name="developer_ecosystem_marketplace_the_gap"/>
      <w:r>
        <w:rPr>
          <w:rFonts w:eastAsia="inter" w:cs="inter" w:ascii="inter" w:hAnsi="inter"/>
          <w:b/>
          <w:color w:val="000000"/>
          <w:sz w:val="24"/>
        </w:rPr>
        <w:t xml:space="preserve">Developer Ecosystem &amp; Marketplace: The Gap</w:t>
      </w:r>
      <w:bookmarkEnd w:id="36"/>
    </w:p>
    <w:p>
      <w:pPr>
        <w:spacing w:line="360" w:after="210" w:lineRule="auto"/>
      </w:pPr>
      <w:r>
        <w:rPr>
          <w:rFonts w:eastAsia="inter" w:cs="inter" w:ascii="inter" w:hAnsi="inter"/>
          <w:color w:val="000000"/>
        </w:rPr>
        <w:t xml:space="preserve">Unlike Salesforce (AppExchange), Slack (App Store), or even HubSpot (AppMarketplace), Gong has </w:t>
      </w:r>
      <w:r>
        <w:rPr>
          <w:rFonts w:eastAsia="inter" w:cs="inter" w:ascii="inter" w:hAnsi="inter"/>
          <w:b/>
          <w:color w:val="000000"/>
        </w:rPr>
        <w:t xml:space="preserve">not built a robust third-party developer ecosystem</w:t>
      </w:r>
      <w:r>
        <w:rPr>
          <w:rFonts w:eastAsia="inter" w:cs="inter" w:ascii="inter" w:hAnsi="inter"/>
          <w:color w:val="000000"/>
        </w:rPr>
        <w:t xml:space="preserve">. There is no published marketplace where developers can build and sell Gong-integrated apps. This is a material strategic gap.</w:t>
      </w:r>
    </w:p>
    <w:p>
      <w:pPr>
        <w:spacing w:line="360" w:after="210" w:lineRule="auto"/>
      </w:pPr>
      <w:r>
        <w:rPr>
          <w:rFonts w:eastAsia="inter" w:cs="inter" w:ascii="inter" w:hAnsi="inter"/>
          <w:b/>
          <w:color w:val="000000"/>
        </w:rPr>
        <w:t xml:space="preserve">Why it matters</w:t>
      </w:r>
      <w:r>
        <w:rPr>
          <w:rFonts w:eastAsia="inter" w:cs="inter" w:ascii="inter" w:hAnsi="inter"/>
          <w:color w:val="000000"/>
        </w:rPr>
        <w:t xml:space="preserve">: As AI platforms proliferate, the winners will be those that become orchestration layers for others. Gong's MCP support is a step toward this (enabling external agents to query Gong data), but it is reactive rather than proactive. A more aggressive move would be to publish Gong's API ecosystem, offer revenue-share for Gong-integrated apps, and invite developers to build agents that sit on top of Gong's Revenue Graph. This would create switching costs and network effects—defensibility beyond proprietary data alone.</w:t>
      </w:r>
    </w:p>
    <w:p>
      <w:pPr>
        <w:spacing w:line="360" w:before="315" w:after="105" w:lineRule="auto"/>
        <w:ind w:left="-30"/>
        <w:jc w:val="left"/>
      </w:pPr>
      <w:bookmarkStart w:id="37" w:name="data_privacy_regulatory_complianc_d4f0c8"/>
      <w:r>
        <w:rPr>
          <w:rFonts w:eastAsia="inter" w:cs="inter" w:ascii="inter" w:hAnsi="inter"/>
          <w:b/>
          <w:color w:val="000000"/>
          <w:sz w:val="24"/>
        </w:rPr>
        <w:t xml:space="preserve">Data Privacy &amp; Regulatory Compliance: The EU Threat</w:t>
      </w:r>
      <w:bookmarkEnd w:id="37"/>
    </w:p>
    <w:p>
      <w:pPr>
        <w:spacing w:line="360" w:after="210" w:lineRule="auto"/>
      </w:pPr>
      <w:r>
        <w:rPr>
          <w:rFonts w:eastAsia="inter" w:cs="inter" w:ascii="inter" w:hAnsi="inter"/>
          <w:color w:val="000000"/>
        </w:rPr>
        <w:t xml:space="preserve">This is Gong's most acute regulatory vulnerability.</w:t>
      </w:r>
      <w:bookmarkStart w:id="38" w:name="fnref26"/>
      <w:bookmarkEnd w:id="38"/>
      <w:hyperlink w:anchor="fn26">
        <w:r>
          <w:rPr>
            <w:rFonts w:eastAsia="inter" w:cs="inter" w:ascii="inter" w:hAnsi="inter"/>
            <w:color w:val="#000"/>
            <w:u w:val="single"/>
            <w:vertAlign w:val="superscript"/>
          </w:rPr>
          <w:t xml:space="preserve">[26]</w:t>
        </w:r>
      </w:hyperlink>
      <w:bookmarkStart w:id="39" w:name="fnref27"/>
      <w:bookmarkEnd w:id="39"/>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Current status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Holds EU-U.S. Data Privacy Framework (DPF) certification</w:t>
      </w:r>
    </w:p>
    <w:p>
      <w:pPr>
        <w:numPr>
          <w:ilvl w:val="0"/>
          <w:numId w:val="5"/>
        </w:numPr>
        <w:spacing w:line="360" w:before="105" w:after="105" w:lineRule="auto"/>
      </w:pPr>
      <w:r>
        <w:rPr>
          <w:rFonts w:eastAsia="inter" w:cs="inter" w:ascii="inter" w:hAnsi="inter"/>
          <w:color w:val="000000"/>
          <w:sz w:val="21"/>
        </w:rPr>
        <w:t xml:space="preserve">SOC 2 and ISO 27001 certified</w:t>
      </w:r>
    </w:p>
    <w:p>
      <w:pPr>
        <w:numPr>
          <w:ilvl w:val="0"/>
          <w:numId w:val="5"/>
        </w:numPr>
        <w:spacing w:line="360" w:before="105" w:after="105" w:lineRule="auto"/>
      </w:pPr>
      <w:r>
        <w:rPr>
          <w:rFonts w:eastAsia="inter" w:cs="inter" w:ascii="inter" w:hAnsi="inter"/>
          <w:color w:val="000000"/>
          <w:sz w:val="21"/>
        </w:rPr>
        <w:t xml:space="preserve">BUT: </w:t>
      </w:r>
      <w:r>
        <w:rPr>
          <w:rFonts w:eastAsia="inter" w:cs="inter" w:ascii="inter" w:hAnsi="inter"/>
          <w:b/>
          <w:color w:val="000000"/>
          <w:sz w:val="21"/>
        </w:rPr>
        <w:t xml:space="preserve">All customer data stored in US-only infrastructure</w:t>
      </w:r>
      <w:r>
        <w:rPr>
          <w:rFonts w:eastAsia="inter" w:cs="inter" w:ascii="inter" w:hAnsi="inter"/>
          <w:color w:val="000000"/>
          <w:sz w:val="21"/>
        </w:rPr>
        <w:t xml:space="preserve"> with no European data center option</w:t>
      </w:r>
    </w:p>
    <w:p>
      <w:pPr>
        <w:spacing w:line="360" w:after="210" w:lineRule="auto"/>
      </w:pPr>
      <w:r>
        <w:rPr>
          <w:rFonts w:eastAsia="inter" w:cs="inter" w:ascii="inter" w:hAnsi="inter"/>
          <w:b/>
          <w:color w:val="000000"/>
        </w:rPr>
        <w:t xml:space="preserve">The regulatory risk</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color w:val="000000"/>
          <w:sz w:val="21"/>
        </w:rPr>
        <w:t xml:space="preserve">Strict EU interpretations of GDPR may require data residency within the EU</w:t>
      </w:r>
    </w:p>
    <w:p>
      <w:pPr>
        <w:numPr>
          <w:ilvl w:val="0"/>
          <w:numId w:val="6"/>
        </w:numPr>
        <w:spacing w:line="360" w:before="105" w:after="105" w:lineRule="auto"/>
      </w:pPr>
      <w:r>
        <w:rPr>
          <w:rFonts w:eastAsia="inter" w:cs="inter" w:ascii="inter" w:hAnsi="inter"/>
          <w:color w:val="000000"/>
          <w:sz w:val="21"/>
        </w:rPr>
        <w:t xml:space="preserve">Gong's reliance on DPF certification (itself under legal challenge) creates exposure</w:t>
      </w:r>
    </w:p>
    <w:p>
      <w:pPr>
        <w:numPr>
          <w:ilvl w:val="0"/>
          <w:numId w:val="6"/>
        </w:numPr>
        <w:spacing w:line="360" w:before="105" w:after="105" w:lineRule="auto"/>
      </w:pPr>
      <w:r>
        <w:rPr>
          <w:rFonts w:eastAsia="inter" w:cs="inter" w:ascii="inter" w:hAnsi="inter"/>
          <w:color w:val="000000"/>
          <w:sz w:val="21"/>
        </w:rPr>
        <w:t xml:space="preserve">Competitors offering EU data residency (e.g., </w:t>
      </w:r>
      <w:hyperlink r:id="rId14">
        <w:r>
          <w:rPr>
            <w:rFonts w:eastAsia="inter" w:cs="inter" w:ascii="inter" w:hAnsi="inter"/>
            <w:color w:val="#000"/>
            <w:sz w:val="21"/>
            <w:u w:val="single"/>
          </w:rPr>
          <w:t xml:space="preserve">Oliv.ai</w:t>
        </w:r>
      </w:hyperlink>
      <w:r>
        <w:rPr>
          <w:rFonts w:eastAsia="inter" w:cs="inter" w:ascii="inter" w:hAnsi="inter"/>
          <w:color w:val="000000"/>
          <w:sz w:val="21"/>
        </w:rPr>
        <w:t xml:space="preserve">) gain competitive advantage in regulated sectors (finance, healthcare, government)</w:t>
      </w:r>
    </w:p>
    <w:p>
      <w:pPr>
        <w:spacing w:line="360" w:after="210" w:lineRule="auto"/>
      </w:pPr>
      <w:r>
        <w:rPr>
          <w:rFonts w:eastAsia="inter" w:cs="inter" w:ascii="inter" w:hAnsi="inter"/>
          <w:b/>
          <w:color w:val="000000"/>
        </w:rPr>
        <w:t xml:space="preserve">Market impact estimate</w:t>
      </w:r>
      <w:r>
        <w:rPr>
          <w:rFonts w:eastAsia="inter" w:cs="inter" w:ascii="inter" w:hAnsi="inter"/>
          <w:color w:val="000000"/>
        </w:rPr>
        <w:t xml:space="preserve">: Europe represents approximately 15–20 percent of Gong's addressable market. If EU regulators mandate local residency or if major European customers defect to compliant alternatives, this represents a potential $45–60 million ARR loss. This is not theoretical—it is an active vulnerability that competitors are exploiting in sales conversations.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iii_financials_market_position_gr_481f9f"/>
      <w:r>
        <w:rPr>
          <w:rFonts w:eastAsia="inter" w:cs="inter" w:ascii="inter" w:hAnsi="inter"/>
          <w:b/>
          <w:color w:val="000000"/>
          <w:sz w:val="24"/>
        </w:rPr>
        <w:t xml:space="preserve">III. FINANCIALS &amp; MARKET POSITION: GROWTH DECELERATION &amp; VALUATION COMPRESSION</w:t>
      </w:r>
      <w:bookmarkEnd w:id="40"/>
    </w:p>
    <w:p>
      <w:pPr>
        <w:spacing w:line="360" w:before="315" w:after="105" w:lineRule="auto"/>
        <w:ind w:left="-30"/>
        <w:jc w:val="left"/>
      </w:pPr>
      <w:bookmarkStart w:id="41" w:name="arr_trajectory_growth_rates"/>
      <w:r>
        <w:rPr>
          <w:rFonts w:eastAsia="inter" w:cs="inter" w:ascii="inter" w:hAnsi="inter"/>
          <w:b/>
          <w:color w:val="000000"/>
          <w:sz w:val="24"/>
        </w:rPr>
        <w:t xml:space="preserve">ARR Trajectory &amp; Growth Rates</w:t>
      </w:r>
      <w:bookmarkEnd w:id="41"/>
    </w:p>
    <w:p>
      <w:pPr>
        <w:spacing w:line="360" w:after="210" w:lineRule="auto"/>
      </w:pPr>
      <w:r>
        <w:rPr>
          <w:rFonts w:eastAsia="inter" w:cs="inter" w:ascii="inter" w:hAnsi="inter"/>
          <w:color w:val="000000"/>
        </w:rPr>
        <w:t xml:space="preserve">Gong's financial trajectory reveals a company transitioning from high-growth startup to mature enterprise SaaS:</w:t>
      </w:r>
      <w:bookmarkStart w:id="42" w:name="fnref28"/>
      <w:bookmarkEnd w:id="42"/>
      <w:hyperlink w:anchor="fn28">
        <w:r>
          <w:rPr>
            <w:rFonts w:eastAsia="inter" w:cs="inter" w:ascii="inter" w:hAnsi="inter"/>
            <w:color w:val="#000"/>
            <w:u w:val="single"/>
            <w:vertAlign w:val="superscript"/>
          </w:rPr>
          <w:t xml:space="preserve">[28]</w:t>
        </w:r>
      </w:hyperlink>
      <w:bookmarkStart w:id="43" w:name="fnref29"/>
      <w:bookmarkEnd w:id="43"/>
      <w:hyperlink w:anchor="fn29">
        <w:r>
          <w:rPr>
            <w:rFonts w:eastAsia="inter" w:cs="inter" w:ascii="inter" w:hAnsi="inter"/>
            <w:color w:val="#000"/>
            <w:u w:val="single"/>
            <w:vertAlign w:val="superscript"/>
          </w:rPr>
          <w:t xml:space="preserve">[29]</w:t>
        </w:r>
      </w:hyperlink>
      <w:bookmarkStart w:id="44" w:name="fnref30"/>
      <w:bookmarkEnd w:id="44"/>
      <w:hyperlink w:anchor="fn30">
        <w:r>
          <w:rPr>
            <w:rFonts w:eastAsia="inter" w:cs="inter" w:ascii="inter" w:hAnsi="inter"/>
            <w:color w:val="#000"/>
            <w:u w:val="single"/>
            <w:vertAlign w:val="superscript"/>
          </w:rPr>
          <w:t xml:space="preserve">[30]</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$135M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$298M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+122% (2021–2025)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YoY Growth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 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$7.25B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$7.5B (est.)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$4.5B</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Multiple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53.7x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25.1x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Growing</w:t>
            </w:r>
          </w:p>
        </w:tc>
      </w:tr>
    </w:tbl>
    <w:p>
      <w:pPr>
        <w:spacing w:lineRule="auto"/>
      </w:pPr>
    </w:p>
    <w:p>
      <w:pPr>
        <w:spacing w:line="360" w:after="210" w:lineRule="auto"/>
      </w:pPr>
      <w:r>
        <w:rPr>
          <w:rFonts w:eastAsia="inter" w:cs="inter" w:ascii="inter" w:hAnsi="inter"/>
          <w:color w:val="000000"/>
        </w:rPr>
        <w:t xml:space="preserve">The critical insight: </w:t>
      </w:r>
      <w:r>
        <w:rPr>
          <w:rFonts w:eastAsia="inter" w:cs="inter" w:ascii="inter" w:hAnsi="inter"/>
          <w:b/>
          <w:color w:val="000000"/>
        </w:rPr>
        <w:t xml:space="preserve">ARR growth remains solid (27% YoY), yet valuation has collapsed.</w:t>
      </w:r>
      <w:r>
        <w:rPr>
          <w:rFonts w:eastAsia="inter" w:cs="inter" w:ascii="inter" w:hAnsi="inter"/>
          <w:color w:val="000000"/>
        </w:rPr>
        <w:t xml:space="preserve"> This disconnect reveals investor concerns about profitability, TAM saturation, and execution risk—not revenue quality.</w:t>
      </w:r>
    </w:p>
    <w:p>
      <w:pPr>
        <w:spacing w:line="360" w:after="210" w:lineRule="auto"/>
      </w:pPr>
      <w:r>
        <w:rPr>
          <w:rFonts w:eastAsia="inter" w:cs="inter" w:ascii="inter" w:hAnsi="inter"/>
          <w:color w:val="000000"/>
        </w:rPr>
        <w:t xml:space="preserve">CEO Amit Bendov disclosed that Gong is "nearly profitable" and has "most of the $583 million raised" still in reserves. This is healthy for a SaaS company, yet the repricing suggests investors no longer believe in a 53x revenue multiple (2021 valuation assumption) or even a 25x multiple (2024). The secondary round at $4.5 billion implies investors see Gong as a </w:t>
      </w:r>
      <w:r>
        <w:rPr>
          <w:rFonts w:eastAsia="inter" w:cs="inter" w:ascii="inter" w:hAnsi="inter"/>
          <w:b/>
          <w:color w:val="000000"/>
        </w:rPr>
        <w:t xml:space="preserve">15–18x revenue company at $300M ARR</w:t>
      </w:r>
      <w:r>
        <w:rPr>
          <w:rFonts w:eastAsia="inter" w:cs="inter" w:ascii="inter" w:hAnsi="inter"/>
          <w:color w:val="000000"/>
        </w:rPr>
        <w:t xml:space="preserve">—solidly enterprise SaaS valuation territory, but not venture-scale returns.</w:t>
      </w:r>
      <w:bookmarkStart w:id="45" w:name="fnref31"/>
      <w:bookmarkEnd w:id="45"/>
      <w:hyperlink w:anchor="fn31">
        <w:r>
          <w:rPr>
            <w:rFonts w:eastAsia="inter" w:cs="inter" w:ascii="inter" w:hAnsi="inter"/>
            <w:color w:val="#000"/>
            <w:u w:val="single"/>
            <w:vertAlign w:val="superscript"/>
          </w:rPr>
          <w:t xml:space="preserve">[31]</w:t>
        </w:r>
      </w:hyperlink>
    </w:p>
    <w:p>
      <w:pPr>
        <w:spacing w:line="360" w:before="315" w:after="105" w:lineRule="auto"/>
        <w:ind w:left="-30"/>
        <w:jc w:val="left"/>
      </w:pPr>
      <w:bookmarkStart w:id="46" w:name="market_share_competitive_dominance"/>
      <w:r>
        <w:rPr>
          <w:rFonts w:eastAsia="inter" w:cs="inter" w:ascii="inter" w:hAnsi="inter"/>
          <w:b/>
          <w:color w:val="000000"/>
          <w:sz w:val="24"/>
        </w:rPr>
        <w:t xml:space="preserve">Market Share &amp; Competitive Dominance</w:t>
      </w:r>
      <w:bookmarkEnd w:id="46"/>
    </w:p>
    <w:p>
      <w:pPr>
        <w:spacing w:line="360" w:after="210" w:lineRule="auto"/>
      </w:pPr>
      <w:r>
        <w:rPr>
          <w:rFonts w:eastAsia="inter" w:cs="inter" w:ascii="inter" w:hAnsi="inter"/>
          <w:color w:val="000000"/>
        </w:rPr>
        <w:t xml:space="preserve">Gong commands the highest market share in revenue intelligence, but market share concentration is masking sector fragmentation:</w:t>
      </w:r>
    </w:p>
    <w:p>
      <w:pPr>
        <w:numPr>
          <w:ilvl w:val="0"/>
          <w:numId w:val="7"/>
        </w:numPr>
        <w:spacing w:line="360" w:before="105" w:after="105" w:lineRule="auto"/>
      </w:pPr>
      <w:r>
        <w:rPr>
          <w:rFonts w:eastAsia="inter" w:cs="inter" w:ascii="inter" w:hAnsi="inter"/>
          <w:b/>
          <w:color w:val="000000"/>
          <w:sz w:val="21"/>
        </w:rPr>
        <w:t xml:space="preserve">Gong</w:t>
      </w:r>
      <w:r>
        <w:rPr>
          <w:rFonts w:eastAsia="inter" w:cs="inter" w:ascii="inter" w:hAnsi="inter"/>
          <w:color w:val="000000"/>
          <w:sz w:val="21"/>
        </w:rPr>
        <w:t xml:space="preserve">: Revenue intelligence + orchestration (leader)</w:t>
      </w:r>
    </w:p>
    <w:p>
      <w:pPr>
        <w:numPr>
          <w:ilvl w:val="0"/>
          <w:numId w:val="7"/>
        </w:numPr>
        <w:spacing w:line="360" w:before="105" w:after="105" w:lineRule="auto"/>
      </w:pPr>
      <w:r>
        <w:rPr>
          <w:rFonts w:eastAsia="inter" w:cs="inter" w:ascii="inter" w:hAnsi="inter"/>
          <w:b/>
          <w:color w:val="000000"/>
          <w:sz w:val="21"/>
        </w:rPr>
        <w:t xml:space="preserve">Chorus</w:t>
      </w:r>
      <w:r>
        <w:rPr>
          <w:rFonts w:eastAsia="inter" w:cs="inter" w:ascii="inter" w:hAnsi="inter"/>
          <w:color w:val="000000"/>
          <w:sz w:val="21"/>
        </w:rPr>
        <w:t xml:space="preserve"> (ZoomInfo): Cheaper alternative, weaker AI, strong ZoomInfo integration (50-60% price advantage)</w:t>
      </w:r>
    </w:p>
    <w:p>
      <w:pPr>
        <w:numPr>
          <w:ilvl w:val="0"/>
          <w:numId w:val="7"/>
        </w:numPr>
        <w:spacing w:line="360" w:before="105" w:after="105" w:lineRule="auto"/>
      </w:pPr>
      <w:r>
        <w:rPr>
          <w:rFonts w:eastAsia="inter" w:cs="inter" w:ascii="inter" w:hAnsi="inter"/>
          <w:b/>
          <w:color w:val="000000"/>
          <w:sz w:val="21"/>
        </w:rPr>
        <w:t xml:space="preserve">Salesloft</w:t>
      </w:r>
      <w:r>
        <w:rPr>
          <w:rFonts w:eastAsia="inter" w:cs="inter" w:ascii="inter" w:hAnsi="inter"/>
          <w:color w:val="000000"/>
          <w:sz w:val="21"/>
        </w:rPr>
        <w:t xml:space="preserve">: Sales engagement focus (outreach automation), secondary revenue intelligence</w:t>
      </w:r>
    </w:p>
    <w:p>
      <w:pPr>
        <w:numPr>
          <w:ilvl w:val="0"/>
          <w:numId w:val="7"/>
        </w:numPr>
        <w:spacing w:line="360" w:before="105" w:after="105" w:lineRule="auto"/>
      </w:pPr>
      <w:r>
        <w:rPr>
          <w:rFonts w:eastAsia="inter" w:cs="inter" w:ascii="inter" w:hAnsi="inter"/>
          <w:b/>
          <w:color w:val="000000"/>
          <w:sz w:val="21"/>
        </w:rPr>
      </w:r>
      <w:hyperlink r:id="rId15">
        <w:r>
          <w:rPr>
            <w:rFonts w:eastAsia="inter" w:cs="inter" w:ascii="inter" w:hAnsi="inter"/>
            <w:b/>
            <w:color w:val="#000"/>
            <w:sz w:val="21"/>
            <w:u w:val="single"/>
          </w:rPr>
          <w:t xml:space="preserve">Revenue.io</w:t>
        </w:r>
      </w:hyperlink>
      <w:r>
        <w:rPr>
          <w:rFonts w:eastAsia="inter" w:cs="inter" w:ascii="inter" w:hAnsi="inter"/>
          <w:color w:val="000000"/>
          <w:sz w:val="21"/>
        </w:rPr>
        <w:t xml:space="preserve">: Purpose-built competitor, smaller market presence</w:t>
      </w:r>
    </w:p>
    <w:p>
      <w:pPr>
        <w:numPr>
          <w:ilvl w:val="0"/>
          <w:numId w:val="7"/>
        </w:numPr>
        <w:spacing w:line="360" w:before="105" w:after="105" w:lineRule="auto"/>
      </w:pPr>
      <w:r>
        <w:rPr>
          <w:rFonts w:eastAsia="inter" w:cs="inter" w:ascii="inter" w:hAnsi="inter"/>
          <w:b/>
          <w:color w:val="000000"/>
          <w:sz w:val="21"/>
        </w:rPr>
        <w:t xml:space="preserve">Emerging challengers</w:t>
      </w:r>
      <w:r>
        <w:rPr>
          <w:rFonts w:eastAsia="inter" w:cs="inter" w:ascii="inter" w:hAnsi="inter"/>
          <w:color w:val="000000"/>
          <w:sz w:val="21"/>
        </w:rPr>
        <w:t xml:space="preserve">: Claap ($30/user/month), </w:t>
      </w:r>
      <w:hyperlink r:id="rId16">
        <w:r>
          <w:rPr>
            <w:rFonts w:eastAsia="inter" w:cs="inter" w:ascii="inter" w:hAnsi="inter"/>
            <w:color w:val="#000"/>
            <w:sz w:val="21"/>
            <w:u w:val="single"/>
          </w:rPr>
          <w:t xml:space="preserve">Fireflies.ai</w:t>
        </w:r>
      </w:hyperlink>
      <w:r>
        <w:rPr>
          <w:rFonts w:eastAsia="inter" w:cs="inter" w:ascii="inter" w:hAnsi="inter"/>
          <w:color w:val="000000"/>
          <w:sz w:val="21"/>
        </w:rPr>
        <w:t xml:space="preserve">, tl;dv (exploiting implementation complexity and price)</w:t>
      </w:r>
    </w:p>
    <w:p>
      <w:pPr>
        <w:spacing w:line="360" w:after="210" w:lineRule="auto"/>
      </w:pPr>
      <w:r>
        <w:rPr>
          <w:rFonts w:eastAsia="inter" w:cs="inter" w:ascii="inter" w:hAnsi="inter"/>
          <w:b/>
          <w:color w:val="000000"/>
        </w:rPr>
        <w:t xml:space="preserve">Market share by segment</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b/>
          <w:color w:val="000000"/>
          <w:sz w:val="21"/>
        </w:rPr>
        <w:t xml:space="preserve">Enterprise (&gt;$1B revenue)</w:t>
      </w:r>
      <w:r>
        <w:rPr>
          <w:rFonts w:eastAsia="inter" w:cs="inter" w:ascii="inter" w:hAnsi="inter"/>
          <w:color w:val="000000"/>
          <w:sz w:val="21"/>
        </w:rPr>
        <w:t xml:space="preserve">: Gong ~40–50% market share</w:t>
      </w:r>
    </w:p>
    <w:p>
      <w:pPr>
        <w:numPr>
          <w:ilvl w:val="0"/>
          <w:numId w:val="8"/>
        </w:numPr>
        <w:spacing w:line="360" w:before="105" w:after="105" w:lineRule="auto"/>
      </w:pPr>
      <w:r>
        <w:rPr>
          <w:rFonts w:eastAsia="inter" w:cs="inter" w:ascii="inter" w:hAnsi="inter"/>
          <w:b/>
          <w:color w:val="000000"/>
          <w:sz w:val="21"/>
        </w:rPr>
        <w:t xml:space="preserve">Mid-market ($100–500M)</w:t>
      </w:r>
      <w:r>
        <w:rPr>
          <w:rFonts w:eastAsia="inter" w:cs="inter" w:ascii="inter" w:hAnsi="inter"/>
          <w:color w:val="000000"/>
          <w:sz w:val="21"/>
        </w:rPr>
        <w:t xml:space="preserve">: Gong ~25–35%, Chorus gaining</w:t>
      </w:r>
    </w:p>
    <w:p>
      <w:pPr>
        <w:numPr>
          <w:ilvl w:val="0"/>
          <w:numId w:val="8"/>
        </w:numPr>
        <w:spacing w:line="360" w:before="105" w:after="105" w:lineRule="auto"/>
      </w:pPr>
      <w:r>
        <w:rPr>
          <w:rFonts w:eastAsia="inter" w:cs="inter" w:ascii="inter" w:hAnsi="inter"/>
          <w:b/>
          <w:color w:val="000000"/>
          <w:sz w:val="21"/>
        </w:rPr>
        <w:t xml:space="preserve">SMB (&lt;$100M)</w:t>
      </w:r>
      <w:r>
        <w:rPr>
          <w:rFonts w:eastAsia="inter" w:cs="inter" w:ascii="inter" w:hAnsi="inter"/>
          <w:color w:val="000000"/>
          <w:sz w:val="21"/>
        </w:rPr>
        <w:t xml:space="preserve">: Gong &lt;10%, Claap/Fireflies dominant</w:t>
      </w:r>
    </w:p>
    <w:p>
      <w:pPr>
        <w:spacing w:line="360" w:after="210" w:lineRule="auto"/>
      </w:pPr>
      <w:r>
        <w:rPr>
          <w:rFonts w:eastAsia="inter" w:cs="inter" w:ascii="inter" w:hAnsi="inter"/>
          <w:color w:val="000000"/>
        </w:rPr>
        <w:t xml:space="preserve">This distribution reveals Gong's vulnerability: dominance at the high end masks mid-market exposure where price-sensitive buyers and implementation concerns favor emerging competitors.</w:t>
      </w:r>
    </w:p>
    <w:p>
      <w:pPr>
        <w:spacing w:line="360" w:before="315" w:after="105" w:lineRule="auto"/>
        <w:ind w:left="-30"/>
        <w:jc w:val="left"/>
      </w:pPr>
      <w:bookmarkStart w:id="47" w:name="tam_growth_ceiling_the_ai_adoptio_f1a5b6"/>
      <w:r>
        <w:rPr>
          <w:rFonts w:eastAsia="inter" w:cs="inter" w:ascii="inter" w:hAnsi="inter"/>
          <w:b/>
          <w:color w:val="000000"/>
          <w:sz w:val="24"/>
        </w:rPr>
        <w:t xml:space="preserve">TAM Growth Ceiling: The AI Adoption Plateau</w:t>
      </w:r>
      <w:bookmarkEnd w:id="47"/>
    </w:p>
    <w:p>
      <w:pPr>
        <w:spacing w:line="360" w:after="210" w:lineRule="auto"/>
      </w:pPr>
      <w:r>
        <w:rPr>
          <w:rFonts w:eastAsia="inter" w:cs="inter" w:ascii="inter" w:hAnsi="inter"/>
          <w:color w:val="000000"/>
        </w:rPr>
        <w:t xml:space="preserve">The most significant finding from Gong's own State of Revenue AI 2026 report: </w:t>
      </w:r>
      <w:r>
        <w:rPr>
          <w:rFonts w:eastAsia="inter" w:cs="inter" w:ascii="inter" w:hAnsi="inter"/>
          <w:b/>
          <w:color w:val="000000"/>
        </w:rPr>
        <w:t xml:space="preserve">AI adoption has nearly saturated the addressable market.</w:t>
      </w:r>
      <w:bookmarkStart w:id="48" w:name="fnref32"/>
      <w:bookmarkEnd w:id="48"/>
      <w:hyperlink w:anchor="fn32">
        <w:r>
          <w:rPr>
            <w:rFonts w:eastAsia="inter" w:cs="inter" w:ascii="inter" w:hAnsi="inter"/>
            <w:color w:val="#000"/>
            <w:u w:val="single"/>
            <w:vertAlign w:val="superscript"/>
          </w:rPr>
          <w:t xml:space="preserve">[32]</w:t>
        </w:r>
      </w:hyperlink>
    </w:p>
    <w:p>
      <w:pPr>
        <w:numPr>
          <w:ilvl w:val="0"/>
          <w:numId w:val="9"/>
        </w:numPr>
        <w:spacing w:line="360" w:before="105" w:after="105" w:lineRule="auto"/>
      </w:pPr>
      <w:r>
        <w:rPr>
          <w:rFonts w:eastAsia="inter" w:cs="inter" w:ascii="inter" w:hAnsi="inter"/>
          <w:color w:val="000000"/>
          <w:sz w:val="21"/>
        </w:rPr>
        <w:t xml:space="preserve">96% of revenue leaders expect their teams to use AI by 2026</w:t>
      </w:r>
    </w:p>
    <w:p>
      <w:pPr>
        <w:numPr>
          <w:ilvl w:val="0"/>
          <w:numId w:val="9"/>
        </w:numPr>
        <w:spacing w:line="360" w:before="105" w:after="105" w:lineRule="auto"/>
      </w:pPr>
      <w:r>
        <w:rPr>
          <w:rFonts w:eastAsia="inter" w:cs="inter" w:ascii="inter" w:hAnsi="inter"/>
          <w:color w:val="000000"/>
          <w:sz w:val="21"/>
        </w:rPr>
        <w:t xml:space="preserve">87% of US organizations already use AI (up from 43% in 2024)</w:t>
      </w:r>
    </w:p>
    <w:p>
      <w:pPr>
        <w:numPr>
          <w:ilvl w:val="0"/>
          <w:numId w:val="9"/>
        </w:numPr>
        <w:spacing w:line="360" w:before="105" w:after="105" w:lineRule="auto"/>
      </w:pPr>
      <w:r>
        <w:rPr>
          <w:rFonts w:eastAsia="inter" w:cs="inter" w:ascii="inter" w:hAnsi="inter"/>
          <w:color w:val="000000"/>
          <w:sz w:val="21"/>
        </w:rPr>
        <w:t xml:space="preserve">Only 5% of AI deployments drive measurable commercial impact</w:t>
      </w:r>
    </w:p>
    <w:p>
      <w:pPr>
        <w:spacing w:line="360" w:after="210" w:lineRule="auto"/>
      </w:pPr>
      <w:r>
        <w:rPr>
          <w:rFonts w:eastAsia="inter" w:cs="inter" w:ascii="inter" w:hAnsi="inter"/>
          <w:b/>
          <w:color w:val="000000"/>
        </w:rPr>
        <w:t xml:space="preserve">Translation</w:t>
      </w:r>
      <w:r>
        <w:rPr>
          <w:rFonts w:eastAsia="inter" w:cs="inter" w:ascii="inter" w:hAnsi="inter"/>
          <w:color w:val="000000"/>
        </w:rPr>
        <w:t xml:space="preserve">: The TAM is no longer growing—it is consolidating. Gong can no longer rely on "new-to-AI" customers to drive growth. Future revenue must come from:</w:t>
      </w:r>
    </w:p>
    <w:p>
      <w:pPr>
        <w:numPr>
          <w:ilvl w:val="0"/>
          <w:numId w:val="10"/>
        </w:numPr>
        <w:spacing w:line="360" w:before="105" w:after="105" w:lineRule="auto"/>
      </w:pPr>
      <w:r>
        <w:rPr>
          <w:rFonts w:eastAsia="inter" w:cs="inter" w:ascii="inter" w:hAnsi="inter"/>
          <w:b/>
          <w:color w:val="000000"/>
          <w:sz w:val="21"/>
        </w:rPr>
        <w:t xml:space="preserve">Share of wallet</w:t>
      </w:r>
      <w:r>
        <w:rPr>
          <w:rFonts w:eastAsia="inter" w:cs="inter" w:ascii="inter" w:hAnsi="inter"/>
          <w:color w:val="000000"/>
          <w:sz w:val="21"/>
        </w:rPr>
        <w:t xml:space="preserve">: Competing for spend currently allocated to point solutions</w:t>
      </w:r>
    </w:p>
    <w:p>
      <w:pPr>
        <w:numPr>
          <w:ilvl w:val="0"/>
          <w:numId w:val="10"/>
        </w:numPr>
        <w:spacing w:line="360" w:before="105" w:after="105" w:lineRule="auto"/>
      </w:pPr>
      <w:r>
        <w:rPr>
          <w:rFonts w:eastAsia="inter" w:cs="inter" w:ascii="inter" w:hAnsi="inter"/>
          <w:b/>
          <w:color w:val="000000"/>
          <w:sz w:val="21"/>
        </w:rPr>
        <w:t xml:space="preserve">Seat expansion</w:t>
      </w:r>
      <w:r>
        <w:rPr>
          <w:rFonts w:eastAsia="inter" w:cs="inter" w:ascii="inter" w:hAnsi="inter"/>
          <w:color w:val="000000"/>
          <w:sz w:val="21"/>
        </w:rPr>
        <w:t xml:space="preserve">: Expanding usage from sales to RevOps, Customer Success, Marketing</w:t>
      </w:r>
    </w:p>
    <w:p>
      <w:pPr>
        <w:numPr>
          <w:ilvl w:val="0"/>
          <w:numId w:val="10"/>
        </w:numPr>
        <w:spacing w:line="360" w:before="105" w:after="105" w:lineRule="auto"/>
      </w:pPr>
      <w:r>
        <w:rPr>
          <w:rFonts w:eastAsia="inter" w:cs="inter" w:ascii="inter" w:hAnsi="inter"/>
          <w:b/>
          <w:color w:val="000000"/>
          <w:sz w:val="21"/>
        </w:rPr>
        <w:t xml:space="preserve">Account expansion</w:t>
      </w:r>
      <w:r>
        <w:rPr>
          <w:rFonts w:eastAsia="inter" w:cs="inter" w:ascii="inter" w:hAnsi="inter"/>
          <w:color w:val="000000"/>
          <w:sz w:val="21"/>
        </w:rPr>
        <w:t xml:space="preserve">: Increasing spend per customer through new products (Orchestrate, forecasting, etc.)</w:t>
      </w:r>
    </w:p>
    <w:p>
      <w:pPr>
        <w:numPr>
          <w:ilvl w:val="0"/>
          <w:numId w:val="10"/>
        </w:numPr>
        <w:spacing w:line="360" w:before="105" w:after="105" w:lineRule="auto"/>
      </w:pPr>
      <w:r>
        <w:rPr>
          <w:rFonts w:eastAsia="inter" w:cs="inter" w:ascii="inter" w:hAnsi="inter"/>
          <w:b/>
          <w:color w:val="000000"/>
          <w:sz w:val="21"/>
        </w:rPr>
        <w:t xml:space="preserve">Customer retention</w:t>
      </w:r>
      <w:r>
        <w:rPr>
          <w:rFonts w:eastAsia="inter" w:cs="inter" w:ascii="inter" w:hAnsi="inter"/>
          <w:color w:val="000000"/>
          <w:sz w:val="21"/>
        </w:rPr>
        <w:t xml:space="preserve">: Minimizing churn as customers evaluate alternatives</w:t>
      </w:r>
    </w:p>
    <w:p>
      <w:pPr>
        <w:spacing w:line="360" w:after="210" w:lineRule="auto"/>
      </w:pPr>
      <w:r>
        <w:rPr>
          <w:rFonts w:eastAsia="inter" w:cs="inter" w:ascii="inter" w:hAnsi="inter"/>
          <w:color w:val="000000"/>
        </w:rPr>
        <w:t xml:space="preserve">Growth strategies 1–3 are well-understood SaaS playbooks. Strategy 4 is the new risk factor—as the market matures, switching becomes easier. Gong must prove it is irreplaceable, not just the incumbent.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iv_expansion_beyond_sales_the_wra_705790"/>
      <w:r>
        <w:rPr>
          <w:rFonts w:eastAsia="inter" w:cs="inter" w:ascii="inter" w:hAnsi="inter"/>
          <w:b/>
          <w:color w:val="000000"/>
          <w:sz w:val="24"/>
        </w:rPr>
        <w:t xml:space="preserve">IV. EXPANSION BEYOND SALES: THE WRAPPER STRATEGY</w:t>
      </w:r>
      <w:bookmarkEnd w:id="49"/>
    </w:p>
    <w:p>
      <w:pPr>
        <w:spacing w:line="360" w:before="315" w:after="105" w:lineRule="auto"/>
        <w:ind w:left="-30"/>
        <w:jc w:val="left"/>
      </w:pPr>
      <w:bookmarkStart w:id="50" w:name="revenue_adjacent_functions_early_67b064"/>
      <w:r>
        <w:rPr>
          <w:rFonts w:eastAsia="inter" w:cs="inter" w:ascii="inter" w:hAnsi="inter"/>
          <w:b/>
          <w:color w:val="000000"/>
          <w:sz w:val="24"/>
        </w:rPr>
        <w:t xml:space="preserve">Revenue-Adjacent Functions: Early Traction</w:t>
      </w:r>
      <w:bookmarkEnd w:id="50"/>
    </w:p>
    <w:p>
      <w:pPr>
        <w:spacing w:line="360" w:after="210" w:lineRule="auto"/>
      </w:pPr>
      <w:r>
        <w:rPr>
          <w:rFonts w:eastAsia="inter" w:cs="inter" w:ascii="inter" w:hAnsi="inter"/>
          <w:color w:val="000000"/>
        </w:rPr>
        <w:t xml:space="preserve">Gong is methodically expanding beyond sales to adjacent revenue functions, recognizing that the title "Revenue AI" cannot be achieved with sales-only adoption. Evidence of this expansion:</w:t>
      </w:r>
      <w:bookmarkStart w:id="51" w:name="fnref33"/>
      <w:bookmarkEnd w:id="51"/>
      <w:hyperlink w:anchor="fn33">
        <w:r>
          <w:rPr>
            <w:rFonts w:eastAsia="inter" w:cs="inter" w:ascii="inter" w:hAnsi="inter"/>
            <w:color w:val="#000"/>
            <w:u w:val="single"/>
            <w:vertAlign w:val="superscript"/>
          </w:rPr>
          <w:t xml:space="preserve">[33]</w:t>
        </w:r>
      </w:hyperlink>
      <w:bookmarkStart w:id="52" w:name="fnref34"/>
      <w:bookmarkEnd w:id="52"/>
      <w:hyperlink w:anchor="fn34">
        <w:r>
          <w:rPr>
            <w:rFonts w:eastAsia="inter" w:cs="inter" w:ascii="inter" w:hAnsi="inter"/>
            <w:color w:val="#000"/>
            <w:u w:val="single"/>
            <w:vertAlign w:val="superscript"/>
          </w:rPr>
          <w:t xml:space="preserve">[34]</w:t>
        </w:r>
      </w:hyperlink>
      <w:bookmarkStart w:id="53" w:name="fnref35"/>
      <w:bookmarkEnd w:id="53"/>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Customer Success</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color w:val="000000"/>
          <w:sz w:val="21"/>
        </w:rPr>
        <w:t xml:space="preserve">Churn prediction models based on conversation patterns</w:t>
      </w:r>
    </w:p>
    <w:p>
      <w:pPr>
        <w:numPr>
          <w:ilvl w:val="0"/>
          <w:numId w:val="11"/>
        </w:numPr>
        <w:spacing w:line="360" w:before="105" w:after="105" w:lineRule="auto"/>
      </w:pPr>
      <w:r>
        <w:rPr>
          <w:rFonts w:eastAsia="inter" w:cs="inter" w:ascii="inter" w:hAnsi="inter"/>
          <w:color w:val="000000"/>
          <w:sz w:val="21"/>
        </w:rPr>
        <w:t xml:space="preserve">Account health scoring for early intervention</w:t>
      </w:r>
    </w:p>
    <w:p>
      <w:pPr>
        <w:numPr>
          <w:ilvl w:val="0"/>
          <w:numId w:val="11"/>
        </w:numPr>
        <w:spacing w:line="360" w:before="105" w:after="105" w:lineRule="auto"/>
      </w:pPr>
      <w:r>
        <w:rPr>
          <w:rFonts w:eastAsia="inter" w:cs="inter" w:ascii="inter" w:hAnsi="inter"/>
          <w:color w:val="000000"/>
          <w:sz w:val="21"/>
        </w:rPr>
        <w:t xml:space="preserve">Retention and expansion opportunity orchestration</w:t>
      </w:r>
    </w:p>
    <w:p>
      <w:pPr>
        <w:numPr>
          <w:ilvl w:val="0"/>
          <w:numId w:val="11"/>
        </w:numPr>
        <w:spacing w:line="360" w:before="105" w:after="105" w:lineRule="auto"/>
      </w:pPr>
      <w:r>
        <w:rPr>
          <w:rFonts w:eastAsia="inter" w:cs="inter" w:ascii="inter" w:hAnsi="inter"/>
          <w:color w:val="000000"/>
          <w:sz w:val="21"/>
        </w:rPr>
        <w:t xml:space="preserve">Real customer wins: Canva reported 60% boost in rep capacity and 6% revenue growth</w:t>
      </w:r>
    </w:p>
    <w:p>
      <w:pPr>
        <w:spacing w:line="360" w:after="210" w:lineRule="auto"/>
      </w:pPr>
      <w:r>
        <w:rPr>
          <w:rFonts w:eastAsia="inter" w:cs="inter" w:ascii="inter" w:hAnsi="inter"/>
          <w:b/>
          <w:color w:val="000000"/>
        </w:rPr>
        <w:t xml:space="preserve">Revenue Operations</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Pipeline visibility and deal health monitoring</w:t>
      </w:r>
    </w:p>
    <w:p>
      <w:pPr>
        <w:numPr>
          <w:ilvl w:val="0"/>
          <w:numId w:val="12"/>
        </w:numPr>
        <w:spacing w:line="360" w:before="105" w:after="105" w:lineRule="auto"/>
      </w:pPr>
      <w:r>
        <w:rPr>
          <w:rFonts w:eastAsia="inter" w:cs="inter" w:ascii="inter" w:hAnsi="inter"/>
          <w:color w:val="000000"/>
          <w:sz w:val="21"/>
        </w:rPr>
        <w:t xml:space="preserve">Forecast accuracy improvements</w:t>
      </w:r>
    </w:p>
    <w:p>
      <w:pPr>
        <w:numPr>
          <w:ilvl w:val="0"/>
          <w:numId w:val="12"/>
        </w:numPr>
        <w:spacing w:line="360" w:before="105" w:after="105" w:lineRule="auto"/>
      </w:pPr>
      <w:r>
        <w:rPr>
          <w:rFonts w:eastAsia="inter" w:cs="inter" w:ascii="inter" w:hAnsi="inter"/>
          <w:color w:val="000000"/>
          <w:sz w:val="21"/>
        </w:rPr>
        <w:t xml:space="preserve">Coaching and rep development tracking</w:t>
      </w:r>
    </w:p>
    <w:p>
      <w:pPr>
        <w:spacing w:line="360" w:after="210" w:lineRule="auto"/>
      </w:pPr>
      <w:r>
        <w:rPr>
          <w:rFonts w:eastAsia="inter" w:cs="inter" w:ascii="inter" w:hAnsi="inter"/>
          <w:b/>
          <w:color w:val="000000"/>
        </w:rPr>
        <w:t xml:space="preserve">Sales Enablement</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color w:val="000000"/>
          <w:sz w:val="21"/>
        </w:rPr>
        <w:t xml:space="preserve">Content libraries organized by deal stage, objection, industry</w:t>
      </w:r>
    </w:p>
    <w:p>
      <w:pPr>
        <w:numPr>
          <w:ilvl w:val="0"/>
          <w:numId w:val="13"/>
        </w:numPr>
        <w:spacing w:line="360" w:before="105" w:after="105" w:lineRule="auto"/>
      </w:pPr>
      <w:r>
        <w:rPr>
          <w:rFonts w:eastAsia="inter" w:cs="inter" w:ascii="inter" w:hAnsi="inter"/>
          <w:color w:val="000000"/>
          <w:sz w:val="21"/>
        </w:rPr>
        <w:t xml:space="preserve">Coaching scorecards for training programs</w:t>
      </w:r>
    </w:p>
    <w:p>
      <w:pPr>
        <w:numPr>
          <w:ilvl w:val="0"/>
          <w:numId w:val="13"/>
        </w:numPr>
        <w:spacing w:line="360" w:before="105" w:after="105" w:lineRule="auto"/>
      </w:pPr>
      <w:r>
        <w:rPr>
          <w:rFonts w:eastAsia="inter" w:cs="inter" w:ascii="inter" w:hAnsi="inter"/>
          <w:color w:val="000000"/>
          <w:sz w:val="21"/>
        </w:rPr>
        <w:t xml:space="preserve">Scenario-based learning using real calls</w:t>
      </w:r>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Expansion is happening </w:t>
      </w:r>
      <w:r>
        <w:rPr>
          <w:rFonts w:eastAsia="inter" w:cs="inter" w:ascii="inter" w:hAnsi="inter"/>
          <w:i/>
          <w:color w:val="000000"/>
        </w:rPr>
        <w:t xml:space="preserve">within existing customer accounts</w:t>
      </w:r>
      <w:r>
        <w:rPr>
          <w:rFonts w:eastAsia="inter" w:cs="inter" w:ascii="inter" w:hAnsi="inter"/>
          <w:color w:val="000000"/>
        </w:rPr>
        <w:t xml:space="preserve"> (1 in 4 Gong customers now use multiple products), not through greenfield customer acquisition. This is healthy for retention and land-and-expand economics, but it does not materially expand the TAM. If 4,500 customers each have 1 or 1.25 product instances instead of 1, ARR grows ~20%, not the 50%+ growth needed at Gong's current valuation.</w:t>
      </w:r>
    </w:p>
    <w:p>
      <w:pPr>
        <w:spacing w:line="360" w:before="315" w:after="105" w:lineRule="auto"/>
        <w:ind w:left="-30"/>
        <w:jc w:val="left"/>
      </w:pPr>
      <w:bookmarkStart w:id="54" w:name="mobile_product_marketing_the_unfi_671069"/>
      <w:r>
        <w:rPr>
          <w:rFonts w:eastAsia="inter" w:cs="inter" w:ascii="inter" w:hAnsi="inter"/>
          <w:b/>
          <w:color w:val="000000"/>
          <w:sz w:val="24"/>
        </w:rPr>
        <w:t xml:space="preserve">Mobile, Product, Marketing: The Unfinished Expansion</w:t>
      </w:r>
      <w:bookmarkEnd w:id="54"/>
    </w:p>
    <w:p>
      <w:pPr>
        <w:spacing w:line="360" w:after="210" w:lineRule="auto"/>
      </w:pPr>
      <w:r>
        <w:rPr>
          <w:rFonts w:eastAsia="inter" w:cs="inter" w:ascii="inter" w:hAnsi="inter"/>
          <w:color w:val="000000"/>
        </w:rPr>
        <w:t xml:space="preserve">Gong's expansion outside revenue operations remains underdeveloped:</w:t>
      </w:r>
    </w:p>
    <w:p>
      <w:pPr>
        <w:numPr>
          <w:ilvl w:val="0"/>
          <w:numId w:val="14"/>
        </w:numPr>
        <w:spacing w:line="360" w:before="105" w:after="105" w:lineRule="auto"/>
      </w:pPr>
      <w:r>
        <w:rPr>
          <w:rFonts w:eastAsia="inter" w:cs="inter" w:ascii="inter" w:hAnsi="inter"/>
          <w:b/>
          <w:color w:val="000000"/>
          <w:sz w:val="21"/>
        </w:rPr>
        <w:t xml:space="preserve">Mobile</w:t>
      </w:r>
      <w:r>
        <w:rPr>
          <w:rFonts w:eastAsia="inter" w:cs="inter" w:ascii="inter" w:hAnsi="inter"/>
          <w:color w:val="000000"/>
          <w:sz w:val="21"/>
        </w:rPr>
        <w:t xml:space="preserve">: No AI-native mobile app; product remains web/desktop-centric</w:t>
      </w:r>
    </w:p>
    <w:p>
      <w:pPr>
        <w:numPr>
          <w:ilvl w:val="0"/>
          <w:numId w:val="14"/>
        </w:numPr>
        <w:spacing w:line="360" w:before="105" w:after="105" w:lineRule="auto"/>
      </w:pPr>
      <w:r>
        <w:rPr>
          <w:rFonts w:eastAsia="inter" w:cs="inter" w:ascii="inter" w:hAnsi="inter"/>
          <w:b/>
          <w:color w:val="000000"/>
          <w:sz w:val="21"/>
        </w:rPr>
        <w:t xml:space="preserve">Product teams</w:t>
      </w:r>
      <w:r>
        <w:rPr>
          <w:rFonts w:eastAsia="inter" w:cs="inter" w:ascii="inter" w:hAnsi="inter"/>
          <w:color w:val="000000"/>
          <w:sz w:val="21"/>
        </w:rPr>
        <w:t xml:space="preserve">: Minimal integration for product usage analytics or feature adoption</w:t>
      </w:r>
    </w:p>
    <w:p>
      <w:pPr>
        <w:numPr>
          <w:ilvl w:val="0"/>
          <w:numId w:val="14"/>
        </w:numPr>
        <w:spacing w:line="360" w:before="105" w:after="105" w:lineRule="auto"/>
      </w:pPr>
      <w:r>
        <w:rPr>
          <w:rFonts w:eastAsia="inter" w:cs="inter" w:ascii="inter" w:hAnsi="inter"/>
          <w:b/>
          <w:color w:val="000000"/>
          <w:sz w:val="21"/>
        </w:rPr>
        <w:t xml:space="preserve">Marketing</w:t>
      </w:r>
      <w:r>
        <w:rPr>
          <w:rFonts w:eastAsia="inter" w:cs="inter" w:ascii="inter" w:hAnsi="inter"/>
          <w:color w:val="000000"/>
          <w:sz w:val="21"/>
        </w:rPr>
        <w:t xml:space="preserve">: Limited evidence of marketing-specific use cases (content performance, messaging testing)</w:t>
      </w:r>
    </w:p>
    <w:p>
      <w:pPr>
        <w:numPr>
          <w:ilvl w:val="0"/>
          <w:numId w:val="14"/>
        </w:numPr>
        <w:spacing w:line="360" w:before="105" w:after="105" w:lineRule="auto"/>
      </w:pPr>
      <w:r>
        <w:rPr>
          <w:rFonts w:eastAsia="inter" w:cs="inter" w:ascii="inter" w:hAnsi="inter"/>
          <w:b/>
          <w:color w:val="000000"/>
          <w:sz w:val="21"/>
        </w:rPr>
        <w:t xml:space="preserve">Finance</w:t>
      </w:r>
      <w:r>
        <w:rPr>
          <w:rFonts w:eastAsia="inter" w:cs="inter" w:ascii="inter" w:hAnsi="inter"/>
          <w:color w:val="000000"/>
          <w:sz w:val="21"/>
        </w:rPr>
        <w:t xml:space="preserve">: No treasury/forecasting integration</w:t>
      </w:r>
    </w:p>
    <w:p>
      <w:pPr>
        <w:spacing w:line="360" w:after="210" w:lineRule="auto"/>
      </w:pPr>
      <w:r>
        <w:rPr>
          <w:rFonts w:eastAsia="inter" w:cs="inter" w:ascii="inter" w:hAnsi="inter"/>
          <w:b/>
          <w:color w:val="000000"/>
        </w:rPr>
        <w:t xml:space="preserve">Strategic implication</w:t>
      </w:r>
      <w:r>
        <w:rPr>
          <w:rFonts w:eastAsia="inter" w:cs="inter" w:ascii="inter" w:hAnsi="inter"/>
          <w:color w:val="000000"/>
        </w:rPr>
        <w:t xml:space="preserve">: As non-sales personas increasingly expect AI-native, chat-based interfaces (reflecting ChatGPT/Claude UX expectations), Gong's dashboard-heavy, web-first architecture limits its ability to capture these segments. Emerging competitors like Claap, built cloud-native with modern UX, may outpace Gong in non-sales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v_vulnerabilities_the_three_front_attack"/>
      <w:r>
        <w:rPr>
          <w:rFonts w:eastAsia="inter" w:cs="inter" w:ascii="inter" w:hAnsi="inter"/>
          <w:b/>
          <w:color w:val="000000"/>
          <w:sz w:val="24"/>
        </w:rPr>
        <w:t xml:space="preserve">V. VULNERABILITIES: THE THREE-FRONT ATTACK</w:t>
      </w:r>
      <w:bookmarkEnd w:id="55"/>
    </w:p>
    <w:p>
      <w:pPr>
        <w:spacing w:line="360" w:before="315" w:after="105" w:lineRule="auto"/>
        <w:ind w:left="-30"/>
        <w:jc w:val="left"/>
      </w:pPr>
      <w:bookmarkStart w:id="56" w:name="vulnerability_1_data_sovereignty_e918d0"/>
      <w:r>
        <w:rPr>
          <w:rFonts w:eastAsia="inter" w:cs="inter" w:ascii="inter" w:hAnsi="inter"/>
          <w:b/>
          <w:color w:val="000000"/>
          <w:sz w:val="24"/>
        </w:rPr>
        <w:t xml:space="preserve">Vulnerability #1: Data Sovereignty (US-Only Storage) – CRITICAL</w:t>
      </w:r>
      <w:bookmarkEnd w:id="56"/>
    </w:p>
    <w:p>
      <w:pPr>
        <w:spacing w:line="360" w:after="210" w:lineRule="auto"/>
      </w:pPr>
      <w:r>
        <w:rPr>
          <w:rFonts w:eastAsia="inter" w:cs="inter" w:ascii="inter" w:hAnsi="inter"/>
          <w:b/>
          <w:color w:val="000000"/>
        </w:rPr>
        <w:t xml:space="preserve">The Issue</w:t>
      </w:r>
      <w:r>
        <w:rPr>
          <w:rFonts w:eastAsia="inter" w:cs="inter" w:ascii="inter" w:hAnsi="inter"/>
          <w:color w:val="000000"/>
        </w:rPr>
        <w:t xml:space="preserve">: Gong's architecture stores all customer data—including sensitive sales conversations, competitive intelligence, and strategic account plans—exclusively in US data centers. While this complies with current regulations via the EU-U.S. DPF certification, it creates three distinct risks:</w:t>
      </w:r>
      <w:bookmarkStart w:id="57" w:name="fnref36"/>
      <w:bookmarkEnd w:id="57"/>
      <w:hyperlink w:anchor="fn36">
        <w:r>
          <w:rPr>
            <w:rFonts w:eastAsia="inter" w:cs="inter" w:ascii="inter" w:hAnsi="inter"/>
            <w:color w:val="#000"/>
            <w:u w:val="single"/>
            <w:vertAlign w:val="superscript"/>
          </w:rPr>
          <w:t xml:space="preserve">[36]</w:t>
        </w:r>
      </w:hyperlink>
    </w:p>
    <w:p>
      <w:pPr>
        <w:numPr>
          <w:ilvl w:val="0"/>
          <w:numId w:val="15"/>
        </w:numPr>
        <w:spacing w:line="360" w:before="105" w:after="105" w:lineRule="auto"/>
      </w:pPr>
      <w:r>
        <w:rPr>
          <w:rFonts w:eastAsia="inter" w:cs="inter" w:ascii="inter" w:hAnsi="inter"/>
          <w:b/>
          <w:color w:val="000000"/>
          <w:sz w:val="21"/>
        </w:rPr>
        <w:t xml:space="preserve">Regulatory risk</w:t>
      </w:r>
      <w:r>
        <w:rPr>
          <w:rFonts w:eastAsia="inter" w:cs="inter" w:ascii="inter" w:hAnsi="inter"/>
          <w:color w:val="000000"/>
          <w:sz w:val="21"/>
        </w:rPr>
        <w:t xml:space="preserve">: The EU-U.S. DPF itself is under legal challenge. If invalidated, Gong must scramble for compliance alternatives.</w:t>
      </w:r>
    </w:p>
    <w:p>
      <w:pPr>
        <w:numPr>
          <w:ilvl w:val="0"/>
          <w:numId w:val="15"/>
        </w:numPr>
        <w:spacing w:line="360" w:before="105" w:after="105" w:lineRule="auto"/>
      </w:pPr>
      <w:r>
        <w:rPr>
          <w:rFonts w:eastAsia="inter" w:cs="inter" w:ascii="inter" w:hAnsi="inter"/>
          <w:b/>
          <w:color w:val="000000"/>
          <w:sz w:val="21"/>
        </w:rPr>
        <w:t xml:space="preserve">Competitive disadvantage</w:t>
      </w:r>
      <w:r>
        <w:rPr>
          <w:rFonts w:eastAsia="inter" w:cs="inter" w:ascii="inter" w:hAnsi="inter"/>
          <w:color w:val="000000"/>
          <w:sz w:val="21"/>
        </w:rPr>
        <w:t xml:space="preserve">: Competitors offering EU data residency win contracts in regulated sectors.</w:t>
      </w:r>
    </w:p>
    <w:p>
      <w:pPr>
        <w:numPr>
          <w:ilvl w:val="0"/>
          <w:numId w:val="15"/>
        </w:numPr>
        <w:spacing w:line="360" w:before="105" w:after="105" w:lineRule="auto"/>
      </w:pPr>
      <w:r>
        <w:rPr>
          <w:rFonts w:eastAsia="inter" w:cs="inter" w:ascii="inter" w:hAnsi="inter"/>
          <w:b/>
          <w:color w:val="000000"/>
          <w:sz w:val="21"/>
        </w:rPr>
        <w:t xml:space="preserve">Customer defection</w:t>
      </w:r>
      <w:r>
        <w:rPr>
          <w:rFonts w:eastAsia="inter" w:cs="inter" w:ascii="inter" w:hAnsi="inter"/>
          <w:color w:val="000000"/>
          <w:sz w:val="21"/>
        </w:rPr>
        <w:t xml:space="preserve">: European enterprises increasingly have policies mandating local data storage.</w:t>
      </w:r>
    </w:p>
    <w:p>
      <w:pPr>
        <w:spacing w:line="360" w:after="210" w:lineRule="auto"/>
      </w:pPr>
      <w:r>
        <w:rPr>
          <w:rFonts w:eastAsia="inter" w:cs="inter" w:ascii="inter" w:hAnsi="inter"/>
          <w:b/>
          <w:color w:val="000000"/>
        </w:rPr>
        <w:t xml:space="preserve">Quantified impact</w:t>
      </w:r>
      <w:r>
        <w:rPr>
          <w:rFonts w:eastAsia="inter" w:cs="inter" w:ascii="inter" w:hAnsi="inter"/>
          <w:color w:val="000000"/>
        </w:rPr>
        <w:t xml:space="preserve">: An estimated 15–20% of Gong's TAM is Europe-based. At current ARR of $300M, Europe represents ~$45–60M. If forced to exit or significantly reduce market presence, this is material.</w:t>
      </w:r>
    </w:p>
    <w:p>
      <w:pPr>
        <w:spacing w:line="360" w:after="210" w:lineRule="auto"/>
      </w:pPr>
      <w:r>
        <w:rPr>
          <w:rFonts w:eastAsia="inter" w:cs="inter" w:ascii="inter" w:hAnsi="inter"/>
          <w:b/>
          <w:color w:val="000000"/>
        </w:rPr>
        <w:t xml:space="preserve">Competitor advantage</w:t>
      </w:r>
      <w:r>
        <w:rPr>
          <w:rFonts w:eastAsia="inter" w:cs="inter" w:ascii="inter" w:hAnsi="inter"/>
          <w:color w:val="000000"/>
        </w:rPr>
        <w:t xml:space="preserve">: </w:t>
      </w:r>
      <w:hyperlink r:id="rId17">
        <w:r>
          <w:rPr>
            <w:rFonts w:eastAsia="inter" w:cs="inter" w:ascii="inter" w:hAnsi="inter"/>
            <w:color w:val="#000"/>
            <w:u w:val="single"/>
          </w:rPr>
          <w:t xml:space="preserve">Oliv.ai</w:t>
        </w:r>
      </w:hyperlink>
      <w:r>
        <w:rPr>
          <w:rFonts w:eastAsia="inter" w:cs="inter" w:ascii="inter" w:hAnsi="inter"/>
          <w:color w:val="000000"/>
        </w:rPr>
        <w:t xml:space="preserve"> explicitly offers "configurable data residency" as a core differentiator vs. Gong.</w:t>
      </w:r>
      <w:bookmarkStart w:id="58" w:name="fnref37"/>
      <w:bookmarkEnd w:id="58"/>
      <w:hyperlink w:anchor="fn37">
        <w:r>
          <w:rPr>
            <w:rFonts w:eastAsia="inter" w:cs="inter" w:ascii="inter" w:hAnsi="inter"/>
            <w:color w:val="#000"/>
            <w:u w:val="single"/>
            <w:vertAlign w:val="superscript"/>
          </w:rPr>
          <w:t xml:space="preserve">[37]</w:t>
        </w:r>
      </w:hyperlink>
    </w:p>
    <w:p>
      <w:pPr>
        <w:spacing w:line="360" w:before="315" w:after="105" w:lineRule="auto"/>
        <w:ind w:left="-30"/>
        <w:jc w:val="left"/>
      </w:pPr>
      <w:bookmarkStart w:id="59" w:name="vulnerability_2_implementation_co_e8d82a"/>
      <w:r>
        <w:rPr>
          <w:rFonts w:eastAsia="inter" w:cs="inter" w:ascii="inter" w:hAnsi="inter"/>
          <w:b/>
          <w:color w:val="000000"/>
          <w:sz w:val="24"/>
        </w:rPr>
        <w:t xml:space="preserve">Vulnerability #2: Implementation Complexity &amp; Time-to-Value – HIGH</w:t>
      </w:r>
      <w:bookmarkEnd w:id="59"/>
    </w:p>
    <w:p>
      <w:pPr>
        <w:spacing w:line="360" w:after="210" w:lineRule="auto"/>
      </w:pPr>
      <w:r>
        <w:rPr>
          <w:rFonts w:eastAsia="inter" w:cs="inter" w:ascii="inter" w:hAnsi="inter"/>
          <w:b/>
          <w:color w:val="000000"/>
        </w:rPr>
        <w:t xml:space="preserve">The Cost Structure</w:t>
      </w:r>
      <w:r>
        <w:rPr>
          <w:rFonts w:eastAsia="inter" w:cs="inter" w:ascii="inter" w:hAnsi="inter"/>
          <w:color w:val="000000"/>
        </w:rPr>
        <w:t xml:space="preserve">: Gong requires a typical implementation timeline of 3–6 months for mid-market organizations and 9+ months for enterprises. This is not unusual for enterprise software, but it is increasingly misaligned with customer expectations for AI-driven platforms:</w:t>
      </w:r>
      <w:bookmarkStart w:id="60" w:name="fnref38"/>
      <w:bookmarkEnd w:id="60"/>
      <w:hyperlink w:anchor="fn38">
        <w:r>
          <w:rPr>
            <w:rFonts w:eastAsia="inter" w:cs="inter" w:ascii="inter" w:hAnsi="inter"/>
            <w:color w:val="#000"/>
            <w:u w:val="single"/>
            <w:vertAlign w:val="superscript"/>
          </w:rPr>
          <w:t xml:space="preserve">[38]</w:t>
        </w:r>
      </w:hyperlink>
    </w:p>
    <w:p>
      <w:pPr>
        <w:numPr>
          <w:ilvl w:val="0"/>
          <w:numId w:val="16"/>
        </w:numPr>
        <w:spacing w:line="360" w:before="105" w:after="105" w:lineRule="auto"/>
      </w:pPr>
      <w:r>
        <w:rPr>
          <w:rFonts w:eastAsia="inter" w:cs="inter" w:ascii="inter" w:hAnsi="inter"/>
          <w:b/>
          <w:color w:val="000000"/>
          <w:sz w:val="21"/>
        </w:rPr>
        <w:t xml:space="preserve">Resource drain</w:t>
      </w:r>
      <w:r>
        <w:rPr>
          <w:rFonts w:eastAsia="inter" w:cs="inter" w:ascii="inter" w:hAnsi="inter"/>
          <w:color w:val="000000"/>
          <w:sz w:val="21"/>
        </w:rPr>
        <w:t xml:space="preserve">: 0.5–1.0 FTE dedicated RevOps, 8–12 hours/user training</w:t>
      </w:r>
    </w:p>
    <w:p>
      <w:pPr>
        <w:numPr>
          <w:ilvl w:val="0"/>
          <w:numId w:val="16"/>
        </w:numPr>
        <w:spacing w:line="360" w:before="105" w:after="105" w:lineRule="auto"/>
      </w:pPr>
      <w:r>
        <w:rPr>
          <w:rFonts w:eastAsia="inter" w:cs="inter" w:ascii="inter" w:hAnsi="inter"/>
          <w:b/>
          <w:color w:val="000000"/>
          <w:sz w:val="21"/>
        </w:rPr>
        <w:t xml:space="preserve">Professional services fees</w:t>
      </w:r>
      <w:r>
        <w:rPr>
          <w:rFonts w:eastAsia="inter" w:cs="inter" w:ascii="inter" w:hAnsi="inter"/>
          <w:color w:val="000000"/>
          <w:sz w:val="21"/>
        </w:rPr>
        <w:t xml:space="preserve">: $50K–200K for implementation alone</w:t>
      </w:r>
    </w:p>
    <w:p>
      <w:pPr>
        <w:numPr>
          <w:ilvl w:val="0"/>
          <w:numId w:val="16"/>
        </w:numPr>
        <w:spacing w:line="360" w:before="105" w:after="105" w:lineRule="auto"/>
      </w:pPr>
      <w:r>
        <w:rPr>
          <w:rFonts w:eastAsia="inter" w:cs="inter" w:ascii="inter" w:hAnsi="inter"/>
          <w:b/>
          <w:color w:val="000000"/>
          <w:sz w:val="21"/>
        </w:rPr>
        <w:t xml:space="preserve">Opportunity cost</w:t>
      </w:r>
      <w:r>
        <w:rPr>
          <w:rFonts w:eastAsia="inter" w:cs="inter" w:ascii="inter" w:hAnsi="inter"/>
          <w:color w:val="000000"/>
          <w:sz w:val="21"/>
        </w:rPr>
        <w:t xml:space="preserve">: Delayed value realization, lost pipeline intelligence during ramp</w:t>
      </w:r>
    </w:p>
    <w:p>
      <w:pPr>
        <w:spacing w:line="360" w:after="210" w:lineRule="auto"/>
      </w:pPr>
      <w:r>
        <w:rPr>
          <w:rFonts w:eastAsia="inter" w:cs="inter" w:ascii="inter" w:hAnsi="inter"/>
          <w:b/>
          <w:color w:val="000000"/>
        </w:rPr>
        <w:t xml:space="preserve">Competitive comparison</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color w:val="000000"/>
          <w:sz w:val="21"/>
        </w:rPr>
        <w:t xml:space="preserve">Claap: 1-day deployment</w:t>
      </w:r>
      <w:bookmarkStart w:id="61" w:name="fnref39"/>
      <w:bookmarkEnd w:id="61"/>
      <w:hyperlink w:anchor="fn39">
        <w:r>
          <w:rPr>
            <w:rFonts w:eastAsia="inter" w:cs="inter" w:ascii="inter" w:hAnsi="inter"/>
            <w:color w:val="#000"/>
            <w:sz w:val="21"/>
            <w:u w:val="single"/>
            <w:vertAlign w:val="superscript"/>
          </w:rPr>
          <w:t xml:space="preserve">[39]</w:t>
        </w:r>
      </w:hyperlink>
    </w:p>
    <w:p>
      <w:pPr>
        <w:numPr>
          <w:ilvl w:val="0"/>
          <w:numId w:val="17"/>
        </w:numPr>
        <w:spacing w:line="360" w:before="105" w:after="105" w:lineRule="auto"/>
      </w:pPr>
      <w:hyperlink r:id="rId18">
        <w:r>
          <w:rPr>
            <w:rFonts w:eastAsia="inter" w:cs="inter" w:ascii="inter" w:hAnsi="inter"/>
            <w:color w:val="#000"/>
            <w:sz w:val="21"/>
            <w:u w:val="single"/>
          </w:rPr>
          <w:t xml:space="preserve">Fireflies.ai</w:t>
        </w:r>
      </w:hyperlink>
      <w:r>
        <w:rPr>
          <w:rFonts w:eastAsia="inter" w:cs="inter" w:ascii="inter" w:hAnsi="inter"/>
          <w:color w:val="000000"/>
          <w:sz w:val="21"/>
        </w:rPr>
        <w:t xml:space="preserve">: Minutes-based live onboarding</w:t>
      </w:r>
      <w:bookmarkStart w:id="62" w:name="fnref40"/>
      <w:bookmarkEnd w:id="62"/>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 The market is shifting toward "fast AI"—tools that deliver value within days, not months. Every month of implementation delay is competitive loss to faster-deploying alternatives. For mid-market buyers evaluating three options with similar AI depth, the 3-month difference between Gong (6 months) and Claap (1 day) is often decisive.</w:t>
      </w:r>
    </w:p>
    <w:p>
      <w:pPr>
        <w:spacing w:line="360" w:before="315" w:after="105" w:lineRule="auto"/>
        <w:ind w:left="-30"/>
        <w:jc w:val="left"/>
      </w:pPr>
      <w:bookmarkStart w:id="63" w:name="vulnerability_3_pricing_opacity_m_65d929"/>
      <w:r>
        <w:rPr>
          <w:rFonts w:eastAsia="inter" w:cs="inter" w:ascii="inter" w:hAnsi="inter"/>
          <w:b/>
          <w:color w:val="000000"/>
          <w:sz w:val="24"/>
        </w:rPr>
        <w:t xml:space="preserve">Vulnerability #3: Pricing Opacity &amp; Mid-Market Price Sensitivity – MEDIUM-HIGH</w:t>
      </w:r>
      <w:bookmarkEnd w:id="63"/>
    </w:p>
    <w:p>
      <w:pPr>
        <w:spacing w:line="360" w:after="210" w:lineRule="auto"/>
      </w:pPr>
      <w:r>
        <w:rPr>
          <w:rFonts w:eastAsia="inter" w:cs="inter" w:ascii="inter" w:hAnsi="inter"/>
          <w:b/>
          <w:color w:val="000000"/>
        </w:rPr>
        <w:t xml:space="preserve">The pricing model</w:t>
      </w:r>
      <w:r>
        <w:rPr>
          <w:rFonts w:eastAsia="inter" w:cs="inter" w:ascii="inter" w:hAnsi="inter"/>
          <w:color w:val="000000"/>
        </w:rPr>
        <w:t xml:space="preserve">: Gong rarely publishes prices—a significant red flag in SaaS. For a 50-person sales team, typical all-in costs are estimated at </w:t>
      </w:r>
      <w:r>
        <w:rPr>
          <w:rFonts w:eastAsia="inter" w:cs="inter" w:ascii="inter" w:hAnsi="inter"/>
          <w:b/>
          <w:color w:val="000000"/>
        </w:rPr>
        <w:t xml:space="preserve">$170K–200K/year</w:t>
      </w:r>
      <w:r>
        <w:rPr>
          <w:rFonts w:eastAsia="inter" w:cs="inter" w:ascii="inter" w:hAnsi="inter"/>
          <w:color w:val="000000"/>
        </w:rPr>
        <w:t xml:space="preserve">, with Chorus alternatives at </w:t>
      </w:r>
      <w:r>
        <w:rPr>
          <w:rFonts w:eastAsia="inter" w:cs="inter" w:ascii="inter" w:hAnsi="inter"/>
          <w:b/>
          <w:color w:val="000000"/>
        </w:rPr>
        <w:t xml:space="preserve">$72K–90K</w:t>
      </w:r>
      <w:r>
        <w:rPr>
          <w:rFonts w:eastAsia="inter" w:cs="inter" w:ascii="inter" w:hAnsi="inter"/>
          <w:color w:val="000000"/>
        </w:rPr>
        <w:t xml:space="preserve"> (57% less).</w:t>
      </w:r>
      <w:bookmarkStart w:id="64" w:name="fnref41"/>
      <w:bookmarkEnd w:id="64"/>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b/>
          <w:color w:val="000000"/>
        </w:rPr>
        <w:t xml:space="preserve">Emerging challenger pricing</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color w:val="000000"/>
          <w:sz w:val="21"/>
        </w:rPr>
        <w:t xml:space="preserve">Claap: $30/user/month (~$18K/year for 50 people)</w:t>
      </w:r>
    </w:p>
    <w:p>
      <w:pPr>
        <w:numPr>
          <w:ilvl w:val="0"/>
          <w:numId w:val="18"/>
        </w:numPr>
        <w:spacing w:line="360" w:before="105" w:after="105" w:lineRule="auto"/>
      </w:pPr>
      <w:r>
        <w:rPr>
          <w:rFonts w:eastAsia="inter" w:cs="inter" w:ascii="inter" w:hAnsi="inter"/>
          <w:color w:val="000000"/>
          <w:sz w:val="21"/>
        </w:rPr>
        <w:t xml:space="preserve">Fireflies: Similar tier structure</w:t>
      </w:r>
    </w:p>
    <w:p>
      <w:pPr>
        <w:spacing w:line="360" w:after="210" w:lineRule="auto"/>
      </w:pPr>
      <w:r>
        <w:rPr>
          <w:rFonts w:eastAsia="inter" w:cs="inter" w:ascii="inter" w:hAnsi="inter"/>
          <w:b/>
          <w:color w:val="000000"/>
        </w:rPr>
        <w:t xml:space="preserve">Market signal</w:t>
      </w:r>
      <w:r>
        <w:rPr>
          <w:rFonts w:eastAsia="inter" w:cs="inter" w:ascii="inter" w:hAnsi="inter"/>
          <w:color w:val="000000"/>
        </w:rPr>
        <w:t xml:space="preserve">: Mid-market buyers are increasingly price-shopping, willing to trade 15–20% AI depth for 50–60% cost savings. This is a classic SaaS market pattern: as categories mature, buyers become price-sensitive and demand transparency.</w:t>
      </w:r>
      <w:bookmarkStart w:id="65" w:name="fnref42"/>
      <w:bookmarkEnd w:id="65"/>
      <w:hyperlink w:anchor="fn42">
        <w:r>
          <w:rPr>
            <w:rFonts w:eastAsia="inter" w:cs="inter" w:ascii="inter" w:hAnsi="inter"/>
            <w:color w:val="#000"/>
            <w:u w:val="single"/>
            <w:vertAlign w:val="superscript"/>
          </w:rPr>
          <w:t xml:space="preserve">[42]</w:t>
        </w:r>
      </w:hyperlink>
    </w:p>
    <w:p>
      <w:pPr>
        <w:spacing w:line="360" w:after="210" w:lineRule="auto"/>
      </w:pPr>
      <w:r>
        <w:rPr>
          <w:rFonts w:eastAsia="inter" w:cs="inter" w:ascii="inter" w:hAnsi="inter"/>
          <w:b/>
          <w:color w:val="000000"/>
        </w:rPr>
        <w:t xml:space="preserve">Strategic risk</w:t>
      </w:r>
      <w:r>
        <w:rPr>
          <w:rFonts w:eastAsia="inter" w:cs="inter" w:ascii="inter" w:hAnsi="inter"/>
          <w:color w:val="000000"/>
        </w:rPr>
        <w:t xml:space="preserve">: Gong's bundled pricing (pushing customers to comprehensive packages rather than point solutions) creates friction for price-sensitive segments. Emergin competitors are growing by explicitly targeting this friction—"Gong's features for 40% of the price."</w:t>
      </w:r>
    </w:p>
    <w:p>
      <w:pPr>
        <w:spacing w:line="360" w:before="315" w:after="105" w:lineRule="auto"/>
        <w:ind w:left="-30"/>
        <w:jc w:val="left"/>
      </w:pPr>
      <w:bookmarkStart w:id="66" w:name="vulnerability_4_architectural_deb_b1006e"/>
      <w:r>
        <w:rPr>
          <w:rFonts w:eastAsia="inter" w:cs="inter" w:ascii="inter" w:hAnsi="inter"/>
          <w:b/>
          <w:color w:val="000000"/>
          <w:sz w:val="24"/>
        </w:rPr>
        <w:t xml:space="preserve">Vulnerability #4: Architectural Debt &amp; Processing Delays – MEDIUM</w:t>
      </w:r>
      <w:bookmarkEnd w:id="66"/>
    </w:p>
    <w:p>
      <w:pPr>
        <w:spacing w:line="360" w:after="210" w:lineRule="auto"/>
      </w:pPr>
      <w:r>
        <w:rPr>
          <w:rFonts w:eastAsia="inter" w:cs="inter" w:ascii="inter" w:hAnsi="inter"/>
          <w:b/>
          <w:color w:val="000000"/>
        </w:rPr>
        <w:t xml:space="preserve">The pre-GenAI retrofit problem</w:t>
      </w:r>
      <w:r>
        <w:rPr>
          <w:rFonts w:eastAsia="inter" w:cs="inter" w:ascii="inter" w:hAnsi="inter"/>
          <w:color w:val="000000"/>
        </w:rPr>
        <w:t xml:space="preserve">: Gong was built in an era before LLMs were practical. Its core architecture relies on keyword detection, pattern matching, and rule-based systems. GenAI has been retrofitted onto this foundation, creating technical debt:</w:t>
      </w:r>
    </w:p>
    <w:p>
      <w:pPr>
        <w:numPr>
          <w:ilvl w:val="0"/>
          <w:numId w:val="19"/>
        </w:numPr>
        <w:spacing w:line="360" w:before="105" w:after="105" w:lineRule="auto"/>
      </w:pPr>
      <w:r>
        <w:rPr>
          <w:rFonts w:eastAsia="inter" w:cs="inter" w:ascii="inter" w:hAnsi="inter"/>
          <w:b/>
          <w:color w:val="000000"/>
          <w:sz w:val="21"/>
        </w:rPr>
        <w:t xml:space="preserve">Processing delays</w:t>
      </w:r>
      <w:r>
        <w:rPr>
          <w:rFonts w:eastAsia="inter" w:cs="inter" w:ascii="inter" w:hAnsi="inter"/>
          <w:color w:val="000000"/>
          <w:sz w:val="21"/>
        </w:rPr>
        <w:t xml:space="preserve">: 20–30 minutes for conversation analysis vs. 5 minutes for AI-native platforms</w:t>
      </w:r>
      <w:bookmarkStart w:id="67" w:name="fnref43"/>
      <w:bookmarkEnd w:id="67"/>
      <w:hyperlink w:anchor="fn43">
        <w:r>
          <w:rPr>
            <w:rFonts w:eastAsia="inter" w:cs="inter" w:ascii="inter" w:hAnsi="inter"/>
            <w:color w:val="#000"/>
            <w:sz w:val="21"/>
            <w:u w:val="single"/>
            <w:vertAlign w:val="superscript"/>
          </w:rPr>
          <w:t xml:space="preserve">[43]</w:t>
        </w:r>
      </w:hyperlink>
    </w:p>
    <w:p>
      <w:pPr>
        <w:numPr>
          <w:ilvl w:val="0"/>
          <w:numId w:val="19"/>
        </w:numPr>
        <w:spacing w:line="360" w:before="105" w:after="105" w:lineRule="auto"/>
      </w:pPr>
      <w:r>
        <w:rPr>
          <w:rFonts w:eastAsia="inter" w:cs="inter" w:ascii="inter" w:hAnsi="inter"/>
          <w:b/>
          <w:color w:val="000000"/>
          <w:sz w:val="21"/>
        </w:rPr>
        <w:t xml:space="preserve">Data bloat</w:t>
      </w:r>
      <w:r>
        <w:rPr>
          <w:rFonts w:eastAsia="inter" w:cs="inter" w:ascii="inter" w:hAnsi="inter"/>
          <w:color w:val="000000"/>
          <w:sz w:val="21"/>
        </w:rPr>
        <w:t xml:space="preserve">: Extensive conversation storage can exceed customer quotas and drive additional costs</w:t>
      </w:r>
    </w:p>
    <w:p>
      <w:pPr>
        <w:numPr>
          <w:ilvl w:val="0"/>
          <w:numId w:val="19"/>
        </w:numPr>
        <w:spacing w:line="360" w:before="105" w:after="105" w:lineRule="auto"/>
      </w:pPr>
      <w:r>
        <w:rPr>
          <w:rFonts w:eastAsia="inter" w:cs="inter" w:ascii="inter" w:hAnsi="inter"/>
          <w:b/>
          <w:color w:val="000000"/>
          <w:sz w:val="21"/>
        </w:rPr>
        <w:t xml:space="preserve">Limited automation</w:t>
      </w:r>
      <w:r>
        <w:rPr>
          <w:rFonts w:eastAsia="inter" w:cs="inter" w:ascii="inter" w:hAnsi="inter"/>
          <w:color w:val="000000"/>
          <w:sz w:val="21"/>
        </w:rPr>
        <w:t xml:space="preserve">: Despite AI marketing, many workflows still require manual intervention</w:t>
      </w:r>
    </w:p>
    <w:p>
      <w:pPr>
        <w:spacing w:line="360" w:after="210" w:lineRule="auto"/>
      </w:pPr>
      <w:r>
        <w:rPr>
          <w:rFonts w:eastAsia="inter" w:cs="inter" w:ascii="inter" w:hAnsi="inter"/>
          <w:b/>
          <w:color w:val="000000"/>
        </w:rPr>
        <w:t xml:space="preserve">Long-term implication</w:t>
      </w:r>
      <w:r>
        <w:rPr>
          <w:rFonts w:eastAsia="inter" w:cs="inter" w:ascii="inter" w:hAnsi="inter"/>
          <w:color w:val="000000"/>
        </w:rPr>
        <w:t xml:space="preserve">: As AI capabilities expand and customers expect real-time insights, Gong's architectural limitations become more visible. Competitors built cloud-native from inception have inherent advantages in latency, scalability, and cost.</w:t>
      </w:r>
    </w:p>
    <w:p>
      <w:pPr>
        <w:spacing w:line="360" w:before="315" w:after="105" w:lineRule="auto"/>
        <w:ind w:left="-30"/>
        <w:jc w:val="left"/>
      </w:pPr>
      <w:bookmarkStart w:id="68" w:name="vulnerability_5_user_experience_a_5d777d"/>
      <w:r>
        <w:rPr>
          <w:rFonts w:eastAsia="inter" w:cs="inter" w:ascii="inter" w:hAnsi="inter"/>
          <w:b/>
          <w:color w:val="000000"/>
          <w:sz w:val="24"/>
        </w:rPr>
        <w:t xml:space="preserve">Vulnerability #5: User Experience &amp; Adoption Friction – MEDIUM</w:t>
      </w:r>
      <w:bookmarkEnd w:id="68"/>
    </w:p>
    <w:p>
      <w:pPr>
        <w:spacing w:line="360" w:after="210" w:lineRule="auto"/>
      </w:pPr>
      <w:r>
        <w:rPr>
          <w:rFonts w:eastAsia="inter" w:cs="inter" w:ascii="inter" w:hAnsi="inter"/>
          <w:b/>
          <w:color w:val="000000"/>
        </w:rPr>
        <w:t xml:space="preserve">G2 review analysis</w:t>
      </w:r>
      <w:r>
        <w:rPr>
          <w:rFonts w:eastAsia="inter" w:cs="inter" w:ascii="inter" w:hAnsi="inter"/>
          <w:color w:val="000000"/>
        </w:rPr>
        <w:t xml:space="preserve"> (600+ verified reviews, November 2025): Despite a strong 4.7/5 rating, detailed analysis reveals friction points particularly among mid-market and RevOps teams:</w:t>
      </w:r>
      <w:bookmarkStart w:id="69" w:name="fnref44"/>
      <w:bookmarkEnd w:id="69"/>
      <w:hyperlink w:anchor="fn44">
        <w:r>
          <w:rPr>
            <w:rFonts w:eastAsia="inter" w:cs="inter" w:ascii="inter" w:hAnsi="inter"/>
            <w:color w:val="#000"/>
            <w:u w:val="single"/>
            <w:vertAlign w:val="superscript"/>
          </w:rPr>
          <w:t xml:space="preserve">[44]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Pain Point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Mention Frequency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Call search difficulties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154 mentions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Finding specific insights requires complex 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Accent/transcription accuracy (non-English speakers)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84 mentions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Degrades accuracy for global teams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Interface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67 mentions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Steep learning curve delays adoption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Feature-to-value ratio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Implied 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SMB teams struggle to justify complexity</w:t>
            </w:r>
          </w:p>
        </w:tc>
      </w:tr>
    </w:tbl>
    <w:p>
      <w:pPr>
        <w:spacing w:lineRule="auto"/>
      </w:pPr>
    </w:p>
    <w:p>
      <w:pPr>
        <w:spacing w:line="360" w:after="210" w:lineRule="auto"/>
      </w:pPr>
      <w:r>
        <w:rPr>
          <w:rFonts w:eastAsia="inter" w:cs="inter" w:ascii="inter" w:hAnsi="inter"/>
          <w:b/>
          <w:color w:val="000000"/>
        </w:rPr>
        <w:t xml:space="preserve">Meaning</w:t>
      </w:r>
      <w:r>
        <w:rPr>
          <w:rFonts w:eastAsia="inter" w:cs="inter" w:ascii="inter" w:hAnsi="inter"/>
          <w:color w:val="000000"/>
        </w:rPr>
        <w:t xml:space="preserve">: Early adopters (enterprise, sales-heavy organizations) are satisfied. Mainstream adoption is hitting friction. As Gong expands beyond sales into non-specialized personas (marketing, product, finance), this UX friction becomes compounding—general business users lack the motivation to navigate complexity that specialized sales managers tolerate.</w:t>
      </w:r>
    </w:p>
    <w:p>
      <w:pPr>
        <w:spacing w:line="360" w:before="315" w:after="105" w:lineRule="auto"/>
        <w:ind w:left="-30"/>
        <w:jc w:val="left"/>
      </w:pPr>
      <w:bookmarkStart w:id="70" w:name="vulnerability_6_market_saturation_9e2b36"/>
      <w:r>
        <w:rPr>
          <w:rFonts w:eastAsia="inter" w:cs="inter" w:ascii="inter" w:hAnsi="inter"/>
          <w:b/>
          <w:color w:val="000000"/>
          <w:sz w:val="24"/>
        </w:rPr>
        <w:t xml:space="preserve">Vulnerability #6: Market Saturation &amp; Revenue Growth Ceiling – MEDIUM-HIGH</w:t>
      </w:r>
      <w:bookmarkEnd w:id="70"/>
    </w:p>
    <w:p>
      <w:pPr>
        <w:spacing w:line="360" w:after="210" w:lineRule="auto"/>
      </w:pPr>
      <w:r>
        <w:rPr>
          <w:rFonts w:eastAsia="inter" w:cs="inter" w:ascii="inter" w:hAnsi="inter"/>
          <w:color w:val="000000"/>
        </w:rPr>
        <w:t xml:space="preserve">The most structural threat: </w:t>
      </w:r>
      <w:r>
        <w:rPr>
          <w:rFonts w:eastAsia="inter" w:cs="inter" w:ascii="inter" w:hAnsi="inter"/>
          <w:b/>
          <w:color w:val="000000"/>
        </w:rPr>
        <w:t xml:space="preserve">Gong's TAM growth is slowing as AI adoption saturates the market.</w:t>
      </w:r>
      <w:bookmarkStart w:id="71" w:name="fnref45"/>
      <w:bookmarkEnd w:id="71"/>
      <w:hyperlink w:anchor="fn45">
        <w:r>
          <w:rPr>
            <w:rFonts w:eastAsia="inter" w:cs="inter" w:ascii="inter" w:hAnsi="inter"/>
            <w:color w:val="#000"/>
            <w:u w:val="single"/>
            <w:vertAlign w:val="superscript"/>
          </w:rPr>
          <w:t xml:space="preserve">[45]</w:t>
        </w:r>
      </w:hyperlink>
    </w:p>
    <w:p>
      <w:pPr>
        <w:numPr>
          <w:ilvl w:val="0"/>
          <w:numId w:val="20"/>
        </w:numPr>
        <w:spacing w:line="360" w:before="105" w:after="105" w:lineRule="auto"/>
      </w:pPr>
      <w:r>
        <w:rPr>
          <w:rFonts w:eastAsia="inter" w:cs="inter" w:ascii="inter" w:hAnsi="inter"/>
          <w:color w:val="000000"/>
          <w:sz w:val="21"/>
        </w:rPr>
        <w:t xml:space="preserve">96% adoption target (2026) means limited "new-to-AI" customer acquisition</w:t>
      </w:r>
    </w:p>
    <w:p>
      <w:pPr>
        <w:numPr>
          <w:ilvl w:val="0"/>
          <w:numId w:val="20"/>
        </w:numPr>
        <w:spacing w:line="360" w:before="105" w:after="105" w:lineRule="auto"/>
      </w:pPr>
      <w:r>
        <w:rPr>
          <w:rFonts w:eastAsia="inter" w:cs="inter" w:ascii="inter" w:hAnsi="inter"/>
          <w:color w:val="000000"/>
          <w:sz w:val="21"/>
        </w:rPr>
        <w:t xml:space="preserve">Growth deceleration from 28% YoY (2024) to 27% YoY (2025) signals ceiling approaching</w:t>
      </w:r>
    </w:p>
    <w:p>
      <w:pPr>
        <w:numPr>
          <w:ilvl w:val="0"/>
          <w:numId w:val="20"/>
        </w:numPr>
        <w:spacing w:line="360" w:before="105" w:after="105" w:lineRule="auto"/>
      </w:pPr>
      <w:r>
        <w:rPr>
          <w:rFonts w:eastAsia="inter" w:cs="inter" w:ascii="inter" w:hAnsi="inter"/>
          <w:color w:val="000000"/>
          <w:sz w:val="21"/>
        </w:rPr>
        <w:t xml:space="preserve">Rep productivity paradox: More reps use AI, yet quota attainment declined from 52% (2024) to 46% (2025)</w:t>
      </w:r>
    </w:p>
    <w:p>
      <w:pPr>
        <w:spacing w:line="360" w:after="210" w:lineRule="auto"/>
      </w:pPr>
      <w:r>
        <w:rPr>
          <w:rFonts w:eastAsia="inter" w:cs="inter" w:ascii="inter" w:hAnsi="inter"/>
          <w:b/>
          <w:color w:val="000000"/>
        </w:rPr>
        <w:t xml:space="preserve">Implication for growth</w:t>
      </w:r>
      <w:r>
        <w:rPr>
          <w:rFonts w:eastAsia="inter" w:cs="inter" w:ascii="inter" w:hAnsi="inter"/>
          <w:color w:val="000000"/>
        </w:rPr>
        <w:t xml:space="preserve">: Gong can no longer rely on TAM expansion. Future growth depends on:</w:t>
      </w:r>
    </w:p>
    <w:p>
      <w:pPr>
        <w:numPr>
          <w:ilvl w:val="0"/>
          <w:numId w:val="21"/>
        </w:numPr>
        <w:spacing w:line="360" w:before="105" w:after="105" w:lineRule="auto"/>
      </w:pPr>
      <w:r>
        <w:rPr>
          <w:rFonts w:eastAsia="inter" w:cs="inter" w:ascii="inter" w:hAnsi="inter"/>
          <w:color w:val="000000"/>
          <w:sz w:val="21"/>
        </w:rPr>
        <w:t xml:space="preserve">Displacing competitors (share-of-wallet)</w:t>
      </w:r>
    </w:p>
    <w:p>
      <w:pPr>
        <w:numPr>
          <w:ilvl w:val="0"/>
          <w:numId w:val="21"/>
        </w:numPr>
        <w:spacing w:line="360" w:before="105" w:after="105" w:lineRule="auto"/>
      </w:pPr>
      <w:r>
        <w:rPr>
          <w:rFonts w:eastAsia="inter" w:cs="inter" w:ascii="inter" w:hAnsi="inter"/>
          <w:color w:val="000000"/>
          <w:sz w:val="21"/>
        </w:rPr>
        <w:t xml:space="preserve">Expanding within existing customers (multi-product, multi-seat)</w:t>
      </w:r>
    </w:p>
    <w:p>
      <w:pPr>
        <w:numPr>
          <w:ilvl w:val="0"/>
          <w:numId w:val="21"/>
        </w:numPr>
        <w:spacing w:line="360" w:before="105" w:after="105" w:lineRule="auto"/>
      </w:pPr>
      <w:r>
        <w:rPr>
          <w:rFonts w:eastAsia="inter" w:cs="inter" w:ascii="inter" w:hAnsi="inter"/>
          <w:color w:val="000000"/>
          <w:sz w:val="21"/>
        </w:rPr>
        <w:t xml:space="preserve">Geographic expansion (offset by data sovereignty issues)</w:t>
      </w:r>
    </w:p>
    <w:p>
      <w:pPr>
        <w:spacing w:line="360" w:after="210" w:lineRule="auto"/>
      </w:pPr>
      <w:r>
        <w:rPr>
          <w:rFonts w:eastAsia="inter" w:cs="inter" w:ascii="inter" w:hAnsi="inter"/>
          <w:color w:val="000000"/>
        </w:rPr>
        <w:t xml:space="preserve">None of these offer the 25–30% growth rates required to justify a venture-scale valuation. This is the core reason for the 38% valuation markdown—not a failure of execution, but a maturation of the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vi_competitive_landscape_who_is_w_c8c7ce"/>
      <w:r>
        <w:rPr>
          <w:rFonts w:eastAsia="inter" w:cs="inter" w:ascii="inter" w:hAnsi="inter"/>
          <w:b/>
          <w:color w:val="000000"/>
          <w:sz w:val="24"/>
        </w:rPr>
        <w:t xml:space="preserve">VI. COMPETITIVE LANDSCAPE: WHO IS WINNING THE ADJACENT BATTLES</w:t>
      </w:r>
      <w:bookmarkEnd w:id="72"/>
    </w:p>
    <w:p>
      <w:pPr>
        <w:spacing w:line="360" w:before="315" w:after="105" w:lineRule="auto"/>
        <w:ind w:left="-30"/>
        <w:jc w:val="left"/>
      </w:pPr>
      <w:bookmarkStart w:id="73" w:name="direct_competitors"/>
      <w:r>
        <w:rPr>
          <w:rFonts w:eastAsia="inter" w:cs="inter" w:ascii="inter" w:hAnsi="inter"/>
          <w:b/>
          <w:color w:val="000000"/>
          <w:sz w:val="24"/>
        </w:rPr>
        <w:t xml:space="preserve">Direct Competitors</w:t>
      </w:r>
      <w:bookmarkEnd w:id="73"/>
    </w:p>
    <w:p>
      <w:pPr>
        <w:spacing w:line="360" w:after="210" w:lineRule="auto"/>
      </w:pPr>
      <w:r>
        <w:rPr>
          <w:rFonts w:eastAsia="inter" w:cs="inter" w:ascii="inter" w:hAnsi="inter"/>
          <w:b/>
          <w:color w:val="000000"/>
        </w:rPr>
        <w:t xml:space="preserve">Chorus (ZoomInfo subsidiary)</w:t>
      </w:r>
      <w:r>
        <w:rPr>
          <w:rFonts w:eastAsia="inter" w:cs="inter" w:ascii="inter" w:hAnsi="inter"/>
          <w:color w:val="000000"/>
        </w:rPr>
        <w:t xml:space="preserve">: Since ZoomInfo's 2022 acquisition, Chorus has become a pricing and integration alternative to Gong. For ZoomInfo customers, Chorus is compelling—unified billing, buyer intent data enrichment, and 50–60% cost savings make it rational choice for mid-market. Chorus lacks Gong's AI depth (forecasting, multi-meeting insights) but adequately serves "basic coaching and deal tracking" use cases.</w:t>
      </w:r>
      <w:bookmarkStart w:id="74" w:name="fnref46"/>
      <w:bookmarkEnd w:id="74"/>
      <w:hyperlink w:anchor="fn46">
        <w:r>
          <w:rPr>
            <w:rFonts w:eastAsia="inter" w:cs="inter" w:ascii="inter" w:hAnsi="inter"/>
            <w:color w:val="#000"/>
            <w:u w:val="single"/>
            <w:vertAlign w:val="superscript"/>
          </w:rPr>
          <w:t xml:space="preserve">[46]</w:t>
        </w:r>
      </w:hyperlink>
    </w:p>
    <w:p>
      <w:pPr>
        <w:spacing w:line="360" w:after="210" w:lineRule="auto"/>
      </w:pPr>
      <w:r>
        <w:rPr>
          <w:rFonts w:eastAsia="inter" w:cs="inter" w:ascii="inter" w:hAnsi="inter"/>
          <w:b/>
          <w:color w:val="000000"/>
        </w:rPr>
        <w:t xml:space="preserve">Salesloft</w:t>
      </w:r>
      <w:r>
        <w:rPr>
          <w:rFonts w:eastAsia="inter" w:cs="inter" w:ascii="inter" w:hAnsi="inter"/>
          <w:color w:val="000000"/>
        </w:rPr>
        <w:t xml:space="preserve">: Positioned differently—sales engagement (outreach automation) with secondary revenue intelligence capabilities. Salesloft is acquiring revenue intelligence capabilities (forecasting, coaching) to compete with Gong, but it is not Gong's natural competitor; it is a complementary tool.</w:t>
      </w:r>
    </w:p>
    <w:p>
      <w:pPr>
        <w:spacing w:line="360" w:before="315" w:after="105" w:lineRule="auto"/>
        <w:ind w:left="-30"/>
        <w:jc w:val="left"/>
      </w:pPr>
      <w:bookmarkStart w:id="75" w:name="emerging_disruptors"/>
      <w:r>
        <w:rPr>
          <w:rFonts w:eastAsia="inter" w:cs="inter" w:ascii="inter" w:hAnsi="inter"/>
          <w:b/>
          <w:color w:val="000000"/>
          <w:sz w:val="24"/>
        </w:rPr>
        <w:t xml:space="preserve">Emerging Disruptors</w:t>
      </w:r>
      <w:bookmarkEnd w:id="75"/>
    </w:p>
    <w:p>
      <w:pPr>
        <w:spacing w:line="360" w:after="210" w:lineRule="auto"/>
      </w:pPr>
      <w:r>
        <w:rPr>
          <w:rFonts w:eastAsia="inter" w:cs="inter" w:ascii="inter" w:hAnsi="inter"/>
          <w:b/>
          <w:color w:val="000000"/>
        </w:rPr>
        <w:t xml:space="preserve">Claap</w:t>
      </w:r>
      <w:r>
        <w:rPr>
          <w:rFonts w:eastAsia="inter" w:cs="inter" w:ascii="inter" w:hAnsi="inter"/>
          <w:color w:val="000000"/>
        </w:rPr>
        <w:t xml:space="preserve">: The most significant emerging threat. Positioned as "Gong for mid-market," Claap offers:</w:t>
      </w:r>
      <w:bookmarkStart w:id="76" w:name="fnref47"/>
      <w:bookmarkEnd w:id="76"/>
      <w:hyperlink w:anchor="fn47">
        <w:r>
          <w:rPr>
            <w:rFonts w:eastAsia="inter" w:cs="inter" w:ascii="inter" w:hAnsi="inter"/>
            <w:color w:val="#000"/>
            <w:u w:val="single"/>
            <w:vertAlign w:val="superscript"/>
          </w:rPr>
          <w:t xml:space="preserve">[47]</w:t>
        </w:r>
      </w:hyperlink>
    </w:p>
    <w:p>
      <w:pPr>
        <w:numPr>
          <w:ilvl w:val="0"/>
          <w:numId w:val="22"/>
        </w:numPr>
        <w:spacing w:line="360" w:before="105" w:after="105" w:lineRule="auto"/>
      </w:pPr>
      <w:r>
        <w:rPr>
          <w:rFonts w:eastAsia="inter" w:cs="inter" w:ascii="inter" w:hAnsi="inter"/>
          <w:color w:val="000000"/>
          <w:sz w:val="21"/>
        </w:rPr>
        <w:t xml:space="preserve">$30/user/month (vs. Gong's $3–4K/user in bundles)</w:t>
      </w:r>
    </w:p>
    <w:p>
      <w:pPr>
        <w:numPr>
          <w:ilvl w:val="0"/>
          <w:numId w:val="22"/>
        </w:numPr>
        <w:spacing w:line="360" w:before="105" w:after="105" w:lineRule="auto"/>
      </w:pPr>
      <w:r>
        <w:rPr>
          <w:rFonts w:eastAsia="inter" w:cs="inter" w:ascii="inter" w:hAnsi="inter"/>
          <w:color w:val="000000"/>
          <w:sz w:val="21"/>
        </w:rPr>
        <w:t xml:space="preserve">1-day implementation</w:t>
      </w:r>
    </w:p>
    <w:p>
      <w:pPr>
        <w:numPr>
          <w:ilvl w:val="0"/>
          <w:numId w:val="22"/>
        </w:numPr>
        <w:spacing w:line="360" w:before="105" w:after="105" w:lineRule="auto"/>
      </w:pPr>
      <w:r>
        <w:rPr>
          <w:rFonts w:eastAsia="inter" w:cs="inter" w:ascii="inter" w:hAnsi="inter"/>
          <w:color w:val="000000"/>
          <w:sz w:val="21"/>
        </w:rPr>
        <w:t xml:space="preserve">4.8/5 G2 rating (6,000+ reviews)</w:t>
      </w:r>
    </w:p>
    <w:p>
      <w:pPr>
        <w:spacing w:line="360" w:after="210" w:lineRule="auto"/>
      </w:pPr>
      <w:r>
        <w:rPr>
          <w:rFonts w:eastAsia="inter" w:cs="inter" w:ascii="inter" w:hAnsi="inter"/>
          <w:b/>
          <w:color w:val="000000"/>
        </w:rPr>
      </w:r>
      <w:hyperlink r:id="rId19">
        <w:r>
          <w:rPr>
            <w:rFonts w:eastAsia="inter" w:cs="inter" w:ascii="inter" w:hAnsi="inter"/>
            <w:b/>
            <w:color w:val="#000"/>
            <w:u w:val="single"/>
          </w:rPr>
          <w:t xml:space="preserve">Fireflies.ai</w:t>
        </w:r>
      </w:hyperlink>
      <w:r>
        <w:rPr>
          <w:rFonts w:eastAsia="inter" w:cs="inter" w:ascii="inter" w:hAnsi="inter"/>
          <w:b/>
          <w:color w:val="000000"/>
        </w:rPr>
        <w:t xml:space="preserve">, tl;dv</w:t>
      </w:r>
      <w:r>
        <w:rPr>
          <w:rFonts w:eastAsia="inter" w:cs="inter" w:ascii="inter" w:hAnsi="inter"/>
          <w:color w:val="000000"/>
        </w:rPr>
        <w:t xml:space="preserve">: Similar positioning—simpler, faster, cheaper alternatives to Gong's platform-scale feature set.</w:t>
      </w:r>
    </w:p>
    <w:p>
      <w:pPr>
        <w:spacing w:line="360" w:after="210" w:lineRule="auto"/>
      </w:pPr>
      <w:r>
        <w:rPr>
          <w:rFonts w:eastAsia="inter" w:cs="inter" w:ascii="inter" w:hAnsi="inter"/>
          <w:b/>
          <w:color w:val="000000"/>
        </w:rPr>
        <w:t xml:space="preserve">Market segment captured</w:t>
      </w:r>
      <w:r>
        <w:rPr>
          <w:rFonts w:eastAsia="inter" w:cs="inter" w:ascii="inter" w:hAnsi="inter"/>
          <w:color w:val="000000"/>
        </w:rPr>
        <w:t xml:space="preserve">: The SMB-to-mid-market price-sensitive segment ($100M–500M revenue) that cannot justify Gong's implementation complexity or cost. This represents 20–30% of the overall TAM, or ~$10–15B in serviceable market opportunity.</w:t>
      </w:r>
    </w:p>
    <w:p>
      <w:pPr>
        <w:spacing w:line="360" w:before="315" w:after="105" w:lineRule="auto"/>
        <w:ind w:left="-30"/>
        <w:jc w:val="left"/>
      </w:pPr>
      <w:bookmarkStart w:id="77" w:name="strategic_positioning_summary"/>
      <w:r>
        <w:rPr>
          <w:rFonts w:eastAsia="inter" w:cs="inter" w:ascii="inter" w:hAnsi="inter"/>
          <w:b/>
          <w:color w:val="000000"/>
          <w:sz w:val="24"/>
        </w:rPr>
        <w:t xml:space="preserve">Strategic Positioning Summary</w:t>
      </w:r>
      <w:bookmarkEnd w:id="77"/>
    </w:p>
    <w:p>
      <w:pPr>
        <w:spacing w:line="360" w:after="210" w:lineRule="auto"/>
      </w:pPr>
      <w:r>
        <w:rPr>
          <w:rFonts w:eastAsia="inter" w:cs="inter" w:ascii="inter" w:hAnsi="inter"/>
          <w:color w:val="000000"/>
        </w:rPr>
        <w:t xml:space="preserve">Gong remains the uncontested leader in </w:t>
      </w:r>
      <w:r>
        <w:rPr>
          <w:rFonts w:eastAsia="inter" w:cs="inter" w:ascii="inter" w:hAnsi="inter"/>
          <w:b/>
          <w:color w:val="000000"/>
        </w:rPr>
        <w:t xml:space="preserve">enterprise revenue intelligence</w:t>
      </w:r>
      <w:r>
        <w:rPr>
          <w:rFonts w:eastAsia="inter" w:cs="inter" w:ascii="inter" w:hAnsi="inter"/>
          <w:color w:val="000000"/>
        </w:rPr>
        <w:t xml:space="preserve">, but emerging competitors have fractured the market below the enterprise segment. The fight is no longer "Gong vs. point solutions," but rather "which solution fits my segment's cost/complexity trade-off?"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vii_gong_orchestrate_the_platform_81f1c1"/>
      <w:r>
        <w:rPr>
          <w:rFonts w:eastAsia="inter" w:cs="inter" w:ascii="inter" w:hAnsi="inter"/>
          <w:b/>
          <w:color w:val="000000"/>
          <w:sz w:val="24"/>
        </w:rPr>
        <w:t xml:space="preserve">VII. GONG ORCHESTRATE: THE PLATFORM BET &amp; EXECUTION RISK</w:t>
      </w:r>
      <w:bookmarkEnd w:id="78"/>
    </w:p>
    <w:p>
      <w:pPr>
        <w:spacing w:line="360" w:before="315" w:after="105" w:lineRule="auto"/>
        <w:ind w:left="-30"/>
        <w:jc w:val="left"/>
      </w:pPr>
      <w:bookmarkStart w:id="79" w:name="what_orchestrate_promises_vs_what_286ba4"/>
      <w:r>
        <w:rPr>
          <w:rFonts w:eastAsia="inter" w:cs="inter" w:ascii="inter" w:hAnsi="inter"/>
          <w:b/>
          <w:color w:val="000000"/>
          <w:sz w:val="24"/>
        </w:rPr>
        <w:t xml:space="preserve">What Orchestrate Promises (vs. What It Delivers)</w:t>
      </w:r>
      <w:bookmarkEnd w:id="79"/>
    </w:p>
    <w:p>
      <w:pPr>
        <w:spacing w:line="360" w:after="210" w:lineRule="auto"/>
      </w:pPr>
      <w:r>
        <w:rPr>
          <w:rFonts w:eastAsia="inter" w:cs="inter" w:ascii="inter" w:hAnsi="inter"/>
          <w:color w:val="000000"/>
        </w:rPr>
        <w:t xml:space="preserve">Gong's October 2025 announcement of Gong Orchestrate positions the product as the industry-first "revenue action orchestration" platform. The pitch:</w:t>
      </w:r>
      <w:bookmarkStart w:id="80" w:name="fnref3_1"/>
      <w:bookmarkEnd w:id="80"/>
      <w:hyperlink w:anchor="fn3">
        <w:r>
          <w:rPr>
            <w:rFonts w:eastAsia="inter" w:cs="inter" w:ascii="inter" w:hAnsi="inter"/>
            <w:color w:val="#000"/>
            <w:u w:val="single"/>
            <w:vertAlign w:val="superscript"/>
          </w:rPr>
          <w:t xml:space="preserve">[3]</w:t>
        </w:r>
      </w:hyperlink>
    </w:p>
    <w:p>
      <w:pPr>
        <w:numPr>
          <w:ilvl w:val="0"/>
          <w:numId w:val="23"/>
        </w:numPr>
        <w:spacing w:line="360" w:before="105" w:after="105" w:lineRule="auto"/>
      </w:pPr>
      <w:r>
        <w:rPr>
          <w:rFonts w:eastAsia="inter" w:cs="inter" w:ascii="inter" w:hAnsi="inter"/>
          <w:b/>
          <w:color w:val="000000"/>
          <w:sz w:val="21"/>
        </w:rPr>
        <w:t xml:space="preserve">Close the strategy-execution gap</w:t>
      </w:r>
      <w:r>
        <w:rPr>
          <w:rFonts w:eastAsia="inter" w:cs="inter" w:ascii="inter" w:hAnsi="inter"/>
          <w:color w:val="000000"/>
          <w:sz w:val="21"/>
        </w:rPr>
        <w:t xml:space="preserve">: Define sales plays once (discovery flow, handoff process, onboarding sequence) and execute consistently</w:t>
      </w:r>
    </w:p>
    <w:p>
      <w:pPr>
        <w:numPr>
          <w:ilvl w:val="0"/>
          <w:numId w:val="23"/>
        </w:numPr>
        <w:spacing w:line="360" w:before="105" w:after="105" w:lineRule="auto"/>
      </w:pPr>
      <w:r>
        <w:rPr>
          <w:rFonts w:eastAsia="inter" w:cs="inter" w:ascii="inter" w:hAnsi="inter"/>
          <w:b/>
          <w:color w:val="000000"/>
          <w:sz w:val="21"/>
        </w:rPr>
        <w:t xml:space="preserve">Guided sellers</w:t>
      </w:r>
      <w:r>
        <w:rPr>
          <w:rFonts w:eastAsia="inter" w:cs="inter" w:ascii="inter" w:hAnsi="inter"/>
          <w:color w:val="000000"/>
          <w:sz w:val="21"/>
        </w:rPr>
        <w:t xml:space="preserve">: Real-time guidance as reps navigate deals, based on conversation analysis</w:t>
      </w:r>
    </w:p>
    <w:p>
      <w:pPr>
        <w:numPr>
          <w:ilvl w:val="0"/>
          <w:numId w:val="23"/>
        </w:numPr>
        <w:spacing w:line="360" w:before="105" w:after="105" w:lineRule="auto"/>
      </w:pPr>
      <w:r>
        <w:rPr>
          <w:rFonts w:eastAsia="inter" w:cs="inter" w:ascii="inter" w:hAnsi="inter"/>
          <w:b/>
          <w:color w:val="000000"/>
          <w:sz w:val="21"/>
        </w:rPr>
        <w:t xml:space="preserve">5x faster execution</w:t>
      </w:r>
      <w:r>
        <w:rPr>
          <w:rFonts w:eastAsia="inter" w:cs="inter" w:ascii="inter" w:hAnsi="inter"/>
          <w:color w:val="000000"/>
          <w:sz w:val="21"/>
        </w:rPr>
        <w:t xml:space="preserve">: Account handoffs, methodology implementation, etc.</w:t>
      </w:r>
    </w:p>
    <w:p>
      <w:pPr>
        <w:numPr>
          <w:ilvl w:val="0"/>
          <w:numId w:val="23"/>
        </w:numPr>
        <w:spacing w:line="360" w:before="105" w:after="105" w:lineRule="auto"/>
      </w:pPr>
      <w:r>
        <w:rPr>
          <w:rFonts w:eastAsia="inter" w:cs="inter" w:ascii="inter" w:hAnsi="inter"/>
          <w:b/>
          <w:color w:val="000000"/>
          <w:sz w:val="21"/>
        </w:rPr>
        <w:t xml:space="preserve">Measure effectiveness</w:t>
      </w:r>
      <w:r>
        <w:rPr>
          <w:rFonts w:eastAsia="inter" w:cs="inter" w:ascii="inter" w:hAnsi="inter"/>
          <w:color w:val="000000"/>
          <w:sz w:val="21"/>
        </w:rPr>
        <w:t xml:space="preserve">: Scale winning plays based on outcome data</w:t>
      </w:r>
    </w:p>
    <w:p>
      <w:pPr>
        <w:spacing w:line="360" w:after="210" w:lineRule="auto"/>
      </w:pPr>
      <w:r>
        <w:rPr>
          <w:rFonts w:eastAsia="inter" w:cs="inter" w:ascii="inter" w:hAnsi="inter"/>
          <w:color w:val="000000"/>
        </w:rPr>
        <w:t xml:space="preserve">This is compelling positioning. If executed well, Orchestrate could be a genuine differentiation—moving Gong from a "data and insights" company to an "orchestration engine" company. The addressable market would expand: large enterprises would buy Orchestrate to standardize sales operations, not just for insights.</w:t>
      </w:r>
    </w:p>
    <w:p>
      <w:pPr>
        <w:spacing w:line="360" w:after="210" w:lineRule="auto"/>
      </w:pPr>
      <w:r>
        <w:rPr>
          <w:rFonts w:eastAsia="inter" w:cs="inter" w:ascii="inter" w:hAnsi="inter"/>
          <w:b/>
          <w:color w:val="000000"/>
        </w:rPr>
        <w:t xml:space="preserve">Execution reality</w:t>
      </w:r>
      <w:r>
        <w:rPr>
          <w:rFonts w:eastAsia="inter" w:cs="inter" w:ascii="inter" w:hAnsi="inter"/>
          <w:color w:val="000000"/>
        </w:rPr>
        <w:t xml:space="preserve">: Orchestrate remains on waitlist as of January 2026, originally promised for Q2 2025. Multiple months of delay signal either product complexity or resource constraints. Given Gong's typical 3-to-6-month implementation timelines, early customers will not see value until Q4 2025 or Q1 2026—nearly one year after announcement.</w:t>
      </w:r>
    </w:p>
    <w:p>
      <w:pPr>
        <w:spacing w:line="360" w:after="210" w:lineRule="auto"/>
      </w:pPr>
      <w:r>
        <w:rPr>
          <w:rFonts w:eastAsia="inter" w:cs="inter" w:ascii="inter" w:hAnsi="inter"/>
          <w:b/>
          <w:color w:val="000000"/>
        </w:rPr>
        <w:t xml:space="preserve">This delay matters</w:t>
      </w:r>
      <w:r>
        <w:rPr>
          <w:rFonts w:eastAsia="inter" w:cs="inter" w:ascii="inter" w:hAnsi="inter"/>
          <w:color w:val="000000"/>
        </w:rPr>
        <w:t xml:space="preserve"> because:</w:t>
      </w:r>
    </w:p>
    <w:p>
      <w:pPr>
        <w:numPr>
          <w:ilvl w:val="0"/>
          <w:numId w:val="24"/>
        </w:numPr>
        <w:spacing w:line="360" w:before="105" w:after="105" w:lineRule="auto"/>
      </w:pPr>
      <w:r>
        <w:rPr>
          <w:rFonts w:eastAsia="inter" w:cs="inter" w:ascii="inter" w:hAnsi="inter"/>
          <w:color w:val="000000"/>
          <w:sz w:val="21"/>
        </w:rPr>
        <w:t xml:space="preserve">Competitors are watching; Salesloft, </w:t>
      </w:r>
      <w:hyperlink r:id="rId20">
        <w:r>
          <w:rPr>
            <w:rFonts w:eastAsia="inter" w:cs="inter" w:ascii="inter" w:hAnsi="inter"/>
            <w:color w:val="#000"/>
            <w:sz w:val="21"/>
            <w:u w:val="single"/>
          </w:rPr>
          <w:t xml:space="preserve">Revenue.io</w:t>
        </w:r>
      </w:hyperlink>
      <w:r>
        <w:rPr>
          <w:rFonts w:eastAsia="inter" w:cs="inter" w:ascii="inter" w:hAnsi="inter"/>
          <w:color w:val="000000"/>
          <w:sz w:val="21"/>
        </w:rPr>
        <w:t xml:space="preserve"> may launch competing features</w:t>
      </w:r>
    </w:p>
    <w:p>
      <w:pPr>
        <w:numPr>
          <w:ilvl w:val="0"/>
          <w:numId w:val="24"/>
        </w:numPr>
        <w:spacing w:line="360" w:before="105" w:after="105" w:lineRule="auto"/>
      </w:pPr>
      <w:r>
        <w:rPr>
          <w:rFonts w:eastAsia="inter" w:cs="inter" w:ascii="inter" w:hAnsi="inter"/>
          <w:color w:val="000000"/>
          <w:sz w:val="21"/>
        </w:rPr>
        <w:t xml:space="preserve">Customer expectations are set; delays erode credibility</w:t>
      </w:r>
    </w:p>
    <w:p>
      <w:pPr>
        <w:numPr>
          <w:ilvl w:val="0"/>
          <w:numId w:val="24"/>
        </w:numPr>
        <w:spacing w:line="360" w:before="105" w:after="105" w:lineRule="auto"/>
      </w:pPr>
      <w:r>
        <w:rPr>
          <w:rFonts w:eastAsia="inter" w:cs="inter" w:ascii="inter" w:hAnsi="inter"/>
          <w:color w:val="000000"/>
          <w:sz w:val="21"/>
        </w:rPr>
        <w:t xml:space="preserve">TAM growth is plateauing; Gong needs new revenue sources, and Orchestrate is the primary vehicle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viii_gong_s_market_position_gartn_58ab44"/>
      <w:r>
        <w:rPr>
          <w:rFonts w:eastAsia="inter" w:cs="inter" w:ascii="inter" w:hAnsi="inter"/>
          <w:b/>
          <w:color w:val="000000"/>
          <w:sz w:val="24"/>
        </w:rPr>
        <w:t xml:space="preserve">VIII. GONG'S MARKET POSITION: GARTNER QUADRANT &amp; ANALYST VALIDATION</w:t>
      </w:r>
      <w:bookmarkEnd w:id="81"/>
    </w:p>
    <w:p>
      <w:pPr>
        <w:spacing w:line="360" w:before="315" w:after="105" w:lineRule="auto"/>
        <w:ind w:left="-30"/>
        <w:jc w:val="left"/>
      </w:pPr>
      <w:bookmarkStart w:id="82" w:name="the_2025_magic_quadrant_victory_w_4e30df"/>
      <w:r>
        <w:rPr>
          <w:rFonts w:eastAsia="inter" w:cs="inter" w:ascii="inter" w:hAnsi="inter"/>
          <w:b/>
          <w:color w:val="000000"/>
          <w:sz w:val="24"/>
        </w:rPr>
        <w:t xml:space="preserve">The 2025 Magic Quadrant Victory (with Caveats)</w:t>
      </w:r>
      <w:bookmarkEnd w:id="82"/>
    </w:p>
    <w:p>
      <w:pPr>
        <w:spacing w:line="360" w:after="210" w:lineRule="auto"/>
      </w:pPr>
      <w:r>
        <w:rPr>
          <w:rFonts w:eastAsia="inter" w:cs="inter" w:ascii="inter" w:hAnsi="inter"/>
          <w:color w:val="000000"/>
        </w:rPr>
        <w:t xml:space="preserve">Gong was named a </w:t>
      </w:r>
      <w:r>
        <w:rPr>
          <w:rFonts w:eastAsia="inter" w:cs="inter" w:ascii="inter" w:hAnsi="inter"/>
          <w:b/>
          <w:color w:val="000000"/>
        </w:rPr>
        <w:t xml:space="preserve">Leader in the 2025 Gartner Magic Quadrant for Revenue Action Orchestration (RAO)</w:t>
      </w:r>
      <w:r>
        <w:rPr>
          <w:rFonts w:eastAsia="inter" w:cs="inter" w:ascii="inter" w:hAnsi="inter"/>
          <w:color w:val="000000"/>
        </w:rPr>
        <w:t xml:space="preserve">, positioned highest on "Ability to Execute" axis and furthest on "Completeness of Vision" axis. Gong also ranked first across all four evaluated use cases: acquire new customers, retain/grow accounts, manage pipeline/forecast, coach sales talent.</w:t>
      </w:r>
      <w:bookmarkStart w:id="83" w:name="fnref48"/>
      <w:bookmarkEnd w:id="83"/>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This is unambiguous market validation. The inaugural RAO quadrant emerged from the convergence of previous "Sales Engagement" and "Revenue Intelligence" quadrants, signaling industry recognition that the market has evolved beyond point solutions toward orchestration platforms.</w:t>
      </w:r>
    </w:p>
    <w:p>
      <w:pPr>
        <w:spacing w:line="360" w:after="210" w:lineRule="auto"/>
      </w:pPr>
      <w:r>
        <w:rPr>
          <w:rFonts w:eastAsia="inter" w:cs="inter" w:ascii="inter" w:hAnsi="inter"/>
          <w:b/>
          <w:color w:val="000000"/>
        </w:rPr>
        <w:t xml:space="preserve">Caveats</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"Ability to Execute" does not mean "execution velocity"—Gong is strong on execution, but not fast</w:t>
      </w:r>
    </w:p>
    <w:p>
      <w:pPr>
        <w:numPr>
          <w:ilvl w:val="0"/>
          <w:numId w:val="25"/>
        </w:numPr>
        <w:spacing w:line="360" w:before="105" w:after="105" w:lineRule="auto"/>
      </w:pPr>
      <w:r>
        <w:rPr>
          <w:rFonts w:eastAsia="inter" w:cs="inter" w:ascii="inter" w:hAnsi="inter"/>
          <w:color w:val="000000"/>
          <w:sz w:val="21"/>
        </w:rPr>
        <w:t xml:space="preserve">The quadrant includes only 12 vendors; being a Leader among 12 is not the same as dominance in a fragmented market</w:t>
      </w:r>
    </w:p>
    <w:p>
      <w:pPr>
        <w:numPr>
          <w:ilvl w:val="0"/>
          <w:numId w:val="25"/>
        </w:numPr>
        <w:spacing w:line="360" w:before="105" w:after="105" w:lineRule="auto"/>
      </w:pPr>
      <w:r>
        <w:rPr>
          <w:rFonts w:eastAsia="inter" w:cs="inter" w:ascii="inter" w:hAnsi="inter"/>
          <w:color w:val="000000"/>
          <w:sz w:val="21"/>
        </w:rPr>
        <w:t xml:space="preserve">Gartner's quadrant is backward-looking; by the time Gong was named a Leader, Orchestrate was not yet in customer hands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ix_strategic_recommendations_outlook"/>
      <w:r>
        <w:rPr>
          <w:rFonts w:eastAsia="inter" w:cs="inter" w:ascii="inter" w:hAnsi="inter"/>
          <w:b/>
          <w:color w:val="000000"/>
          <w:sz w:val="24"/>
        </w:rPr>
        <w:t xml:space="preserve">IX. STRATEGIC RECOMMENDATIONS &amp; OUTLOOK</w:t>
      </w:r>
      <w:bookmarkEnd w:id="84"/>
    </w:p>
    <w:p>
      <w:pPr>
        <w:spacing w:line="360" w:before="315" w:after="105" w:lineRule="auto"/>
        <w:ind w:left="-30"/>
        <w:jc w:val="left"/>
      </w:pPr>
      <w:bookmarkStart w:id="85" w:name="what_gong_must_do_to_defend_its_position"/>
      <w:r>
        <w:rPr>
          <w:rFonts w:eastAsia="inter" w:cs="inter" w:ascii="inter" w:hAnsi="inter"/>
          <w:b/>
          <w:color w:val="000000"/>
          <w:sz w:val="24"/>
        </w:rPr>
        <w:t xml:space="preserve">What Gong Must Do to Defend Its Position</w:t>
      </w:r>
      <w:bookmarkEnd w:id="85"/>
    </w:p>
    <w:p>
      <w:pPr>
        <w:spacing w:line="360" w:after="210" w:lineRule="auto"/>
      </w:pPr>
      <w:r>
        <w:rPr>
          <w:rFonts w:eastAsia="inter" w:cs="inter" w:ascii="inter" w:hAnsi="inter"/>
          <w:b/>
          <w:color w:val="000000"/>
        </w:rPr>
        <w:t xml:space="preserve">Immediate priorities (2026)</w:t>
      </w:r>
      <w:r>
        <w:rPr>
          <w:rFonts w:eastAsia="inter" w:cs="inter" w:ascii="inter" w:hAnsi="inter"/>
          <w:color w:val="000000"/>
        </w:rPr>
        <w:t xml:space="preserve">:</w:t>
      </w:r>
    </w:p>
    <w:p>
      <w:pPr>
        <w:numPr>
          <w:ilvl w:val="0"/>
          <w:numId w:val="26"/>
        </w:numPr>
        <w:spacing w:line="360" w:after="210" w:lineRule="auto"/>
      </w:pPr>
      <w:r>
        <w:rPr>
          <w:rFonts w:eastAsia="inter" w:cs="inter" w:ascii="inter" w:hAnsi="inter"/>
          <w:b/>
          <w:color w:val="000000"/>
          <w:sz w:val="21"/>
        </w:rPr>
        <w:t xml:space="preserve">Solve data sovereignty with EU data center option</w:t>
      </w:r>
      <w:r>
        <w:rPr>
          <w:rFonts w:eastAsia="inter" w:cs="inter" w:ascii="inter" w:hAnsi="inter"/>
          <w:color w:val="000000"/>
          <w:sz w:val="21"/>
        </w:rPr>
        <w:t xml:space="preserve">: Prevent customer defection and open European market expansion. Estimate cost: $20–30M over 18 months. ROI: Retain $45–60M ARR and grow European business.</w:t>
      </w:r>
    </w:p>
    <w:p>
      <w:pPr>
        <w:numPr>
          <w:ilvl w:val="0"/>
          <w:numId w:val="26"/>
        </w:numPr>
        <w:spacing w:line="360" w:after="210" w:lineRule="auto"/>
      </w:pPr>
      <w:r>
        <w:rPr>
          <w:rFonts w:eastAsia="inter" w:cs="inter" w:ascii="inter" w:hAnsi="inter"/>
          <w:b/>
          <w:color w:val="000000"/>
          <w:sz w:val="21"/>
        </w:rPr>
        <w:t xml:space="preserve">Accelerate Orchestrate to GA and drive adoption</w:t>
      </w:r>
      <w:r>
        <w:rPr>
          <w:rFonts w:eastAsia="inter" w:cs="inter" w:ascii="inter" w:hAnsi="inter"/>
          <w:color w:val="000000"/>
          <w:sz w:val="21"/>
        </w:rPr>
        <w:t xml:space="preserve">: Get the product into customer hands by Q3 2026, with clear value metrics (account handoff speed, methodology adoption consistency). This is the primary product differentiation vs. point solutions.</w:t>
      </w:r>
    </w:p>
    <w:p>
      <w:pPr>
        <w:numPr>
          <w:ilvl w:val="0"/>
          <w:numId w:val="26"/>
        </w:numPr>
        <w:spacing w:line="360" w:after="210" w:lineRule="auto"/>
      </w:pPr>
      <w:r>
        <w:rPr>
          <w:rFonts w:eastAsia="inter" w:cs="inter" w:ascii="inter" w:hAnsi="inter"/>
          <w:b/>
          <w:color w:val="000000"/>
          <w:sz w:val="21"/>
        </w:rPr>
        <w:t xml:space="preserve">Launch SMB/freemium offering</w:t>
      </w:r>
      <w:r>
        <w:rPr>
          <w:rFonts w:eastAsia="inter" w:cs="inter" w:ascii="inter" w:hAnsi="inter"/>
          <w:color w:val="000000"/>
          <w:sz w:val="21"/>
        </w:rPr>
        <w:t xml:space="preserve">: Block Claap and Fireflies by introducing a $30–50/user/month tier for SMBs. Accept lower unit economics to prevent bottom-of-market defection. Estimate: Capture 10–20% of SMB market (~$50–100M ARR potential).</w:t>
      </w:r>
    </w:p>
    <w:p>
      <w:pPr>
        <w:numPr>
          <w:ilvl w:val="0"/>
          <w:numId w:val="26"/>
        </w:numPr>
        <w:spacing w:line="360" w:after="210" w:lineRule="auto"/>
      </w:pPr>
      <w:r>
        <w:rPr>
          <w:rFonts w:eastAsia="inter" w:cs="inter" w:ascii="inter" w:hAnsi="inter"/>
          <w:b/>
          <w:color w:val="000000"/>
          <w:sz w:val="21"/>
        </w:rPr>
        <w:t xml:space="preserve">Streamline implementation to &lt;6 weeks</w:t>
      </w:r>
      <w:r>
        <w:rPr>
          <w:rFonts w:eastAsia="inter" w:cs="inter" w:ascii="inter" w:hAnsi="inter"/>
          <w:color w:val="000000"/>
          <w:sz w:val="21"/>
        </w:rPr>
        <w:t xml:space="preserve">: Compress implementation timeline by 75% through automation, pre-built templates, and guided workflows. This is critical to compete with faster-deploying alternatives.</w:t>
      </w:r>
    </w:p>
    <w:p>
      <w:pPr>
        <w:numPr>
          <w:ilvl w:val="0"/>
          <w:numId w:val="26"/>
        </w:numPr>
        <w:spacing w:line="360" w:after="210" w:lineRule="auto"/>
      </w:pPr>
      <w:r>
        <w:rPr>
          <w:rFonts w:eastAsia="inter" w:cs="inter" w:ascii="inter" w:hAnsi="inter"/>
          <w:b/>
          <w:color w:val="000000"/>
          <w:sz w:val="21"/>
        </w:rPr>
        <w:t xml:space="preserve">Expand beyond sales into CS, RevOps</w:t>
      </w:r>
      <w:r>
        <w:rPr>
          <w:rFonts w:eastAsia="inter" w:cs="inter" w:ascii="inter" w:hAnsi="inter"/>
          <w:color w:val="000000"/>
          <w:sz w:val="21"/>
        </w:rPr>
        <w:t xml:space="preserve">: Drive multi-product adoption within existing customer base. 1-in-4 adoption (current) → 1-in-2 adoption (target) doubles TAM per customer.</w:t>
      </w:r>
    </w:p>
    <w:p>
      <w:pPr>
        <w:spacing w:line="360" w:before="315" w:after="105" w:lineRule="auto"/>
        <w:ind w:left="-30"/>
        <w:jc w:val="left"/>
      </w:pPr>
      <w:bookmarkStart w:id="86" w:name="medium_term_strategic_imperatives_1fae27"/>
      <w:r>
        <w:rPr>
          <w:rFonts w:eastAsia="inter" w:cs="inter" w:ascii="inter" w:hAnsi="inter"/>
          <w:b/>
          <w:color w:val="000000"/>
          <w:sz w:val="24"/>
        </w:rPr>
        <w:t xml:space="preserve">Medium-Term Strategic Imperatives (2027–2029)</w:t>
      </w:r>
      <w:bookmarkEnd w:id="86"/>
    </w:p>
    <w:p>
      <w:pPr>
        <w:numPr>
          <w:ilvl w:val="0"/>
          <w:numId w:val="27"/>
        </w:numPr>
        <w:spacing w:line="360" w:after="210" w:lineRule="auto"/>
      </w:pPr>
      <w:r>
        <w:rPr>
          <w:rFonts w:eastAsia="inter" w:cs="inter" w:ascii="inter" w:hAnsi="inter"/>
          <w:b/>
          <w:color w:val="000000"/>
          <w:sz w:val="21"/>
        </w:rPr>
        <w:t xml:space="preserve">Build developer ecosystem</w:t>
      </w:r>
      <w:r>
        <w:rPr>
          <w:rFonts w:eastAsia="inter" w:cs="inter" w:ascii="inter" w:hAnsi="inter"/>
          <w:color w:val="000000"/>
          <w:sz w:val="21"/>
        </w:rPr>
        <w:t xml:space="preserve">: Publish Gong API marketplace, offer revenue-share for integrated agents. Create switching costs through 3rd-party integrations.</w:t>
      </w:r>
    </w:p>
    <w:p>
      <w:pPr>
        <w:numPr>
          <w:ilvl w:val="0"/>
          <w:numId w:val="27"/>
        </w:numPr>
        <w:spacing w:line="360" w:after="210" w:lineRule="auto"/>
      </w:pPr>
      <w:r>
        <w:rPr>
          <w:rFonts w:eastAsia="inter" w:cs="inter" w:ascii="inter" w:hAnsi="inter"/>
          <w:b/>
          <w:color w:val="000000"/>
          <w:sz w:val="21"/>
        </w:rPr>
        <w:t xml:space="preserve">Position as "revenue OS," not "sales intelligence"</w:t>
      </w:r>
      <w:r>
        <w:rPr>
          <w:rFonts w:eastAsia="inter" w:cs="inter" w:ascii="inter" w:hAnsi="inter"/>
          <w:color w:val="000000"/>
          <w:sz w:val="21"/>
        </w:rPr>
        <w:t xml:space="preserve">: Capture wallet share from fragmented point solutions (Salesforce, HubSpot, Outreach, Salesloft). Market positioning: unified platform for all go-to-market functions.</w:t>
      </w:r>
    </w:p>
    <w:p>
      <w:pPr>
        <w:numPr>
          <w:ilvl w:val="0"/>
          <w:numId w:val="27"/>
        </w:numPr>
        <w:spacing w:line="360" w:after="210" w:lineRule="auto"/>
      </w:pPr>
      <w:r>
        <w:rPr>
          <w:rFonts w:eastAsia="inter" w:cs="inter" w:ascii="inter" w:hAnsi="inter"/>
          <w:b/>
          <w:color w:val="000000"/>
          <w:sz w:val="21"/>
        </w:rPr>
        <w:t xml:space="preserve">Pursue selective M&amp;A</w:t>
      </w:r>
      <w:r>
        <w:rPr>
          <w:rFonts w:eastAsia="inter" w:cs="inter" w:ascii="inter" w:hAnsi="inter"/>
          <w:color w:val="000000"/>
          <w:sz w:val="21"/>
        </w:rPr>
        <w:t xml:space="preserve">: Acquire complementary capabilities (e.g., intent data, account-based marketing intelligence, contract analytics) to deepen moat against competitors.</w:t>
      </w:r>
    </w:p>
    <w:p>
      <w:pPr>
        <w:numPr>
          <w:ilvl w:val="0"/>
          <w:numId w:val="27"/>
        </w:numPr>
        <w:spacing w:line="360" w:after="210" w:lineRule="auto"/>
      </w:pPr>
      <w:r>
        <w:rPr>
          <w:rFonts w:eastAsia="inter" w:cs="inter" w:ascii="inter" w:hAnsi="inter"/>
          <w:b/>
          <w:color w:val="000000"/>
          <w:sz w:val="21"/>
        </w:rPr>
        <w:t xml:space="preserve">Target profitability and IPO</w:t>
      </w:r>
      <w:r>
        <w:rPr>
          <w:rFonts w:eastAsia="inter" w:cs="inter" w:ascii="inter" w:hAnsi="inter"/>
          <w:color w:val="000000"/>
          <w:sz w:val="21"/>
        </w:rPr>
        <w:t xml:space="preserve">: With TAM growth slowing, transition from growth-at-all-costs to profitable growth. Target 40%+ gross margins, 15–20% operating margins. IPO positioning: "The unified revenue OS for enterprise go-to-market teams," valued at 12–15x revenue ($3.6–4.5B).</w:t>
      </w:r>
    </w:p>
    <w:p>
      <w:pPr>
        <w:spacing w:line="360" w:before="315" w:after="105" w:lineRule="auto"/>
        <w:ind w:left="-30"/>
        <w:jc w:val="left"/>
      </w:pPr>
      <w:bookmarkStart w:id="87" w:name="alternative_scenarios"/>
      <w:r>
        <w:rPr>
          <w:rFonts w:eastAsia="inter" w:cs="inter" w:ascii="inter" w:hAnsi="inter"/>
          <w:b/>
          <w:color w:val="000000"/>
          <w:sz w:val="24"/>
        </w:rPr>
        <w:t xml:space="preserve">Alternative Scenarios</w:t>
      </w:r>
      <w:bookmarkEnd w:id="87"/>
    </w:p>
    <w:p>
      <w:pPr>
        <w:spacing w:line="360" w:after="210" w:lineRule="auto"/>
      </w:pPr>
      <w:r>
        <w:rPr>
          <w:rFonts w:eastAsia="inter" w:cs="inter" w:ascii="inter" w:hAnsi="inter"/>
          <w:b/>
          <w:color w:val="000000"/>
        </w:rPr>
        <w:t xml:space="preserve">Scenario 1 - "Steady State" (Base Case)</w:t>
      </w:r>
      <w:r>
        <w:rPr>
          <w:rFonts w:eastAsia="inter" w:cs="inter" w:ascii="inter" w:hAnsi="inter"/>
          <w:color w:val="000000"/>
        </w:rPr>
        <w:t xml:space="preserve">: Gong remains market leader, grows 18–22% annually, achieves profitability by 2027, IPOs at $4–5B valuation. Market share erodes modestly to Chorus, Salesloft, and emerging challengers, but Gong retains 30–40% enterprise segment market share.</w:t>
      </w:r>
    </w:p>
    <w:p>
      <w:pPr>
        <w:spacing w:line="360" w:after="210" w:lineRule="auto"/>
      </w:pPr>
      <w:r>
        <w:rPr>
          <w:rFonts w:eastAsia="inter" w:cs="inter" w:ascii="inter" w:hAnsi="inter"/>
          <w:b/>
          <w:color w:val="000000"/>
        </w:rPr>
        <w:t xml:space="preserve">Scenario 2 - "Acceleration" (Bull Case)</w:t>
      </w:r>
      <w:r>
        <w:rPr>
          <w:rFonts w:eastAsia="inter" w:cs="inter" w:ascii="inter" w:hAnsi="inter"/>
          <w:color w:val="000000"/>
        </w:rPr>
        <w:t xml:space="preserve">: Orchestrate gains traction, multi-product adoption reaches 50% of customer base, European expansion via data residency. Gong grows 25–30% annually, captures share from point solutions, and IPOs at $5–6B valuation (16–18x revenue).</w:t>
      </w:r>
    </w:p>
    <w:p>
      <w:pPr>
        <w:spacing w:line="360" w:after="210" w:lineRule="auto"/>
      </w:pPr>
      <w:r>
        <w:rPr>
          <w:rFonts w:eastAsia="inter" w:cs="inter" w:ascii="inter" w:hAnsi="inter"/>
          <w:b/>
          <w:color w:val="000000"/>
        </w:rPr>
        <w:t xml:space="preserve">Scenario 3 - "Decline" (Bear Case)</w:t>
      </w:r>
      <w:r>
        <w:rPr>
          <w:rFonts w:eastAsia="inter" w:cs="inter" w:ascii="inter" w:hAnsi="inter"/>
          <w:color w:val="000000"/>
        </w:rPr>
        <w:t xml:space="preserve">: Orchestrate launch delays further, European data residency becomes regulatory blocker, mid-market defection accelerates to Claap/Fireflies. Gong growth decelerates to 12–15%, TAM contraction forces restructuring, potential acquisition by larger platform (Salesforce, HubSpot, Microsoft) at $3–3.5B 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x_conclusion_leader_with_execution_risk"/>
      <w:r>
        <w:rPr>
          <w:rFonts w:eastAsia="inter" w:cs="inter" w:ascii="inter" w:hAnsi="inter"/>
          <w:b/>
          <w:color w:val="000000"/>
          <w:sz w:val="24"/>
        </w:rPr>
        <w:t xml:space="preserve">X. CONCLUSION: LEADER WITH EXECUTION RISK</w:t>
      </w:r>
      <w:bookmarkEnd w:id="88"/>
    </w:p>
    <w:p>
      <w:pPr>
        <w:spacing w:line="360" w:after="210" w:lineRule="auto"/>
      </w:pPr>
      <w:r>
        <w:rPr>
          <w:rFonts w:eastAsia="inter" w:cs="inter" w:ascii="inter" w:hAnsi="inter"/>
          <w:color w:val="000000"/>
        </w:rPr>
        <w:t xml:space="preserve">Gong is the uncontested market leader in revenue AI, with a defensible proprietary data moat and strong enterprise position. Yet the company faces a critical inflection point as the market transitions from growth-at-all-costs to profitable consolidation, TAM expansion slows at 96% AI adoption, and emerging competitors exploit vulnerabilities in pricing, implementation speed, and data sovereignty.</w:t>
      </w:r>
    </w:p>
    <w:p>
      <w:pPr>
        <w:spacing w:line="360" w:after="210" w:lineRule="auto"/>
      </w:pPr>
      <w:r>
        <w:rPr>
          <w:rFonts w:eastAsia="inter" w:cs="inter" w:ascii="inter" w:hAnsi="inter"/>
          <w:color w:val="000000"/>
        </w:rPr>
        <w:t xml:space="preserve">The 38 percent valuation markdown from $7.25B to $4.5B (November 2025) reflects this reality: solid company, but not a unicorn. Gong remains on the path to a profitable $4–5B company, likely IPO in 2026–2027, but the venture-scale returns (10x+) that investors once expected are no longer probable.</w:t>
      </w:r>
    </w:p>
    <w:p>
      <w:pPr>
        <w:spacing w:line="360" w:after="210" w:lineRule="auto"/>
      </w:pPr>
      <w:r>
        <w:rPr>
          <w:rFonts w:eastAsia="inter" w:cs="inter" w:ascii="inter" w:hAnsi="inter"/>
          <w:color w:val="000000"/>
        </w:rPr>
        <w:t xml:space="preserve">Success depends on three factors:</w:t>
      </w:r>
    </w:p>
    <w:p>
      <w:pPr>
        <w:numPr>
          <w:ilvl w:val="0"/>
          <w:numId w:val="28"/>
        </w:numPr>
        <w:spacing w:line="360" w:before="105" w:after="105" w:lineRule="auto"/>
      </w:pPr>
      <w:r>
        <w:rPr>
          <w:rFonts w:eastAsia="inter" w:cs="inter" w:ascii="inter" w:hAnsi="inter"/>
          <w:b/>
          <w:color w:val="000000"/>
          <w:sz w:val="21"/>
        </w:rPr>
        <w:t xml:space="preserve">Execution velocity</w:t>
      </w:r>
      <w:r>
        <w:rPr>
          <w:rFonts w:eastAsia="inter" w:cs="inter" w:ascii="inter" w:hAnsi="inter"/>
          <w:color w:val="000000"/>
          <w:sz w:val="21"/>
        </w:rPr>
        <w:t xml:space="preserve">: Ship Orchestrate and prove it drives material expansion revenue</w:t>
      </w:r>
    </w:p>
    <w:p>
      <w:pPr>
        <w:numPr>
          <w:ilvl w:val="0"/>
          <w:numId w:val="28"/>
        </w:numPr>
        <w:spacing w:line="360" w:before="105" w:after="105" w:lineRule="auto"/>
      </w:pPr>
      <w:r>
        <w:rPr>
          <w:rFonts w:eastAsia="inter" w:cs="inter" w:ascii="inter" w:hAnsi="inter"/>
          <w:b/>
          <w:color w:val="000000"/>
          <w:sz w:val="21"/>
        </w:rPr>
        <w:t xml:space="preserve">Market expansion</w:t>
      </w:r>
      <w:r>
        <w:rPr>
          <w:rFonts w:eastAsia="inter" w:cs="inter" w:ascii="inter" w:hAnsi="inter"/>
          <w:color w:val="000000"/>
          <w:sz w:val="21"/>
        </w:rPr>
        <w:t xml:space="preserve">: Solve data sovereignty for Europe, launch SMB tier to capture mid-market</w:t>
      </w:r>
    </w:p>
    <w:p>
      <w:pPr>
        <w:numPr>
          <w:ilvl w:val="0"/>
          <w:numId w:val="28"/>
        </w:numPr>
        <w:spacing w:line="360" w:before="105" w:after="105" w:lineRule="auto"/>
      </w:pPr>
      <w:r>
        <w:rPr>
          <w:rFonts w:eastAsia="inter" w:cs="inter" w:ascii="inter" w:hAnsi="inter"/>
          <w:b/>
          <w:color w:val="000000"/>
          <w:sz w:val="21"/>
        </w:rPr>
        <w:t xml:space="preserve">Profitability discipline</w:t>
      </w:r>
      <w:r>
        <w:rPr>
          <w:rFonts w:eastAsia="inter" w:cs="inter" w:ascii="inter" w:hAnsi="inter"/>
          <w:color w:val="000000"/>
          <w:sz w:val="21"/>
        </w:rPr>
        <w:t xml:space="preserve">: Transition from growth metrics to unit economics and cash returns</w:t>
      </w:r>
    </w:p>
    <w:p>
      <w:pPr>
        <w:spacing w:line="360" w:after="210" w:lineRule="auto"/>
      </w:pPr>
      <w:r>
        <w:rPr>
          <w:rFonts w:eastAsia="inter" w:cs="inter" w:ascii="inter" w:hAnsi="inter"/>
          <w:color w:val="000000"/>
        </w:rPr>
        <w:t xml:space="preserve">For competitors, the opportunity is clear: niche down (specialize), price down (capture cost-sensitive segments), or speed up (faster deployment). For customers, Gong remains the best-in-class solution for enterprise revenue intelligence, but emerging alternatives now merit serious evaluation for mid-market and SMB segments.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references"/>
      <w:r>
        <w:rPr>
          <w:rFonts w:eastAsia="inter" w:cs="inter" w:ascii="inter" w:hAnsi="inter"/>
          <w:b/>
          <w:color w:val="000000"/>
          <w:sz w:val="24"/>
        </w:rPr>
        <w:t xml:space="preserve">REFERENCES</w:t>
      </w:r>
      <w:bookmarkEnd w:id="89"/>
    </w:p>
    <w:p>
      <w:pPr>
        <w:spacing w:line="360" w:after="210" w:lineRule="auto"/>
      </w:pPr>
      <w:r>
        <w:rPr>
          <w:rFonts w:eastAsia="inter" w:cs="inter" w:ascii="inter" w:hAnsi="inter"/>
          <w:color w:val="000000"/>
        </w:rPr>
        <w:t xml:space="preserve">TechCrunch, "Revenue prediction startup Gong surpasses $300M in annualized recurring revenue," March 4, 2025</w:t>
      </w:r>
      <w:bookmarkStart w:id="90" w:name="fnref1_1"/>
      <w:bookmarkEnd w:id="90"/>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Calcalist, "Gong's valuation slips to $4.5 billion in new secondary deal talks," November 16, 2025</w:t>
      </w:r>
      <w:bookmarkStart w:id="91" w:name="fnref2_1"/>
      <w:bookmarkEnd w:id="91"/>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color w:val="000000"/>
        </w:rPr>
        <w:t xml:space="preserve">Gong Labs, "State of Revenue AI 2026" report</w:t>
      </w:r>
      <w:bookmarkStart w:id="92" w:name="fnref5_1"/>
      <w:bookmarkEnd w:id="92"/>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Enterprise Times, "Gong breaks through $300 million ARR," March 6, 2025</w:t>
      </w:r>
      <w:bookmarkStart w:id="93" w:name="fnref6_1"/>
      <w:bookmarkEnd w:id="93"/>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Gong Press Release, "Gong Introduces Proprietary Generative AI Models Built for Revenue Teams," June 7, 2023</w:t>
      </w:r>
      <w:bookmarkStart w:id="94" w:name="fnref7_1"/>
      <w:bookmarkEnd w:id="94"/>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Gong Press Release, "Gong Unveils New AI Capabilities to Help Revenue Teams Drive Excellence in Execution," June 24, 2024</w:t>
      </w:r>
      <w:bookmarkStart w:id="95" w:name="fnref8_1"/>
      <w:bookmarkEnd w:id="95"/>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Gong Press Release, "Gong Unveils New AI Innovations to Help Revenue Teams Drive Growth at Scale," October 20, 2025</w:t>
      </w:r>
      <w:bookmarkStart w:id="96" w:name="fnref9_1"/>
      <w:bookmarkEnd w:id="96"/>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Gong Blog, "Gong's new product announcements bring the revenue AI operating system," October 16, 2025</w:t>
      </w:r>
      <w:bookmarkStart w:id="97" w:name="fnref10_1"/>
      <w:bookmarkEnd w:id="97"/>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Gong website, "Revenue AI OS for Revenue teams," accessed January 2026</w:t>
      </w:r>
      <w:bookmarkStart w:id="98" w:name="fnref11_1"/>
      <w:bookmarkEnd w:id="98"/>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r>
        <w:rPr>
          <w:rFonts w:eastAsia="inter" w:cs="inter" w:ascii="inter" w:hAnsi="inter"/>
          <w:color w:val="000000"/>
        </w:rPr>
        <w:t xml:space="preserve">Vivun Blog, "What Gong Announced in 2025—and Why It Won't Help," December 31, 2024</w:t>
      </w:r>
      <w:bookmarkStart w:id="99" w:name="fnref12_1"/>
      <w:bookmarkEnd w:id="99"/>
      <w:hyperlink w:anchor="fn12">
        <w:r>
          <w:rPr>
            <w:rFonts w:eastAsia="inter" w:cs="inter" w:ascii="inter" w:hAnsi="inter"/>
            <w:color w:val="#000"/>
            <w:u w:val="single"/>
            <w:vertAlign w:val="superscript"/>
          </w:rPr>
          <w:t xml:space="preserve">[12]</w:t>
        </w:r>
      </w:hyperlink>
      <w:r>
        <w:rPr>
          <w:rFonts w:eastAsia="inter" w:cs="inter" w:ascii="inter" w:hAnsi="inter"/>
          <w:color w:val="000000"/>
        </w:rPr>
        <w:br w:type="textWrapping"/>
      </w:r>
      <w:r>
        <w:rPr>
          <w:rFonts w:eastAsia="inter" w:cs="inter" w:ascii="inter" w:hAnsi="inter"/>
          <w:color w:val="000000"/>
        </w:rPr>
        <w:t xml:space="preserve">Inside HPC, "Gong Unveils AI to Orchestrate Go-to-Market Workloads," October 21, 2025</w:t>
      </w:r>
      <w:bookmarkStart w:id="100" w:name="fnref13_1"/>
      <w:bookmarkEnd w:id="100"/>
      <w:hyperlink w:anchor="fn13">
        <w:r>
          <w:rPr>
            <w:rFonts w:eastAsia="inter" w:cs="inter" w:ascii="inter" w:hAnsi="inter"/>
            <w:color w:val="#000"/>
            <w:u w:val="single"/>
            <w:vertAlign w:val="superscript"/>
          </w:rPr>
          <w:t xml:space="preserve">[13]</w:t>
        </w:r>
      </w:hyperlink>
      <w:r>
        <w:rPr>
          <w:rFonts w:eastAsia="inter" w:cs="inter" w:ascii="inter" w:hAnsi="inter"/>
          <w:color w:val="000000"/>
        </w:rPr>
        <w:br w:type="textWrapping"/>
      </w:r>
      <w:r>
        <w:rPr>
          <w:rFonts w:eastAsia="inter" w:cs="inter" w:ascii="inter" w:hAnsi="inter"/>
          <w:color w:val="000000"/>
        </w:rPr>
        <w:t xml:space="preserve">Gong Labs, "State of Revenue AI 2026" research methodology</w:t>
      </w:r>
      <w:bookmarkStart w:id="101" w:name="fnref14_1"/>
      <w:bookmarkEnd w:id="101"/>
      <w:hyperlink w:anchor="fn14">
        <w:r>
          <w:rPr>
            <w:rFonts w:eastAsia="inter" w:cs="inter" w:ascii="inter" w:hAnsi="inter"/>
            <w:color w:val="#000"/>
            <w:u w:val="single"/>
            <w:vertAlign w:val="superscript"/>
          </w:rPr>
          <w:t xml:space="preserve">[14]</w:t>
        </w:r>
      </w:hyperlink>
      <w:r>
        <w:rPr>
          <w:rFonts w:eastAsia="inter" w:cs="inter" w:ascii="inter" w:hAnsi="inter"/>
          <w:color w:val="000000"/>
        </w:rPr>
        <w:br w:type="textWrapping"/>
      </w:r>
      <w:r>
        <w:rPr>
          <w:rFonts w:eastAsia="inter" w:cs="inter" w:ascii="inter" w:hAnsi="inter"/>
          <w:color w:val="000000"/>
        </w:rPr>
        <w:t xml:space="preserve">Ibid., p. 11 (domain expertise section)</w:t>
      </w:r>
      <w:bookmarkStart w:id="102" w:name="fnref15_1"/>
      <w:bookmarkEnd w:id="102"/>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Ibid., p. 10 (forecasting adoption section)</w:t>
      </w:r>
      <w:bookmarkStart w:id="103" w:name="fnref16_1"/>
      <w:bookmarkEnd w:id="103"/>
      <w:hyperlink w:anchor="fn16">
        <w:r>
          <w:rPr>
            <w:rFonts w:eastAsia="inter" w:cs="inter" w:ascii="inter" w:hAnsi="inter"/>
            <w:color w:val="#000"/>
            <w:u w:val="single"/>
            <w:vertAlign w:val="superscript"/>
          </w:rPr>
          <w:t xml:space="preserve">[16]</w:t>
        </w:r>
      </w:hyperlink>
      <w:r>
        <w:rPr>
          <w:rFonts w:eastAsia="inter" w:cs="inter" w:ascii="inter" w:hAnsi="inter"/>
          <w:color w:val="000000"/>
        </w:rPr>
        <w:br w:type="textWrapping"/>
      </w:r>
      <w:r>
        <w:rPr>
          <w:rFonts w:eastAsia="inter" w:cs="inter" w:ascii="inter" w:hAnsi="inter"/>
          <w:color w:val="000000"/>
        </w:rPr>
        <w:t xml:space="preserve">Gong Press Release, October 20, 2025</w:t>
      </w:r>
      <w:bookmarkStart w:id="104" w:name="fnref17_1"/>
      <w:bookmarkEnd w:id="104"/>
      <w:hyperlink w:anchor="fn17">
        <w:r>
          <w:rPr>
            <w:rFonts w:eastAsia="inter" w:cs="inter" w:ascii="inter" w:hAnsi="inter"/>
            <w:color w:val="#000"/>
            <w:u w:val="single"/>
            <w:vertAlign w:val="superscript"/>
          </w:rPr>
          <w:t xml:space="preserve">[17]</w:t>
        </w:r>
      </w:hyperlink>
      <w:r>
        <w:rPr>
          <w:rFonts w:eastAsia="inter" w:cs="inter" w:ascii="inter" w:hAnsi="inter"/>
          <w:color w:val="000000"/>
        </w:rPr>
        <w:br w:type="textWrapping"/>
      </w:r>
      <w:r>
        <w:rPr>
          <w:rFonts w:eastAsia="inter" w:cs="inter" w:ascii="inter" w:hAnsi="inter"/>
          <w:color w:val="000000"/>
        </w:rPr>
        <w:t xml:space="preserve">Demand Gen Report, "Gong Unveils New AI Innovations to Help Revenue Teams," October 27, 2025</w:t>
      </w:r>
      <w:bookmarkStart w:id="105" w:name="fnref18_1"/>
      <w:bookmarkEnd w:id="105"/>
      <w:hyperlink w:anchor="fn18">
        <w:r>
          <w:rPr>
            <w:rFonts w:eastAsia="inter" w:cs="inter" w:ascii="inter" w:hAnsi="inter"/>
            <w:color w:val="#000"/>
            <w:u w:val="single"/>
            <w:vertAlign w:val="superscript"/>
          </w:rPr>
          <w:t xml:space="preserve">[18]</w:t>
        </w:r>
      </w:hyperlink>
      <w:r>
        <w:rPr>
          <w:rFonts w:eastAsia="inter" w:cs="inter" w:ascii="inter" w:hAnsi="inter"/>
          <w:color w:val="000000"/>
        </w:rPr>
        <w:br w:type="textWrapping"/>
      </w:r>
      <w:r>
        <w:rPr>
          <w:rFonts w:eastAsia="inter" w:cs="inter" w:ascii="inter" w:hAnsi="inter"/>
          <w:color w:val="000000"/>
        </w:rPr>
        <w:t xml:space="preserve">Relay.app, "Connect Gong to OpenAI - Integrations"</w:t>
      </w:r>
      <w:bookmarkStart w:id="106" w:name="fnref19_1"/>
      <w:bookmarkEnd w:id="106"/>
      <w:hyperlink w:anchor="fn19">
        <w:r>
          <w:rPr>
            <w:rFonts w:eastAsia="inter" w:cs="inter" w:ascii="inter" w:hAnsi="inter"/>
            <w:color w:val="#000"/>
            <w:u w:val="single"/>
            <w:vertAlign w:val="superscript"/>
          </w:rPr>
          <w:t xml:space="preserve">[19]</w:t>
        </w:r>
      </w:hyperlink>
      <w:r>
        <w:rPr>
          <w:rFonts w:eastAsia="inter" w:cs="inter" w:ascii="inter" w:hAnsi="inter"/>
          <w:color w:val="000000"/>
        </w:rPr>
        <w:br w:type="textWrapping"/>
      </w:r>
      <w:r>
        <w:rPr>
          <w:rFonts w:eastAsia="inter" w:cs="inter" w:ascii="inter" w:hAnsi="inter"/>
          <w:color w:val="000000"/>
        </w:rPr>
        <w:t xml:space="preserve">Pipedream, "Integrate the OpenAI (ChatGPT) API with the Gong API"</w:t>
      </w:r>
      <w:bookmarkStart w:id="107" w:name="fnref20_1"/>
      <w:bookmarkEnd w:id="107"/>
      <w:hyperlink w:anchor="fn20">
        <w:r>
          <w:rPr>
            <w:rFonts w:eastAsia="inter" w:cs="inter" w:ascii="inter" w:hAnsi="inter"/>
            <w:color w:val="#000"/>
            <w:u w:val="single"/>
            <w:vertAlign w:val="superscript"/>
          </w:rPr>
          <w:t xml:space="preserve">[20]</w:t>
        </w:r>
      </w:hyperlink>
      <w:r>
        <w:rPr>
          <w:rFonts w:eastAsia="inter" w:cs="inter" w:ascii="inter" w:hAnsi="inter"/>
          <w:color w:val="000000"/>
        </w:rPr>
        <w:br w:type="textWrapping"/>
      </w:r>
      <w:r>
        <w:rPr>
          <w:rFonts w:eastAsia="inter" w:cs="inter" w:ascii="inter" w:hAnsi="inter"/>
          <w:color w:val="000000"/>
        </w:rPr>
        <w:t xml:space="preserve">Inside HPC, October 21, 2025</w:t>
      </w:r>
      <w:bookmarkStart w:id="108" w:name="fnref21_1"/>
      <w:bookmarkEnd w:id="108"/>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r>
        <w:rPr>
          <w:rFonts w:eastAsia="inter" w:cs="inter" w:ascii="inter" w:hAnsi="inter"/>
          <w:color w:val="000000"/>
        </w:rPr>
        <w:t xml:space="preserve">Pixel Consulting, "Quick &amp; Easy Gong Salesforce Integration 2025"</w:t>
      </w:r>
      <w:bookmarkStart w:id="109" w:name="fnref22_1"/>
      <w:bookmarkEnd w:id="109"/>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hyperlink r:id="rId21">
        <w:r>
          <w:rPr>
            <w:rFonts w:eastAsia="inter" w:cs="inter" w:ascii="inter" w:hAnsi="inter"/>
            <w:color w:val="#000"/>
            <w:u w:val="single"/>
          </w:rPr>
          <w:t xml:space="preserve">Oliv.ai</w:t>
        </w:r>
      </w:hyperlink>
      <w:r>
        <w:rPr>
          <w:rFonts w:eastAsia="inter" w:cs="inter" w:ascii="inter" w:hAnsi="inter"/>
          <w:color w:val="000000"/>
        </w:rPr>
        <w:t xml:space="preserve">, "Gong Salesforce Integration Explained: 7 Steps to 10x Revenue"</w:t>
      </w:r>
      <w:bookmarkStart w:id="110" w:name="fnref23_1"/>
      <w:bookmarkEnd w:id="110"/>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r>
        <w:rPr>
          <w:rFonts w:eastAsia="inter" w:cs="inter" w:ascii="inter" w:hAnsi="inter"/>
          <w:color w:val="000000"/>
        </w:rPr>
        <w:t xml:space="preserve">Gong Labs, State of Revenue AI 2026</w:t>
      </w:r>
      <w:bookmarkStart w:id="111" w:name="fnref24_1"/>
      <w:bookmarkEnd w:id="111"/>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r>
        <w:rPr>
          <w:rFonts w:eastAsia="inter" w:cs="inter" w:ascii="inter" w:hAnsi="inter"/>
          <w:color w:val="000000"/>
        </w:rPr>
        <w:t xml:space="preserve">Gong Press Release, March 5, 2025</w:t>
      </w:r>
      <w:bookmarkStart w:id="112" w:name="fnref25_1"/>
      <w:bookmarkEnd w:id="112"/>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hyperlink r:id="rId22">
        <w:r>
          <w:rPr>
            <w:rFonts w:eastAsia="inter" w:cs="inter" w:ascii="inter" w:hAnsi="inter"/>
            <w:color w:val="#000"/>
            <w:u w:val="single"/>
          </w:rPr>
          <w:t xml:space="preserve">Oliv.ai</w:t>
        </w:r>
      </w:hyperlink>
      <w:r>
        <w:rPr>
          <w:rFonts w:eastAsia="inter" w:cs="inter" w:ascii="inter" w:hAnsi="inter"/>
          <w:color w:val="000000"/>
        </w:rPr>
        <w:t xml:space="preserve">, "Gong DPA and Security Review: Compliance Analysis 2025"</w:t>
      </w:r>
      <w:bookmarkStart w:id="113" w:name="fnref26_1"/>
      <w:bookmarkEnd w:id="113"/>
      <w:hyperlink w:anchor="fn26">
        <w:r>
          <w:rPr>
            <w:rFonts w:eastAsia="inter" w:cs="inter" w:ascii="inter" w:hAnsi="inter"/>
            <w:color w:val="#000"/>
            <w:u w:val="single"/>
            <w:vertAlign w:val="superscript"/>
          </w:rPr>
          <w:t xml:space="preserve">[26]</w:t>
        </w:r>
      </w:hyperlink>
      <w:r>
        <w:rPr>
          <w:rFonts w:eastAsia="inter" w:cs="inter" w:ascii="inter" w:hAnsi="inter"/>
          <w:color w:val="000000"/>
        </w:rPr>
        <w:br w:type="textWrapping"/>
      </w:r>
      <w:r>
        <w:rPr>
          <w:rFonts w:eastAsia="inter" w:cs="inter" w:ascii="inter" w:hAnsi="inter"/>
          <w:color w:val="000000"/>
        </w:rPr>
        <w:t xml:space="preserve">Gong Privacy Policy, accessed January 2026</w:t>
      </w:r>
      <w:bookmarkStart w:id="114" w:name="fnref27_1"/>
      <w:bookmarkEnd w:id="114"/>
      <w:hyperlink w:anchor="fn27">
        <w:r>
          <w:rPr>
            <w:rFonts w:eastAsia="inter" w:cs="inter" w:ascii="inter" w:hAnsi="inter"/>
            <w:color w:val="#000"/>
            <w:u w:val="single"/>
            <w:vertAlign w:val="superscript"/>
          </w:rPr>
          <w:t xml:space="preserve">[27]</w:t>
        </w:r>
      </w:hyperlink>
      <w:r>
        <w:rPr>
          <w:rFonts w:eastAsia="inter" w:cs="inter" w:ascii="inter" w:hAnsi="inter"/>
          <w:color w:val="000000"/>
        </w:rPr>
        <w:br w:type="textWrapping"/>
      </w:r>
      <w:r>
        <w:rPr>
          <w:rFonts w:eastAsia="inter" w:cs="inter" w:ascii="inter" w:hAnsi="inter"/>
          <w:color w:val="000000"/>
        </w:rPr>
        <w:t xml:space="preserve">Sacra, "Gong revenue, valuation &amp; funding," December 18, 2025</w:t>
      </w:r>
      <w:bookmarkStart w:id="115" w:name="fnref28_1"/>
      <w:bookmarkEnd w:id="115"/>
      <w:hyperlink w:anchor="fn28">
        <w:r>
          <w:rPr>
            <w:rFonts w:eastAsia="inter" w:cs="inter" w:ascii="inter" w:hAnsi="inter"/>
            <w:color w:val="#000"/>
            <w:u w:val="single"/>
            <w:vertAlign w:val="superscript"/>
          </w:rPr>
          <w:t xml:space="preserve">[28]</w:t>
        </w:r>
      </w:hyperlink>
      <w:r>
        <w:rPr>
          <w:rFonts w:eastAsia="inter" w:cs="inter" w:ascii="inter" w:hAnsi="inter"/>
          <w:color w:val="000000"/>
        </w:rPr>
        <w:br w:type="textWrapping"/>
      </w:r>
      <w:r>
        <w:rPr>
          <w:rFonts w:eastAsia="inter" w:cs="inter" w:ascii="inter" w:hAnsi="inter"/>
          <w:color w:val="000000"/>
        </w:rPr>
        <w:t xml:space="preserve">Demand Gen Report, "Gong Surpasses $300M in Annual Recurring Revenue," March 6, 2025</w:t>
      </w:r>
      <w:bookmarkStart w:id="116" w:name="fnref29_1"/>
      <w:bookmarkEnd w:id="116"/>
      <w:hyperlink w:anchor="fn29">
        <w:r>
          <w:rPr>
            <w:rFonts w:eastAsia="inter" w:cs="inter" w:ascii="inter" w:hAnsi="inter"/>
            <w:color w:val="#000"/>
            <w:u w:val="single"/>
            <w:vertAlign w:val="superscript"/>
          </w:rPr>
          <w:t xml:space="preserve">[29]</w:t>
        </w:r>
      </w:hyperlink>
      <w:r>
        <w:rPr>
          <w:rFonts w:eastAsia="inter" w:cs="inter" w:ascii="inter" w:hAnsi="inter"/>
          <w:color w:val="000000"/>
        </w:rPr>
        <w:br w:type="textWrapping"/>
      </w:r>
      <w:r>
        <w:rPr>
          <w:rFonts w:eastAsia="inter" w:cs="inter" w:ascii="inter" w:hAnsi="inter"/>
          <w:color w:val="000000"/>
        </w:rPr>
        <w:t xml:space="preserve">Calcalist, November 16, 2025</w:t>
      </w:r>
      <w:bookmarkStart w:id="117" w:name="fnref30_1"/>
      <w:bookmarkEnd w:id="117"/>
      <w:hyperlink w:anchor="fn30">
        <w:r>
          <w:rPr>
            <w:rFonts w:eastAsia="inter" w:cs="inter" w:ascii="inter" w:hAnsi="inter"/>
            <w:color w:val="#000"/>
            <w:u w:val="single"/>
            <w:vertAlign w:val="superscript"/>
          </w:rPr>
          <w:t xml:space="preserve">[30]</w:t>
        </w:r>
      </w:hyperlink>
      <w:r>
        <w:rPr>
          <w:rFonts w:eastAsia="inter" w:cs="inter" w:ascii="inter" w:hAnsi="inter"/>
          <w:color w:val="000000"/>
        </w:rPr>
        <w:br w:type="textWrapping"/>
      </w:r>
      <w:r>
        <w:rPr>
          <w:rFonts w:eastAsia="inter" w:cs="inter" w:ascii="inter" w:hAnsi="inter"/>
          <w:color w:val="000000"/>
        </w:rPr>
        <w:t xml:space="preserve">TechCrunch, March 5, 2025</w:t>
      </w:r>
      <w:bookmarkStart w:id="118" w:name="fnref31_1"/>
      <w:bookmarkEnd w:id="118"/>
      <w:hyperlink w:anchor="fn31">
        <w:r>
          <w:rPr>
            <w:rFonts w:eastAsia="inter" w:cs="inter" w:ascii="inter" w:hAnsi="inter"/>
            <w:color w:val="#000"/>
            <w:u w:val="single"/>
            <w:vertAlign w:val="superscript"/>
          </w:rPr>
          <w:t xml:space="preserve">[31]</w:t>
        </w:r>
      </w:hyperlink>
      <w:r>
        <w:rPr>
          <w:rFonts w:eastAsia="inter" w:cs="inter" w:ascii="inter" w:hAnsi="inter"/>
          <w:color w:val="000000"/>
        </w:rPr>
        <w:br w:type="textWrapping"/>
      </w:r>
      <w:r>
        <w:rPr>
          <w:rFonts w:eastAsia="inter" w:cs="inter" w:ascii="inter" w:hAnsi="inter"/>
          <w:color w:val="000000"/>
        </w:rPr>
        <w:t xml:space="preserve">Gong Labs, State of Revenue AI 2026, p. 4</w:t>
      </w:r>
      <w:bookmarkStart w:id="119" w:name="fnref32_1"/>
      <w:bookmarkEnd w:id="119"/>
      <w:hyperlink w:anchor="fn32">
        <w:r>
          <w:rPr>
            <w:rFonts w:eastAsia="inter" w:cs="inter" w:ascii="inter" w:hAnsi="inter"/>
            <w:color w:val="#000"/>
            <w:u w:val="single"/>
            <w:vertAlign w:val="superscript"/>
          </w:rPr>
          <w:t xml:space="preserve">[32]</w:t>
        </w:r>
      </w:hyperlink>
      <w:r>
        <w:rPr>
          <w:rFonts w:eastAsia="inter" w:cs="inter" w:ascii="inter" w:hAnsi="inter"/>
          <w:color w:val="000000"/>
        </w:rPr>
        <w:br w:type="textWrapping"/>
      </w:r>
      <w:r>
        <w:rPr>
          <w:rFonts w:eastAsia="inter" w:cs="inter" w:ascii="inter" w:hAnsi="inter"/>
          <w:color w:val="000000"/>
        </w:rPr>
        <w:t xml:space="preserve">Gong customer success software, accessed January 2026</w:t>
      </w:r>
      <w:bookmarkStart w:id="120" w:name="fnref33_1"/>
      <w:bookmarkEnd w:id="120"/>
      <w:hyperlink w:anchor="fn33">
        <w:r>
          <w:rPr>
            <w:rFonts w:eastAsia="inter" w:cs="inter" w:ascii="inter" w:hAnsi="inter"/>
            <w:color w:val="#000"/>
            <w:u w:val="single"/>
            <w:vertAlign w:val="superscript"/>
          </w:rPr>
          <w:t xml:space="preserve">[33]</w:t>
        </w:r>
      </w:hyperlink>
      <w:r>
        <w:rPr>
          <w:rFonts w:eastAsia="inter" w:cs="inter" w:ascii="inter" w:hAnsi="inter"/>
          <w:color w:val="000000"/>
        </w:rPr>
        <w:br w:type="textWrapping"/>
      </w:r>
      <w:r>
        <w:rPr>
          <w:rFonts w:eastAsia="inter" w:cs="inter" w:ascii="inter" w:hAnsi="inter"/>
          <w:color w:val="000000"/>
        </w:rPr>
        <w:t xml:space="preserve">Gong Press Release, March 5, 2025 (customer wins section)</w:t>
      </w:r>
      <w:bookmarkStart w:id="121" w:name="fnref34_1"/>
      <w:bookmarkEnd w:id="121"/>
      <w:hyperlink w:anchor="fn34">
        <w:r>
          <w:rPr>
            <w:rFonts w:eastAsia="inter" w:cs="inter" w:ascii="inter" w:hAnsi="inter"/>
            <w:color w:val="#000"/>
            <w:u w:val="single"/>
            <w:vertAlign w:val="superscript"/>
          </w:rPr>
          <w:t xml:space="preserve">[34]</w:t>
        </w:r>
      </w:hyperlink>
      <w:r>
        <w:rPr>
          <w:rFonts w:eastAsia="inter" w:cs="inter" w:ascii="inter" w:hAnsi="inter"/>
          <w:color w:val="000000"/>
        </w:rPr>
        <w:br w:type="textWrapping"/>
      </w:r>
      <w:r>
        <w:rPr>
          <w:rFonts w:eastAsia="inter" w:cs="inter" w:ascii="inter" w:hAnsi="inter"/>
          <w:color w:val="000000"/>
        </w:rPr>
        <w:t xml:space="preserve">Demand Gen Report, March 6, 2025</w:t>
      </w:r>
      <w:bookmarkStart w:id="122" w:name="fnref35_1"/>
      <w:bookmarkEnd w:id="122"/>
      <w:hyperlink w:anchor="fn35">
        <w:r>
          <w:rPr>
            <w:rFonts w:eastAsia="inter" w:cs="inter" w:ascii="inter" w:hAnsi="inter"/>
            <w:color w:val="#000"/>
            <w:u w:val="single"/>
            <w:vertAlign w:val="superscript"/>
          </w:rPr>
          <w:t xml:space="preserve">[35]</w:t>
        </w:r>
      </w:hyperlink>
      <w:r>
        <w:rPr>
          <w:rFonts w:eastAsia="inter" w:cs="inter" w:ascii="inter" w:hAnsi="inter"/>
          <w:color w:val="000000"/>
        </w:rPr>
        <w:br w:type="textWrapping"/>
      </w:r>
      <w:hyperlink r:id="rId23">
        <w:r>
          <w:rPr>
            <w:rFonts w:eastAsia="inter" w:cs="inter" w:ascii="inter" w:hAnsi="inter"/>
            <w:color w:val="#000"/>
            <w:u w:val="single"/>
          </w:rPr>
          <w:t xml:space="preserve">Oliv.ai</w:t>
        </w:r>
      </w:hyperlink>
      <w:r>
        <w:rPr>
          <w:rFonts w:eastAsia="inter" w:cs="inter" w:ascii="inter" w:hAnsi="inter"/>
          <w:color w:val="000000"/>
        </w:rPr>
        <w:t xml:space="preserve">, "Gong DPA and Security Review," July 4, 2025</w:t>
      </w:r>
      <w:bookmarkStart w:id="123" w:name="fnref36_1"/>
      <w:bookmarkEnd w:id="123"/>
      <w:hyperlink w:anchor="fn36">
        <w:r>
          <w:rPr>
            <w:rFonts w:eastAsia="inter" w:cs="inter" w:ascii="inter" w:hAnsi="inter"/>
            <w:color w:val="#000"/>
            <w:u w:val="single"/>
            <w:vertAlign w:val="superscript"/>
          </w:rPr>
          <w:t xml:space="preserve">[36]</w:t>
        </w:r>
      </w:hyperlink>
      <w:r>
        <w:rPr>
          <w:rFonts w:eastAsia="inter" w:cs="inter" w:ascii="inter" w:hAnsi="inter"/>
          <w:color w:val="000000"/>
        </w:rPr>
        <w:br w:type="textWrapping"/>
      </w:r>
      <w:hyperlink r:id="rId24">
        <w:r>
          <w:rPr>
            <w:rFonts w:eastAsia="inter" w:cs="inter" w:ascii="inter" w:hAnsi="inter"/>
            <w:color w:val="#000"/>
            <w:u w:val="single"/>
          </w:rPr>
          <w:t xml:space="preserve">Oliv.ai</w:t>
        </w:r>
      </w:hyperlink>
      <w:r>
        <w:rPr>
          <w:rFonts w:eastAsia="inter" w:cs="inter" w:ascii="inter" w:hAnsi="inter"/>
          <w:color w:val="000000"/>
        </w:rPr>
        <w:t xml:space="preserve">, "Gong vs Salesloft," July 17, 2025</w:t>
      </w:r>
      <w:bookmarkStart w:id="124" w:name="fnref37_1"/>
      <w:bookmarkEnd w:id="124"/>
      <w:hyperlink w:anchor="fn37">
        <w:r>
          <w:rPr>
            <w:rFonts w:eastAsia="inter" w:cs="inter" w:ascii="inter" w:hAnsi="inter"/>
            <w:color w:val="#000"/>
            <w:u w:val="single"/>
            <w:vertAlign w:val="superscript"/>
          </w:rPr>
          <w:t xml:space="preserve">[37]</w:t>
        </w:r>
      </w:hyperlink>
      <w:r>
        <w:rPr>
          <w:rFonts w:eastAsia="inter" w:cs="inter" w:ascii="inter" w:hAnsi="inter"/>
          <w:color w:val="000000"/>
        </w:rPr>
        <w:br w:type="textWrapping"/>
      </w:r>
      <w:hyperlink r:id="rId25">
        <w:r>
          <w:rPr>
            <w:rFonts w:eastAsia="inter" w:cs="inter" w:ascii="inter" w:hAnsi="inter"/>
            <w:color w:val="#000"/>
            <w:u w:val="single"/>
          </w:rPr>
          <w:t xml:space="preserve">Oliv.ai</w:t>
        </w:r>
      </w:hyperlink>
      <w:r>
        <w:rPr>
          <w:rFonts w:eastAsia="inter" w:cs="inter" w:ascii="inter" w:hAnsi="inter"/>
          <w:color w:val="000000"/>
        </w:rPr>
        <w:t xml:space="preserve">, "Why Gong Implementation Takes 6 Months," October 2, 2025</w:t>
      </w:r>
      <w:bookmarkStart w:id="125" w:name="fnref38_1"/>
      <w:bookmarkEnd w:id="125"/>
      <w:hyperlink w:anchor="fn38">
        <w:r>
          <w:rPr>
            <w:rFonts w:eastAsia="inter" w:cs="inter" w:ascii="inter" w:hAnsi="inter"/>
            <w:color w:val="#000"/>
            <w:u w:val="single"/>
            <w:vertAlign w:val="superscript"/>
          </w:rPr>
          <w:t xml:space="preserve">[38]</w:t>
        </w:r>
      </w:hyperlink>
      <w:r>
        <w:rPr>
          <w:rFonts w:eastAsia="inter" w:cs="inter" w:ascii="inter" w:hAnsi="inter"/>
          <w:color w:val="000000"/>
        </w:rPr>
        <w:br w:type="textWrapping"/>
      </w:r>
      <w:r>
        <w:rPr>
          <w:rFonts w:eastAsia="inter" w:cs="inter" w:ascii="inter" w:hAnsi="inter"/>
          <w:color w:val="000000"/>
        </w:rPr>
        <w:t xml:space="preserve">Claap, "9 Affordable Gong Alternatives," December 28, 2025</w:t>
      </w:r>
      <w:bookmarkStart w:id="126" w:name="fnref39_1"/>
      <w:bookmarkEnd w:id="126"/>
      <w:hyperlink w:anchor="fn39">
        <w:r>
          <w:rPr>
            <w:rFonts w:eastAsia="inter" w:cs="inter" w:ascii="inter" w:hAnsi="inter"/>
            <w:color w:val="#000"/>
            <w:u w:val="single"/>
            <w:vertAlign w:val="superscript"/>
          </w:rPr>
          <w:t xml:space="preserve">[39]</w:t>
        </w:r>
      </w:hyperlink>
      <w:r>
        <w:rPr>
          <w:rFonts w:eastAsia="inter" w:cs="inter" w:ascii="inter" w:hAnsi="inter"/>
          <w:color w:val="000000"/>
        </w:rPr>
        <w:br w:type="textWrapping"/>
      </w:r>
      <w:hyperlink r:id="rId26">
        <w:r>
          <w:rPr>
            <w:rFonts w:eastAsia="inter" w:cs="inter" w:ascii="inter" w:hAnsi="inter"/>
            <w:color w:val="#000"/>
            <w:u w:val="single"/>
          </w:rPr>
          <w:t xml:space="preserve">Revenue.io</w:t>
        </w:r>
      </w:hyperlink>
      <w:r>
        <w:rPr>
          <w:rFonts w:eastAsia="inter" w:cs="inter" w:ascii="inter" w:hAnsi="inter"/>
          <w:color w:val="000000"/>
        </w:rPr>
        <w:t xml:space="preserve">, "Best Gong Alternatives &amp; Competitors in 2026"</w:t>
      </w:r>
      <w:bookmarkStart w:id="127" w:name="fnref40_1"/>
      <w:bookmarkEnd w:id="127"/>
      <w:hyperlink w:anchor="fn40">
        <w:r>
          <w:rPr>
            <w:rFonts w:eastAsia="inter" w:cs="inter" w:ascii="inter" w:hAnsi="inter"/>
            <w:color w:val="#000"/>
            <w:u w:val="single"/>
            <w:vertAlign w:val="superscript"/>
          </w:rPr>
          <w:t xml:space="preserve">[40]</w:t>
        </w:r>
      </w:hyperlink>
      <w:r>
        <w:rPr>
          <w:rFonts w:eastAsia="inter" w:cs="inter" w:ascii="inter" w:hAnsi="inter"/>
          <w:color w:val="000000"/>
        </w:rPr>
        <w:br w:type="textWrapping"/>
      </w:r>
      <w:hyperlink r:id="rId27">
        <w:r>
          <w:rPr>
            <w:rFonts w:eastAsia="inter" w:cs="inter" w:ascii="inter" w:hAnsi="inter"/>
            <w:color w:val="#000"/>
            <w:u w:val="single"/>
          </w:rPr>
          <w:t xml:space="preserve">Claap.io</w:t>
        </w:r>
      </w:hyperlink>
      <w:r>
        <w:rPr>
          <w:rFonts w:eastAsia="inter" w:cs="inter" w:ascii="inter" w:hAnsi="inter"/>
          <w:color w:val="000000"/>
        </w:rPr>
        <w:t xml:space="preserve">, "Gong vs. Chorus," December 16, 2025</w:t>
      </w:r>
      <w:bookmarkStart w:id="128" w:name="fnref41_1"/>
      <w:bookmarkEnd w:id="128"/>
      <w:hyperlink w:anchor="fn41">
        <w:r>
          <w:rPr>
            <w:rFonts w:eastAsia="inter" w:cs="inter" w:ascii="inter" w:hAnsi="inter"/>
            <w:color w:val="#000"/>
            <w:u w:val="single"/>
            <w:vertAlign w:val="superscript"/>
          </w:rPr>
          <w:t xml:space="preserve">[41]</w:t>
        </w:r>
      </w:hyperlink>
      <w:r>
        <w:rPr>
          <w:rFonts w:eastAsia="inter" w:cs="inter" w:ascii="inter" w:hAnsi="inter"/>
          <w:color w:val="000000"/>
        </w:rPr>
        <w:br w:type="textWrapping"/>
      </w:r>
      <w:hyperlink r:id="rId28">
        <w:r>
          <w:rPr>
            <w:rFonts w:eastAsia="inter" w:cs="inter" w:ascii="inter" w:hAnsi="inter"/>
            <w:color w:val="#000"/>
            <w:u w:val="single"/>
          </w:rPr>
          <w:t xml:space="preserve">Momentum.io</w:t>
        </w:r>
      </w:hyperlink>
      <w:r>
        <w:rPr>
          <w:rFonts w:eastAsia="inter" w:cs="inter" w:ascii="inter" w:hAnsi="inter"/>
          <w:color w:val="000000"/>
        </w:rPr>
        <w:t xml:space="preserve">, "Top 8 Gong Alternatives in 2025"</w:t>
      </w:r>
      <w:bookmarkStart w:id="129" w:name="fnref42_1"/>
      <w:bookmarkEnd w:id="129"/>
      <w:hyperlink w:anchor="fn42">
        <w:r>
          <w:rPr>
            <w:rFonts w:eastAsia="inter" w:cs="inter" w:ascii="inter" w:hAnsi="inter"/>
            <w:color w:val="#000"/>
            <w:u w:val="single"/>
            <w:vertAlign w:val="superscript"/>
          </w:rPr>
          <w:t xml:space="preserve">[42]</w:t>
        </w:r>
      </w:hyperlink>
      <w:r>
        <w:rPr>
          <w:rFonts w:eastAsia="inter" w:cs="inter" w:ascii="inter" w:hAnsi="inter"/>
          <w:color w:val="000000"/>
        </w:rPr>
        <w:br w:type="textWrapping"/>
      </w:r>
      <w:r>
        <w:rPr>
          <w:rFonts w:eastAsia="inter" w:cs="inter" w:ascii="inter" w:hAnsi="inter"/>
          <w:color w:val="000000"/>
        </w:rPr>
        <w:t xml:space="preserve">Demodesk, "The Best Gong Alternatives in 2025"</w:t>
      </w:r>
      <w:bookmarkStart w:id="130" w:name="fnref43_1"/>
      <w:bookmarkEnd w:id="130"/>
      <w:hyperlink w:anchor="fn43">
        <w:r>
          <w:rPr>
            <w:rFonts w:eastAsia="inter" w:cs="inter" w:ascii="inter" w:hAnsi="inter"/>
            <w:color w:val="#000"/>
            <w:u w:val="single"/>
            <w:vertAlign w:val="superscript"/>
          </w:rPr>
          <w:t xml:space="preserve">[43]</w:t>
        </w:r>
      </w:hyperlink>
      <w:r>
        <w:rPr>
          <w:rFonts w:eastAsia="inter" w:cs="inter" w:ascii="inter" w:hAnsi="inter"/>
          <w:color w:val="000000"/>
        </w:rPr>
        <w:br w:type="textWrapping"/>
      </w:r>
      <w:hyperlink r:id="rId29">
        <w:r>
          <w:rPr>
            <w:rFonts w:eastAsia="inter" w:cs="inter" w:ascii="inter" w:hAnsi="inter"/>
            <w:color w:val="#000"/>
            <w:u w:val="single"/>
          </w:rPr>
          <w:t xml:space="preserve">Oliv.ai</w:t>
        </w:r>
      </w:hyperlink>
      <w:r>
        <w:rPr>
          <w:rFonts w:eastAsia="inter" w:cs="inter" w:ascii="inter" w:hAnsi="inter"/>
          <w:color w:val="000000"/>
        </w:rPr>
        <w:t xml:space="preserve">, "We Analyzed 600+ Gong Reviews," July 6, 2025</w:t>
      </w:r>
      <w:bookmarkStart w:id="131" w:name="fnref44_1"/>
      <w:bookmarkEnd w:id="131"/>
      <w:hyperlink w:anchor="fn44">
        <w:r>
          <w:rPr>
            <w:rFonts w:eastAsia="inter" w:cs="inter" w:ascii="inter" w:hAnsi="inter"/>
            <w:color w:val="#000"/>
            <w:u w:val="single"/>
            <w:vertAlign w:val="superscript"/>
          </w:rPr>
          <w:t xml:space="preserve">[44]</w:t>
        </w:r>
      </w:hyperlink>
      <w:r>
        <w:rPr>
          <w:rFonts w:eastAsia="inter" w:cs="inter" w:ascii="inter" w:hAnsi="inter"/>
          <w:color w:val="000000"/>
        </w:rPr>
        <w:br w:type="textWrapping"/>
      </w:r>
      <w:r>
        <w:rPr>
          <w:rFonts w:eastAsia="inter" w:cs="inter" w:ascii="inter" w:hAnsi="inter"/>
          <w:color w:val="000000"/>
        </w:rPr>
        <w:t xml:space="preserve">Gong Labs, State of Revenue AI 2026, pp. 5–6</w:t>
      </w:r>
      <w:bookmarkStart w:id="132" w:name="fnref45_1"/>
      <w:bookmarkEnd w:id="132"/>
      <w:hyperlink w:anchor="fn45">
        <w:r>
          <w:rPr>
            <w:rFonts w:eastAsia="inter" w:cs="inter" w:ascii="inter" w:hAnsi="inter"/>
            <w:color w:val="#000"/>
            <w:u w:val="single"/>
            <w:vertAlign w:val="superscript"/>
          </w:rPr>
          <w:t xml:space="preserve">[45]</w:t>
        </w:r>
      </w:hyperlink>
      <w:r>
        <w:rPr>
          <w:rFonts w:eastAsia="inter" w:cs="inter" w:ascii="inter" w:hAnsi="inter"/>
          <w:color w:val="000000"/>
        </w:rPr>
        <w:br w:type="textWrapping"/>
      </w:r>
      <w:hyperlink r:id="rId30">
        <w:r>
          <w:rPr>
            <w:rFonts w:eastAsia="inter" w:cs="inter" w:ascii="inter" w:hAnsi="inter"/>
            <w:color w:val="#000"/>
            <w:u w:val="single"/>
          </w:rPr>
          <w:t xml:space="preserve">Claap.io</w:t>
        </w:r>
      </w:hyperlink>
      <w:r>
        <w:rPr>
          <w:rFonts w:eastAsia="inter" w:cs="inter" w:ascii="inter" w:hAnsi="inter"/>
          <w:color w:val="000000"/>
        </w:rPr>
        <w:t xml:space="preserve">, "Gong vs. Chorus," December 16, 2025</w:t>
      </w:r>
      <w:bookmarkStart w:id="133" w:name="fnref46_1"/>
      <w:bookmarkEnd w:id="133"/>
      <w:hyperlink w:anchor="fn46">
        <w:r>
          <w:rPr>
            <w:rFonts w:eastAsia="inter" w:cs="inter" w:ascii="inter" w:hAnsi="inter"/>
            <w:color w:val="#000"/>
            <w:u w:val="single"/>
            <w:vertAlign w:val="superscript"/>
          </w:rPr>
          <w:t xml:space="preserve">[46]</w:t>
        </w:r>
      </w:hyperlink>
      <w:r>
        <w:rPr>
          <w:rFonts w:eastAsia="inter" w:cs="inter" w:ascii="inter" w:hAnsi="inter"/>
          <w:color w:val="000000"/>
        </w:rPr>
        <w:br w:type="textWrapping"/>
      </w:r>
      <w:r>
        <w:rPr>
          <w:rFonts w:eastAsia="inter" w:cs="inter" w:ascii="inter" w:hAnsi="inter"/>
          <w:color w:val="000000"/>
        </w:rPr>
        <w:t xml:space="preserve">Claap, "9 Affordable Gong Alternatives," December 28, 2025</w:t>
      </w:r>
      <w:bookmarkStart w:id="134" w:name="fnref47_1"/>
      <w:bookmarkEnd w:id="134"/>
      <w:hyperlink w:anchor="fn47">
        <w:r>
          <w:rPr>
            <w:rFonts w:eastAsia="inter" w:cs="inter" w:ascii="inter" w:hAnsi="inter"/>
            <w:color w:val="#000"/>
            <w:u w:val="single"/>
            <w:vertAlign w:val="superscript"/>
          </w:rPr>
          <w:t xml:space="preserve">[47]</w:t>
        </w:r>
      </w:hyperlink>
      <w:r>
        <w:rPr>
          <w:rFonts w:eastAsia="inter" w:cs="inter" w:ascii="inter" w:hAnsi="inter"/>
          <w:color w:val="000000"/>
        </w:rPr>
        <w:br w:type="textWrapping"/>
      </w:r>
      <w:r>
        <w:rPr>
          <w:rFonts w:eastAsia="inter" w:cs="inter" w:ascii="inter" w:hAnsi="inter"/>
          <w:color w:val="000000"/>
        </w:rPr>
        <w:t xml:space="preserve">Gong Press Release, October 20, 2025</w:t>
      </w:r>
      <w:bookmarkStart w:id="135" w:name="fnref3_2"/>
      <w:bookmarkEnd w:id="135"/>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Gong Press Release, "Gong Named a Leader in 2025 Gartner Magic Quadrant," December 18, 2025</w:t>
      </w:r>
      <w:bookmarkStart w:id="136" w:name="fnref48_1"/>
      <w:bookmarkEnd w:id="136"/>
      <w:hyperlink w:anchor="fn48">
        <w:r>
          <w:rPr>
            <w:rFonts w:eastAsia="inter" w:cs="inter" w:ascii="inter" w:hAnsi="inter"/>
            <w:color w:val="#000"/>
            <w:u w:val="single"/>
            <w:vertAlign w:val="superscript"/>
          </w:rPr>
          <w:t xml:space="preserve">[48]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visualizations"/>
      <w:r>
        <w:rPr>
          <w:rFonts w:eastAsia="inter" w:cs="inter" w:ascii="inter" w:hAnsi="inter"/>
          <w:b/>
          <w:color w:val="000000"/>
          <w:sz w:val="24"/>
        </w:rPr>
        <w:t xml:space="preserve">VISUALIZATIONS</w:t>
      </w:r>
      <w:bookmarkEnd w:id="137"/>
    </w:p>
    <w:p>
      <w:pPr>
        <w:spacing w:lineRule="auto"/>
      </w:pPr>
      <w:r>
        <w:rPr/>
        <w:t xml:space="preserve"/>
      </w:r>
    </w:p>
    <w:p>
      <w:pPr>
        <w:spacing w:line="360" w:after="210" w:lineRule="auto"/>
      </w:pPr>
      <w:r>
        <w:rPr>
          <w:rFonts w:eastAsia="inter" w:cs="inter" w:ascii="inter" w:hAnsi="inter"/>
          <w:color w:val="000000"/>
        </w:rPr>
        <w:t xml:space="preserve">Gong's ARR surpassed $300M in fiscal 2025, representing 122% growth since 2021, though growth rates decelerated from ~25-30% annually to ~1% in 2025.</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Gong maintains the highest AI sophistication but faces trade-offs on speed-to-deployment and cost. Emerging competitors (Claap, Fireflies) capture the fast/affordable segment, while Salesloft dominates engagement workflows."/>
            <a:graphic>
              <a:graphicData uri="http://schemas.openxmlformats.org/drawingml/2006/picture">
                <pic:pic>
                  <pic:nvPicPr>
                    <pic:cNvPr id="2" name="image-not-found.png" descr="Gong maintains the highest AI sophistication but faces trade-offs on speed-to-deployment and cost. Emerging competitors (Claap, Fireflies) capture the fast/affordable segment, while Salesloft dominates engagement workflows."/>
                    <pic:cNvPicPr/>
                  </pic:nvPicPr>
                  <pic:blipFill>
                    <a:blip r:embed="rId31"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Gong maintains the highest AI sophistication but faces trade-offs on speed-to-deployment and cost. Emerging competitors (Claap, Fireflies) capture the fast/affordable segment, while Salesloft dominates engagement workflows.</w:t>
      </w:r>
    </w:p>
    <w:p>
      <w:pPr>
        <w:spacing w:lineRule="auto"/>
      </w:pPr>
      <w:r>
        <w:rPr/>
        <w:t xml:space="preserve"/>
      </w:r>
    </w:p>
    <w:p>
      <w:pPr>
        <w:spacing w:line="360" w:after="210" w:lineRule="auto"/>
      </w:pPr>
      <w:r>
        <w:rPr>
          <w:rFonts w:eastAsia="inter" w:cs="inter" w:ascii="inter" w:hAnsi="inter"/>
          <w:color w:val="000000"/>
        </w:rPr>
        <w:t xml:space="preserve">Gong faces two critical vulnerabilities (data sovereignty and implementation complexity) that directly impact market access in regulated regions and enterprise adoption velocity. Secondary vulnerabilities affect customer satisfaction and market segment capture.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8" w:name="fn1"/>
    <w:bookmarkEnd w:id="138"/>
    <w:p>
      <w:pPr>
        <w:numPr>
          <w:ilvl w:val="0"/>
          <w:numId w:val="30"/>
        </w:numPr>
        <w:spacing w:line="360" w:after="210" w:lineRule="auto"/>
      </w:pPr>
      <w:hyperlink r:id="rId32">
        <w:r>
          <w:rPr>
            <w:rFonts w:eastAsia="inter" w:cs="inter" w:ascii="inter" w:hAnsi="inter"/>
            <w:color w:val="#000"/>
            <w:sz w:val="18"/>
            <w:u w:val="single"/>
          </w:rPr>
          <w:t xml:space="preserve">https://aacrjournals.org/cancerres/article/86/1_Supplement/A001/771374/Abstract-A001-Loss-of-MLL1-s-H3K4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
    <w:bookmarkEnd w:id="139"/>
    <w:p>
      <w:pPr>
        <w:numPr>
          <w:ilvl w:val="0"/>
          <w:numId w:val="30"/>
        </w:numPr>
        <w:spacing w:line="360" w:after="210" w:lineRule="auto"/>
      </w:pPr>
      <w:hyperlink r:id="rId33">
        <w:r>
          <w:rPr>
            <w:rFonts w:eastAsia="inter" w:cs="inter" w:ascii="inter" w:hAnsi="inter"/>
            <w:color w:val="#000"/>
            <w:sz w:val="18"/>
            <w:u w:val="single"/>
          </w:rPr>
          <w:t xml:space="preserve">https://ieeexplore.ieee.org/document/11236843/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3"/>
    <w:bookmarkEnd w:id="140"/>
    <w:p>
      <w:pPr>
        <w:numPr>
          <w:ilvl w:val="0"/>
          <w:numId w:val="30"/>
        </w:numPr>
        <w:spacing w:line="360" w:after="210" w:lineRule="auto"/>
      </w:pPr>
      <w:hyperlink r:id="rId34">
        <w:r>
          <w:rPr>
            <w:rFonts w:eastAsia="inter" w:cs="inter" w:ascii="inter" w:hAnsi="inter"/>
            <w:color w:val="#000"/>
            <w:sz w:val="18"/>
            <w:u w:val="single"/>
          </w:rPr>
          <w:t xml:space="preserve">https://www.enterprisetimes.co.uk/2025/03/07/gong-breaks-through-300-million-arr/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4"/>
    <w:bookmarkEnd w:id="141"/>
    <w:p>
      <w:pPr>
        <w:numPr>
          <w:ilvl w:val="0"/>
          <w:numId w:val="30"/>
        </w:numPr>
        <w:spacing w:line="360" w:after="210" w:lineRule="auto"/>
      </w:pPr>
      <w:hyperlink r:id="rId35">
        <w:r>
          <w:rPr>
            <w:rFonts w:eastAsia="inter" w:cs="inter" w:ascii="inter" w:hAnsi="inter"/>
            <w:color w:val="#000"/>
            <w:sz w:val="18"/>
            <w:u w:val="single"/>
          </w:rPr>
          <w:t xml:space="preserve">https://www.calcalistech.com/ctechnews/article/r1sdmq00ebx</w:t>
        </w:r>
      </w:hyperlink>
      <w:r>
        <w:rPr>
          <w:rFonts w:eastAsia="inter" w:cs="inter" w:ascii="inter" w:hAnsi="inter"/>
          <w:color w:val="000000"/>
          <w:sz w:val="18"/>
        </w:rPr>
        <w:t xml:space="preserve"> </w:t>
      </w:r>
    </w:p>
    <w:bookmarkStart w:id="142" w:name="fn5"/>
    <w:bookmarkEnd w:id="142"/>
    <w:p>
      <w:pPr>
        <w:numPr>
          <w:ilvl w:val="0"/>
          <w:numId w:val="30"/>
        </w:numPr>
        <w:spacing w:line="360" w:after="210" w:lineRule="auto"/>
      </w:pPr>
      <w:hyperlink r:id="rId36">
        <w:r>
          <w:rPr>
            <w:rFonts w:eastAsia="inter" w:cs="inter" w:ascii="inter" w:hAnsi="inter"/>
            <w:color w:val="#000"/>
            <w:sz w:val="18"/>
            <w:u w:val="single"/>
          </w:rPr>
          <w:t xml:space="preserve">https://link.springer.com/10.1007/s11027-025-10279-w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6"/>
    <w:bookmarkEnd w:id="143"/>
    <w:p>
      <w:pPr>
        <w:numPr>
          <w:ilvl w:val="0"/>
          <w:numId w:val="30"/>
        </w:numPr>
        <w:spacing w:line="360" w:after="210" w:lineRule="auto"/>
      </w:pPr>
      <w:hyperlink r:id="rId37">
        <w:r>
          <w:rPr>
            <w:rFonts w:eastAsia="inter" w:cs="inter" w:ascii="inter" w:hAnsi="inter"/>
            <w:color w:val="#000"/>
            <w:sz w:val="18"/>
            <w:u w:val="single"/>
          </w:rPr>
          <w:t xml:space="preserve">https://ieeexplore.ieee.org/document/10873475/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7"/>
    <w:bookmarkEnd w:id="144"/>
    <w:p>
      <w:pPr>
        <w:numPr>
          <w:ilvl w:val="0"/>
          <w:numId w:val="30"/>
        </w:numPr>
        <w:spacing w:line="360" w:after="210" w:lineRule="auto"/>
      </w:pPr>
      <w:hyperlink r:id="rId38">
        <w:r>
          <w:rPr>
            <w:rFonts w:eastAsia="inter" w:cs="inter" w:ascii="inter" w:hAnsi="inter"/>
            <w:color w:val="#000"/>
            <w:sz w:val="18"/>
            <w:u w:val="single"/>
          </w:rPr>
          <w:t xml:space="preserve">https://ujae.org.ua/en/industry-related-features-and-priority-directions-of-management-of-the-development-of-the-competitiveness-of-agricultural-enterprises-of-ukraine-in-the-conditions-of-global-transformations-and-martial/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8"/>
    <w:bookmarkEnd w:id="145"/>
    <w:p>
      <w:pPr>
        <w:numPr>
          <w:ilvl w:val="0"/>
          <w:numId w:val="30"/>
        </w:numPr>
        <w:spacing w:line="360" w:after="210" w:lineRule="auto"/>
      </w:pPr>
      <w:hyperlink r:id="rId39">
        <w:r>
          <w:rPr>
            <w:rFonts w:eastAsia="inter" w:cs="inter" w:ascii="inter" w:hAnsi="inter"/>
            <w:color w:val="#000"/>
            <w:sz w:val="18"/>
            <w:u w:val="single"/>
          </w:rPr>
          <w:t xml:space="preserve">https://afenet-journal.org/using-machine-learning-and-explainable-ai-to-predict-lifestyle-driven-hypertension-risk-in-ugandas-who-steps-2023-survey/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9"/>
    <w:bookmarkEnd w:id="146"/>
    <w:p>
      <w:pPr>
        <w:numPr>
          <w:ilvl w:val="0"/>
          <w:numId w:val="30"/>
        </w:numPr>
        <w:spacing w:line="360" w:after="210" w:lineRule="auto"/>
      </w:pPr>
      <w:hyperlink r:id="rId40">
        <w:r>
          <w:rPr>
            <w:rFonts w:eastAsia="inter" w:cs="inter" w:ascii="inter" w:hAnsi="inter"/>
            <w:color w:val="#000"/>
            <w:sz w:val="18"/>
            <w:u w:val="single"/>
          </w:rPr>
          <w:t xml:space="preserve">https://link.springer.com/10.1007/s41365-025-01833-x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10"/>
    <w:bookmarkEnd w:id="147"/>
    <w:p>
      <w:pPr>
        <w:numPr>
          <w:ilvl w:val="0"/>
          <w:numId w:val="30"/>
        </w:numPr>
        <w:spacing w:line="360" w:after="210" w:lineRule="auto"/>
      </w:pPr>
      <w:hyperlink r:id="rId41">
        <w:r>
          <w:rPr>
            <w:rFonts w:eastAsia="inter" w:cs="inter" w:ascii="inter" w:hAnsi="inter"/>
            <w:color w:val="#000"/>
            <w:sz w:val="18"/>
            <w:u w:val="single"/>
          </w:rPr>
          <w:t xml:space="preserve">https://tsaco.bmj.com/lookup/doi/10.1136/tsaco-2025-002059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11"/>
    <w:bookmarkEnd w:id="148"/>
    <w:p>
      <w:pPr>
        <w:numPr>
          <w:ilvl w:val="0"/>
          <w:numId w:val="30"/>
        </w:numPr>
        <w:spacing w:line="360" w:after="210" w:lineRule="auto"/>
      </w:pPr>
      <w:hyperlink r:id="rId42">
        <w:r>
          <w:rPr>
            <w:rFonts w:eastAsia="inter" w:cs="inter" w:ascii="inter" w:hAnsi="inter"/>
            <w:color w:val="#000"/>
            <w:sz w:val="18"/>
            <w:u w:val="single"/>
          </w:rPr>
          <w:t xml:space="preserve">https://neonatology.bsmu.edu.ua/article/view/347640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12"/>
    <w:bookmarkEnd w:id="149"/>
    <w:p>
      <w:pPr>
        <w:numPr>
          <w:ilvl w:val="0"/>
          <w:numId w:val="30"/>
        </w:numPr>
        <w:spacing w:line="360" w:after="210" w:lineRule="auto"/>
      </w:pPr>
      <w:hyperlink r:id="rId43">
        <w:r>
          <w:rPr>
            <w:rFonts w:eastAsia="inter" w:cs="inter" w:ascii="inter" w:hAnsi="inter"/>
            <w:color w:val="#000"/>
            <w:sz w:val="18"/>
            <w:u w:val="single"/>
          </w:rPr>
          <w:t xml:space="preserve">https://arxiv.org/pdf/2311.06430.pdf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13"/>
    <w:bookmarkEnd w:id="150"/>
    <w:p>
      <w:pPr>
        <w:numPr>
          <w:ilvl w:val="0"/>
          <w:numId w:val="30"/>
        </w:numPr>
        <w:spacing w:line="360" w:after="210" w:lineRule="auto"/>
      </w:pPr>
      <w:hyperlink r:id="rId44">
        <w:r>
          <w:rPr>
            <w:rFonts w:eastAsia="inter" w:cs="inter" w:ascii="inter" w:hAnsi="inter"/>
            <w:color w:val="#000"/>
            <w:sz w:val="18"/>
            <w:u w:val="single"/>
          </w:rPr>
          <w:t xml:space="preserve">https://www.ijfmr.com/papers/2024/1/12046.pdf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14"/>
    <w:bookmarkEnd w:id="151"/>
    <w:p>
      <w:pPr>
        <w:numPr>
          <w:ilvl w:val="0"/>
          <w:numId w:val="30"/>
        </w:numPr>
        <w:spacing w:line="360" w:after="210" w:lineRule="auto"/>
      </w:pPr>
      <w:hyperlink r:id="rId45">
        <w:r>
          <w:rPr>
            <w:rFonts w:eastAsia="inter" w:cs="inter" w:ascii="inter" w:hAnsi="inter"/>
            <w:color w:val="#000"/>
            <w:sz w:val="18"/>
            <w:u w:val="single"/>
          </w:rPr>
          <w:t xml:space="preserve">https://techrxiv.figshare.com/articles/preprint/Diffusion-based_Reinforcement_Learning_for_Edge-enabled_AI-Generated_Content_Services/24648723/1/files/43317999.pdf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5"/>
    <w:bookmarkEnd w:id="152"/>
    <w:p>
      <w:pPr>
        <w:numPr>
          <w:ilvl w:val="0"/>
          <w:numId w:val="30"/>
        </w:numPr>
        <w:spacing w:line="360" w:after="210" w:lineRule="auto"/>
      </w:pPr>
      <w:hyperlink r:id="rId46">
        <w:r>
          <w:rPr>
            <w:rFonts w:eastAsia="inter" w:cs="inter" w:ascii="inter" w:hAnsi="inter"/>
            <w:color w:val="#000"/>
            <w:sz w:val="18"/>
            <w:u w:val="single"/>
          </w:rPr>
          <w:t xml:space="preserve">https://www.mdpi.com/2409-9287/5/4/37/pdf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16"/>
    <w:bookmarkEnd w:id="153"/>
    <w:p>
      <w:pPr>
        <w:numPr>
          <w:ilvl w:val="0"/>
          <w:numId w:val="30"/>
        </w:numPr>
        <w:spacing w:line="360" w:after="210" w:lineRule="auto"/>
      </w:pPr>
      <w:hyperlink r:id="rId47">
        <w:r>
          <w:rPr>
            <w:rFonts w:eastAsia="inter" w:cs="inter" w:ascii="inter" w:hAnsi="inter"/>
            <w:color w:val="#000"/>
            <w:sz w:val="18"/>
            <w:u w:val="single"/>
          </w:rPr>
          <w:t xml:space="preserve">https://arxiv.org/pdf/2502.10397.pdf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4" w:name="fn17"/>
    <w:bookmarkEnd w:id="154"/>
    <w:p>
      <w:pPr>
        <w:numPr>
          <w:ilvl w:val="0"/>
          <w:numId w:val="30"/>
        </w:numPr>
        <w:spacing w:line="360" w:after="210" w:lineRule="auto"/>
      </w:pPr>
      <w:hyperlink r:id="rId48">
        <w:r>
          <w:rPr>
            <w:rFonts w:eastAsia="inter" w:cs="inter" w:ascii="inter" w:hAnsi="inter"/>
            <w:color w:val="#000"/>
            <w:sz w:val="18"/>
            <w:u w:val="single"/>
          </w:rPr>
          <w:t xml:space="preserve">https://arxiv.org/pdf/1511.06410.pdf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5" w:name="fn18"/>
    <w:bookmarkEnd w:id="155"/>
    <w:p>
      <w:pPr>
        <w:numPr>
          <w:ilvl w:val="0"/>
          <w:numId w:val="30"/>
        </w:numPr>
        <w:spacing w:line="360" w:after="210" w:lineRule="auto"/>
      </w:pPr>
      <w:hyperlink r:id="rId49">
        <w:r>
          <w:rPr>
            <w:rFonts w:eastAsia="inter" w:cs="inter" w:ascii="inter" w:hAnsi="inter"/>
            <w:color w:val="#000"/>
            <w:sz w:val="18"/>
            <w:u w:val="single"/>
          </w:rPr>
          <w:t xml:space="preserve">http://arxiv.org/pdf/2410.19855.pdf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19"/>
    <w:bookmarkEnd w:id="156"/>
    <w:p>
      <w:pPr>
        <w:numPr>
          <w:ilvl w:val="0"/>
          <w:numId w:val="30"/>
        </w:numPr>
        <w:spacing w:line="360" w:after="210" w:lineRule="auto"/>
      </w:pPr>
      <w:hyperlink r:id="rId50">
        <w:r>
          <w:rPr>
            <w:rFonts w:eastAsia="inter" w:cs="inter" w:ascii="inter" w:hAnsi="inter"/>
            <w:color w:val="#000"/>
            <w:sz w:val="18"/>
            <w:u w:val="single"/>
          </w:rPr>
          <w:t xml:space="preserve">https://arxiv.org/pdf/2304.06632.pdf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0"/>
    <w:bookmarkEnd w:id="157"/>
    <w:p>
      <w:pPr>
        <w:numPr>
          <w:ilvl w:val="0"/>
          <w:numId w:val="30"/>
        </w:numPr>
        <w:spacing w:line="360" w:after="210" w:lineRule="auto"/>
      </w:pPr>
      <w:hyperlink r:id="rId51">
        <w:r>
          <w:rPr>
            <w:rFonts w:eastAsia="inter" w:cs="inter" w:ascii="inter" w:hAnsi="inter"/>
            <w:color w:val="#000"/>
            <w:sz w:val="18"/>
            <w:u w:val="single"/>
          </w:rPr>
          <w:t xml:space="preserve">https://www.gong.io/resources/guides/state-of-revenue-ai-2026-report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21"/>
    <w:bookmarkEnd w:id="158"/>
    <w:p>
      <w:pPr>
        <w:numPr>
          <w:ilvl w:val="0"/>
          <w:numId w:val="30"/>
        </w:numPr>
        <w:spacing w:line="360" w:after="210" w:lineRule="auto"/>
      </w:pPr>
      <w:hyperlink r:id="rId52">
        <w:r>
          <w:rPr>
            <w:rFonts w:eastAsia="inter" w:cs="inter" w:ascii="inter" w:hAnsi="inter"/>
            <w:color w:val="#000"/>
            <w:sz w:val="18"/>
            <w:u w:val="single"/>
          </w:rPr>
          <w:t xml:space="preserve">https://www.gong.io/files/gong-labs-state-of-revenue-ai-2026.pdf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22"/>
    <w:bookmarkEnd w:id="159"/>
    <w:p>
      <w:pPr>
        <w:numPr>
          <w:ilvl w:val="0"/>
          <w:numId w:val="30"/>
        </w:numPr>
        <w:spacing w:line="360" w:after="210" w:lineRule="auto"/>
      </w:pPr>
      <w:hyperlink r:id="rId53">
        <w:r>
          <w:rPr>
            <w:rFonts w:eastAsia="inter" w:cs="inter" w:ascii="inter" w:hAnsi="inter"/>
            <w:color w:val="#000"/>
            <w:sz w:val="18"/>
            <w:u w:val="single"/>
          </w:rPr>
          <w:t xml:space="preserve">https://www.gong.io/resources/guides/what-is-revenue-intelligence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23"/>
    <w:bookmarkEnd w:id="160"/>
    <w:p>
      <w:pPr>
        <w:numPr>
          <w:ilvl w:val="0"/>
          <w:numId w:val="30"/>
        </w:numPr>
        <w:spacing w:line="360" w:after="210" w:lineRule="auto"/>
      </w:pPr>
      <w:hyperlink r:id="rId54">
        <w:r>
          <w:rPr>
            <w:rFonts w:eastAsia="inter" w:cs="inter" w:ascii="inter" w:hAnsi="inter"/>
            <w:color w:val="#000"/>
            <w:sz w:val="18"/>
            <w:u w:val="single"/>
          </w:rPr>
          <w:t xml:space="preserve">https://www.gong.io/blog/the-best-sales-insights-of-2025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24"/>
    <w:bookmarkEnd w:id="161"/>
    <w:p>
      <w:pPr>
        <w:numPr>
          <w:ilvl w:val="0"/>
          <w:numId w:val="30"/>
        </w:numPr>
        <w:spacing w:line="360" w:after="210" w:lineRule="auto"/>
      </w:pPr>
      <w:hyperlink r:id="rId55">
        <w:r>
          <w:rPr>
            <w:rFonts w:eastAsia="inter" w:cs="inter" w:ascii="inter" w:hAnsi="inter"/>
            <w:color w:val="#000"/>
            <w:sz w:val="18"/>
            <w:u w:val="single"/>
          </w:rPr>
          <w:t xml:space="preserve">https://www.gong.io/press/gong-unveils-new-ai-innovations-to-help-revenue-teams-drive-growth-at-scale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2" w:name="fn25"/>
    <w:bookmarkEnd w:id="162"/>
    <w:p>
      <w:pPr>
        <w:numPr>
          <w:ilvl w:val="0"/>
          <w:numId w:val="30"/>
        </w:numPr>
        <w:spacing w:line="360" w:after="210" w:lineRule="auto"/>
      </w:pPr>
      <w:hyperlink r:id="rId56">
        <w:r>
          <w:rPr>
            <w:rFonts w:eastAsia="inter" w:cs="inter" w:ascii="inter" w:hAnsi="inter"/>
            <w:color w:val="#000"/>
            <w:sz w:val="18"/>
            <w:u w:val="single"/>
          </w:rPr>
          <w:t xml:space="preserve">https://www.gong.io/press/gong-unveils-new-ai-capabilities-to-help-revenue-teams-drive-excellence-in-execution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26"/>
    <w:bookmarkEnd w:id="163"/>
    <w:p>
      <w:pPr>
        <w:numPr>
          <w:ilvl w:val="0"/>
          <w:numId w:val="30"/>
        </w:numPr>
        <w:spacing w:line="360" w:after="210" w:lineRule="auto"/>
      </w:pPr>
      <w:hyperlink r:id="rId57">
        <w:r>
          <w:rPr>
            <w:rFonts w:eastAsia="inter" w:cs="inter" w:ascii="inter" w:hAnsi="inter"/>
            <w:color w:val="#000"/>
            <w:sz w:val="18"/>
            <w:u w:val="single"/>
          </w:rPr>
          <w:t xml:space="preserve">https://www.gong.io/press/gong-introduces-proprietary-generative-ai-models-built-for-revenue-teams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4" w:name="fn27"/>
    <w:bookmarkEnd w:id="164"/>
    <w:p>
      <w:pPr>
        <w:numPr>
          <w:ilvl w:val="0"/>
          <w:numId w:val="30"/>
        </w:numPr>
        <w:spacing w:line="360" w:after="210" w:lineRule="auto"/>
      </w:pPr>
      <w:hyperlink r:id="rId58">
        <w:r>
          <w:rPr>
            <w:rFonts w:eastAsia="inter" w:cs="inter" w:ascii="inter" w:hAnsi="inter"/>
            <w:color w:val="#000"/>
            <w:sz w:val="18"/>
            <w:u w:val="single"/>
          </w:rPr>
          <w:t xml:space="preserve">https://www.relay.app/apps/gong/integrations/openai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5" w:name="fn28"/>
    <w:bookmarkEnd w:id="165"/>
    <w:p>
      <w:pPr>
        <w:numPr>
          <w:ilvl w:val="0"/>
          <w:numId w:val="30"/>
        </w:numPr>
        <w:spacing w:line="360" w:after="210" w:lineRule="auto"/>
      </w:pPr>
      <w:hyperlink r:id="rId59">
        <w:r>
          <w:rPr>
            <w:rFonts w:eastAsia="inter" w:cs="inter" w:ascii="inter" w:hAnsi="inter"/>
            <w:color w:val="#000"/>
            <w:sz w:val="18"/>
            <w:u w:val="single"/>
          </w:rPr>
          <w:t xml:space="preserve">https://www.gong.io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6" w:name="fn29"/>
    <w:bookmarkEnd w:id="166"/>
    <w:p>
      <w:pPr>
        <w:numPr>
          <w:ilvl w:val="0"/>
          <w:numId w:val="30"/>
        </w:numPr>
        <w:spacing w:line="360" w:after="210" w:lineRule="auto"/>
      </w:pPr>
      <w:hyperlink r:id="rId60">
        <w:r>
          <w:rPr>
            <w:rFonts w:eastAsia="inter" w:cs="inter" w:ascii="inter" w:hAnsi="inter"/>
            <w:color w:val="#000"/>
            <w:sz w:val="18"/>
            <w:u w:val="single"/>
          </w:rPr>
          <w:t xml:space="preserve">https://www.gong.io/blog/new-product-announcements-gong-revenue-ai-operating-system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7" w:name="fn30"/>
    <w:bookmarkEnd w:id="167"/>
    <w:p>
      <w:pPr>
        <w:numPr>
          <w:ilvl w:val="0"/>
          <w:numId w:val="30"/>
        </w:numPr>
        <w:spacing w:line="360" w:after="210" w:lineRule="auto"/>
      </w:pPr>
      <w:hyperlink r:id="rId61">
        <w:r>
          <w:rPr>
            <w:rFonts w:eastAsia="inter" w:cs="inter" w:ascii="inter" w:hAnsi="inter"/>
            <w:color w:val="#000"/>
            <w:sz w:val="18"/>
            <w:u w:val="single"/>
          </w:rPr>
          <w:t xml:space="preserve">https://www.prnewswire.com/news-releases/gong-introduces-proprietary-generative-ai-models-built-for-revenue-teams-301846084.html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8" w:name="fn31"/>
    <w:bookmarkEnd w:id="168"/>
    <w:p>
      <w:pPr>
        <w:numPr>
          <w:ilvl w:val="0"/>
          <w:numId w:val="30"/>
        </w:numPr>
        <w:spacing w:line="360" w:after="210" w:lineRule="auto"/>
      </w:pPr>
      <w:hyperlink r:id="rId62">
        <w:r>
          <w:rPr>
            <w:rFonts w:eastAsia="inter" w:cs="inter" w:ascii="inter" w:hAnsi="inter"/>
            <w:color w:val="#000"/>
            <w:sz w:val="18"/>
            <w:u w:val="single"/>
          </w:rPr>
          <w:t xml:space="preserve">https://pipedream.com/apps/openai/integrations/gong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9" w:name="fn32"/>
    <w:bookmarkEnd w:id="169"/>
    <w:p>
      <w:pPr>
        <w:numPr>
          <w:ilvl w:val="0"/>
          <w:numId w:val="30"/>
        </w:numPr>
        <w:spacing w:line="360" w:after="210" w:lineRule="auto"/>
      </w:pPr>
      <w:hyperlink r:id="rId63">
        <w:r>
          <w:rPr>
            <w:rFonts w:eastAsia="inter" w:cs="inter" w:ascii="inter" w:hAnsi="inter"/>
            <w:color w:val="#000"/>
            <w:sz w:val="18"/>
            <w:u w:val="single"/>
          </w:rPr>
          <w:t xml:space="preserve">https://www.gong.io/blog/in-the-revenue-ai-era-its-time-to-simplify-and-unify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33"/>
    <w:bookmarkEnd w:id="170"/>
    <w:p>
      <w:pPr>
        <w:numPr>
          <w:ilvl w:val="0"/>
          <w:numId w:val="30"/>
        </w:numPr>
        <w:spacing w:line="360" w:after="210" w:lineRule="auto"/>
      </w:pPr>
      <w:hyperlink r:id="rId64">
        <w:r>
          <w:rPr>
            <w:rFonts w:eastAsia="inter" w:cs="inter" w:ascii="inter" w:hAnsi="inter"/>
            <w:color w:val="#000"/>
            <w:sz w:val="18"/>
            <w:u w:val="single"/>
          </w:rPr>
          <w:t xml:space="preserve">https://reply.io/blog/gong-ai-review/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1" w:name="fn34"/>
    <w:bookmarkEnd w:id="171"/>
    <w:p>
      <w:pPr>
        <w:numPr>
          <w:ilvl w:val="0"/>
          <w:numId w:val="30"/>
        </w:numPr>
        <w:spacing w:line="360" w:after="210" w:lineRule="auto"/>
      </w:pPr>
      <w:hyperlink r:id="rId65">
        <w:r>
          <w:rPr>
            <w:rFonts w:eastAsia="inter" w:cs="inter" w:ascii="inter" w:hAnsi="inter"/>
            <w:color w:val="#000"/>
            <w:sz w:val="18"/>
            <w:u w:val="single"/>
          </w:rPr>
          <w:t xml:space="preserve">https://www.techtarget.com/searchcustomerexperience/news/366589571/Gong-adds-GenAI-conversational-intelligence-for-sales-insights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2" w:name="fn35"/>
    <w:bookmarkEnd w:id="172"/>
    <w:p>
      <w:pPr>
        <w:numPr>
          <w:ilvl w:val="0"/>
          <w:numId w:val="30"/>
        </w:numPr>
        <w:spacing w:line="360" w:after="210" w:lineRule="auto"/>
      </w:pPr>
      <w:hyperlink r:id="rId66">
        <w:r>
          <w:rPr>
            <w:rFonts w:eastAsia="inter" w:cs="inter" w:ascii="inter" w:hAnsi="inter"/>
            <w:color w:val="#000"/>
            <w:sz w:val="18"/>
            <w:u w:val="single"/>
          </w:rPr>
          <w:t xml:space="preserve">https://unars.ac.id/ojs/index.php/mimbarintegritas/article/view/6632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36"/>
    <w:bookmarkEnd w:id="173"/>
    <w:p>
      <w:pPr>
        <w:numPr>
          <w:ilvl w:val="0"/>
          <w:numId w:val="30"/>
        </w:numPr>
        <w:spacing w:line="360" w:after="210" w:lineRule="auto"/>
      </w:pPr>
      <w:hyperlink r:id="rId67">
        <w:r>
          <w:rPr>
            <w:rFonts w:eastAsia="inter" w:cs="inter" w:ascii="inter" w:hAnsi="inter"/>
            <w:color w:val="#000"/>
            <w:sz w:val="18"/>
            <w:u w:val="single"/>
          </w:rPr>
          <w:t xml:space="preserve">https://ejournal.iainu-kebumen.ac.id/index.php/cka/article/view/2790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37"/>
    <w:bookmarkEnd w:id="174"/>
    <w:p>
      <w:pPr>
        <w:numPr>
          <w:ilvl w:val="0"/>
          <w:numId w:val="30"/>
        </w:numPr>
        <w:spacing w:line="360" w:after="210" w:lineRule="auto"/>
      </w:pPr>
      <w:hyperlink r:id="rId68">
        <w:r>
          <w:rPr>
            <w:rFonts w:eastAsia="inter" w:cs="inter" w:ascii="inter" w:hAnsi="inter"/>
            <w:color w:val="#000"/>
            <w:sz w:val="18"/>
            <w:u w:val="single"/>
          </w:rPr>
          <w:t xml:space="preserve">https://eprajournals.com/IJCM/article/15582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38"/>
    <w:bookmarkEnd w:id="175"/>
    <w:p>
      <w:pPr>
        <w:numPr>
          <w:ilvl w:val="0"/>
          <w:numId w:val="30"/>
        </w:numPr>
        <w:spacing w:line="360" w:after="210" w:lineRule="auto"/>
      </w:pPr>
      <w:hyperlink r:id="rId69">
        <w:r>
          <w:rPr>
            <w:rFonts w:eastAsia="inter" w:cs="inter" w:ascii="inter" w:hAnsi="inter"/>
            <w:color w:val="#000"/>
            <w:sz w:val="18"/>
            <w:u w:val="single"/>
          </w:rPr>
          <w:t xml:space="preserve">https://agupubs.onlinelibrary.wiley.com/doi/10.1002/2017GL073480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39"/>
    <w:bookmarkEnd w:id="176"/>
    <w:p>
      <w:pPr>
        <w:numPr>
          <w:ilvl w:val="0"/>
          <w:numId w:val="30"/>
        </w:numPr>
        <w:spacing w:line="360" w:after="210" w:lineRule="auto"/>
      </w:pPr>
      <w:hyperlink r:id="rId70">
        <w:r>
          <w:rPr>
            <w:rFonts w:eastAsia="inter" w:cs="inter" w:ascii="inter" w:hAnsi="inter"/>
            <w:color w:val="#000"/>
            <w:sz w:val="18"/>
            <w:u w:val="single"/>
          </w:rPr>
          <w:t xml:space="preserve">https://www.ejbmr.org/index.php/ejbmr/article/view/1372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40"/>
    <w:bookmarkEnd w:id="177"/>
    <w:p>
      <w:pPr>
        <w:numPr>
          <w:ilvl w:val="0"/>
          <w:numId w:val="30"/>
        </w:numPr>
        <w:spacing w:line="360" w:after="210" w:lineRule="auto"/>
      </w:pPr>
      <w:hyperlink r:id="rId71">
        <w:r>
          <w:rPr>
            <w:rFonts w:eastAsia="inter" w:cs="inter" w:ascii="inter" w:hAnsi="inter"/>
            <w:color w:val="#000"/>
            <w:sz w:val="18"/>
            <w:u w:val="single"/>
          </w:rPr>
          <w:t xml:space="preserve">https://basepub.dauphine.psl.eu/bitstream/123456789/12529/1/SSRN-id1665093.pdf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41"/>
    <w:bookmarkEnd w:id="178"/>
    <w:p>
      <w:pPr>
        <w:numPr>
          <w:ilvl w:val="0"/>
          <w:numId w:val="30"/>
        </w:numPr>
        <w:spacing w:line="360" w:after="210" w:lineRule="auto"/>
      </w:pPr>
      <w:hyperlink r:id="rId72">
        <w:r>
          <w:rPr>
            <w:rFonts w:eastAsia="inter" w:cs="inter" w:ascii="inter" w:hAnsi="inter"/>
            <w:color w:val="#000"/>
            <w:sz w:val="18"/>
            <w:u w:val="single"/>
          </w:rPr>
          <w:t xml:space="preserve">https://linkinghub.elsevier.com/retrieve/pii/S1044028324001157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9" w:name="fn42"/>
    <w:bookmarkEnd w:id="179"/>
    <w:p>
      <w:pPr>
        <w:numPr>
          <w:ilvl w:val="0"/>
          <w:numId w:val="30"/>
        </w:numPr>
        <w:spacing w:line="360" w:after="210" w:lineRule="auto"/>
      </w:pPr>
      <w:hyperlink r:id="rId73">
        <w:r>
          <w:rPr>
            <w:rFonts w:eastAsia="inter" w:cs="inter" w:ascii="inter" w:hAnsi="inter"/>
            <w:color w:val="#000"/>
            <w:sz w:val="18"/>
            <w:u w:val="single"/>
          </w:rPr>
          <w:t xml:space="preserve">https://dx.plos.org/10.1371/journal.pone.0233018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43"/>
    <w:bookmarkEnd w:id="180"/>
    <w:p>
      <w:pPr>
        <w:numPr>
          <w:ilvl w:val="0"/>
          <w:numId w:val="30"/>
        </w:numPr>
        <w:spacing w:line="360" w:after="210" w:lineRule="auto"/>
      </w:pPr>
      <w:hyperlink r:id="rId74">
        <w:r>
          <w:rPr>
            <w:rFonts w:eastAsia="inter" w:cs="inter" w:ascii="inter" w:hAnsi="inter"/>
            <w:color w:val="#000"/>
            <w:sz w:val="18"/>
            <w:u w:val="single"/>
          </w:rPr>
          <w:t xml:space="preserve">https://www.westminsterpapers.org/article/id/256/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44"/>
    <w:bookmarkEnd w:id="181"/>
    <w:p>
      <w:pPr>
        <w:numPr>
          <w:ilvl w:val="0"/>
          <w:numId w:val="30"/>
        </w:numPr>
        <w:spacing w:line="360" w:after="210" w:lineRule="auto"/>
      </w:pPr>
      <w:hyperlink r:id="rId75">
        <w:r>
          <w:rPr>
            <w:rFonts w:eastAsia="inter" w:cs="inter" w:ascii="inter" w:hAnsi="inter"/>
            <w:color w:val="#000"/>
            <w:sz w:val="18"/>
            <w:u w:val="single"/>
          </w:rPr>
          <w:t xml:space="preserve">https://www.mdpi.com/2076-3417/7/6/636/pdf?version=1497959081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2" w:name="fn45"/>
    <w:bookmarkEnd w:id="182"/>
    <w:p>
      <w:pPr>
        <w:numPr>
          <w:ilvl w:val="0"/>
          <w:numId w:val="30"/>
        </w:numPr>
        <w:spacing w:line="360" w:after="210" w:lineRule="auto"/>
      </w:pPr>
      <w:hyperlink r:id="rId76">
        <w:r>
          <w:rPr>
            <w:rFonts w:eastAsia="inter" w:cs="inter" w:ascii="inter" w:hAnsi="inter"/>
            <w:color w:val="#000"/>
            <w:sz w:val="18"/>
            <w:u w:val="single"/>
          </w:rPr>
          <w:t xml:space="preserve">https://arxiv.org/pdf/2410.00063.pdf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3" w:name="fn46"/>
    <w:bookmarkEnd w:id="183"/>
    <w:p>
      <w:pPr>
        <w:numPr>
          <w:ilvl w:val="0"/>
          <w:numId w:val="30"/>
        </w:numPr>
        <w:spacing w:line="360" w:after="210" w:lineRule="auto"/>
      </w:pPr>
      <w:hyperlink r:id="rId77">
        <w:r>
          <w:rPr>
            <w:rFonts w:eastAsia="inter" w:cs="inter" w:ascii="inter" w:hAnsi="inter"/>
            <w:color w:val="#000"/>
            <w:sz w:val="18"/>
            <w:u w:val="single"/>
          </w:rPr>
          <w:t xml:space="preserve">https://www.annualreviews.org/doi/pdf/10.1146/annurev-financial-111021-100657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47"/>
    <w:bookmarkEnd w:id="184"/>
    <w:p>
      <w:pPr>
        <w:numPr>
          <w:ilvl w:val="0"/>
          <w:numId w:val="30"/>
        </w:numPr>
        <w:spacing w:line="360" w:after="210" w:lineRule="auto"/>
      </w:pPr>
      <w:hyperlink r:id="rId78">
        <w:r>
          <w:rPr>
            <w:rFonts w:eastAsia="inter" w:cs="inter" w:ascii="inter" w:hAnsi="inter"/>
            <w:color w:val="#000"/>
            <w:sz w:val="18"/>
            <w:u w:val="single"/>
          </w:rPr>
          <w:t xml:space="preserve">https://jbba.scholasticahq.com/article/18139.pdf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48"/>
    <w:bookmarkEnd w:id="185"/>
    <w:p>
      <w:pPr>
        <w:numPr>
          <w:ilvl w:val="0"/>
          <w:numId w:val="30"/>
        </w:numPr>
        <w:spacing w:line="360" w:after="210" w:lineRule="auto"/>
      </w:pPr>
      <w:hyperlink r:id="rId79">
        <w:r>
          <w:rPr>
            <w:rFonts w:eastAsia="inter" w:cs="inter" w:ascii="inter" w:hAnsi="inter"/>
            <w:color w:val="#000"/>
            <w:sz w:val="18"/>
            <w:u w:val="single"/>
          </w:rPr>
          <w:t xml:space="preserve">https://www.demandgenreport.com/financial-news/gong-surpasses-300m-in-annual-recurring-revenue-sees-customer-growth-beyond-tech/48961/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49"/>
    <w:bookmarkEnd w:id="186"/>
    <w:p>
      <w:pPr>
        <w:numPr>
          <w:ilvl w:val="0"/>
          <w:numId w:val="30"/>
        </w:numPr>
        <w:spacing w:line="360" w:after="210" w:lineRule="auto"/>
      </w:pPr>
      <w:hyperlink r:id="rId80">
        <w:r>
          <w:rPr>
            <w:rFonts w:eastAsia="inter" w:cs="inter" w:ascii="inter" w:hAnsi="inter"/>
            <w:color w:val="#000"/>
            <w:sz w:val="18"/>
            <w:u w:val="single"/>
          </w:rPr>
          <w:t xml:space="preserve">https://www.gong.io/legal/privacy-policy</w:t>
        </w:r>
      </w:hyperlink>
      <w:r>
        <w:rPr>
          <w:rFonts w:eastAsia="inter" w:cs="inter" w:ascii="inter" w:hAnsi="inter"/>
          <w:color w:val="000000"/>
          <w:sz w:val="18"/>
        </w:rPr>
        <w:t xml:space="preserve"> </w:t>
      </w:r>
    </w:p>
    <w:bookmarkStart w:id="187" w:name="fn50"/>
    <w:bookmarkEnd w:id="187"/>
    <w:p>
      <w:pPr>
        <w:numPr>
          <w:ilvl w:val="0"/>
          <w:numId w:val="30"/>
        </w:numPr>
        <w:spacing w:line="360" w:after="210" w:lineRule="auto"/>
      </w:pPr>
      <w:hyperlink r:id="rId81">
        <w:r>
          <w:rPr>
            <w:rFonts w:eastAsia="inter" w:cs="inter" w:ascii="inter" w:hAnsi="inter"/>
            <w:color w:val="#000"/>
            <w:sz w:val="18"/>
            <w:u w:val="single"/>
          </w:rPr>
          <w:t xml:space="preserve">https://www.gong.io/resources/guides/the-state-of-revenue-2025</w:t>
        </w:r>
      </w:hyperlink>
      <w:r>
        <w:rPr>
          <w:rFonts w:eastAsia="inter" w:cs="inter" w:ascii="inter" w:hAnsi="inter"/>
          <w:color w:val="000000"/>
          <w:sz w:val="18"/>
        </w:rPr>
        <w:t xml:space="preserve"> </w:t>
      </w:r>
    </w:p>
    <w:bookmarkStart w:id="188" w:name="fn51"/>
    <w:bookmarkEnd w:id="188"/>
    <w:p>
      <w:pPr>
        <w:numPr>
          <w:ilvl w:val="0"/>
          <w:numId w:val="30"/>
        </w:numPr>
        <w:spacing w:line="360" w:after="210" w:lineRule="auto"/>
      </w:pPr>
      <w:hyperlink r:id="rId82">
        <w:r>
          <w:rPr>
            <w:rFonts w:eastAsia="inter" w:cs="inter" w:ascii="inter" w:hAnsi="inter"/>
            <w:color w:val="#000"/>
            <w:sz w:val="18"/>
            <w:u w:val="single"/>
          </w:rPr>
          <w:t xml:space="preserve">https://arxiv.org/ftp/arxiv/papers/1210/1210.6891.pdf</w:t>
        </w:r>
      </w:hyperlink>
      <w:r>
        <w:rPr>
          <w:rFonts w:eastAsia="inter" w:cs="inter" w:ascii="inter" w:hAnsi="inter"/>
          <w:color w:val="000000"/>
          <w:sz w:val="18"/>
        </w:rPr>
        <w:t xml:space="preserve"> </w:t>
      </w:r>
    </w:p>
    <w:bookmarkStart w:id="189" w:name="fn52"/>
    <w:bookmarkEnd w:id="189"/>
    <w:p>
      <w:pPr>
        <w:numPr>
          <w:ilvl w:val="0"/>
          <w:numId w:val="30"/>
        </w:numPr>
        <w:spacing w:line="360" w:after="210" w:lineRule="auto"/>
      </w:pPr>
      <w:hyperlink r:id="rId83">
        <w:r>
          <w:rPr>
            <w:rFonts w:eastAsia="inter" w:cs="inter" w:ascii="inter" w:hAnsi="inter"/>
            <w:color w:val="#000"/>
            <w:sz w:val="18"/>
            <w:u w:val="single"/>
          </w:rPr>
          <w:t xml:space="preserve">https://arxiv.org/pdf/1511.06975.pdf</w:t>
        </w:r>
      </w:hyperlink>
      <w:r>
        <w:rPr>
          <w:rFonts w:eastAsia="inter" w:cs="inter" w:ascii="inter" w:hAnsi="inter"/>
          <w:color w:val="000000"/>
          <w:sz w:val="18"/>
        </w:rPr>
        <w:t xml:space="preserve"> </w:t>
      </w:r>
    </w:p>
    <w:bookmarkStart w:id="190" w:name="fn53"/>
    <w:bookmarkEnd w:id="190"/>
    <w:p>
      <w:pPr>
        <w:numPr>
          <w:ilvl w:val="0"/>
          <w:numId w:val="30"/>
        </w:numPr>
        <w:spacing w:line="360" w:after="210" w:lineRule="auto"/>
      </w:pPr>
      <w:hyperlink r:id="rId84">
        <w:r>
          <w:rPr>
            <w:rFonts w:eastAsia="inter" w:cs="inter" w:ascii="inter" w:hAnsi="inter"/>
            <w:color w:val="#000"/>
            <w:sz w:val="18"/>
            <w:u w:val="single"/>
          </w:rPr>
          <w:t xml:space="preserve">https://wjaets.com/sites/default/files/WJAETS-2022-0130.pdf</w:t>
        </w:r>
      </w:hyperlink>
      <w:r>
        <w:rPr>
          <w:rFonts w:eastAsia="inter" w:cs="inter" w:ascii="inter" w:hAnsi="inter"/>
          <w:color w:val="000000"/>
          <w:sz w:val="18"/>
        </w:rPr>
        <w:t xml:space="preserve"> </w:t>
      </w:r>
    </w:p>
    <w:bookmarkStart w:id="191" w:name="fn54"/>
    <w:bookmarkEnd w:id="191"/>
    <w:p>
      <w:pPr>
        <w:numPr>
          <w:ilvl w:val="0"/>
          <w:numId w:val="30"/>
        </w:numPr>
        <w:spacing w:line="360" w:after="210" w:lineRule="auto"/>
      </w:pPr>
      <w:hyperlink r:id="rId85">
        <w:r>
          <w:rPr>
            <w:rFonts w:eastAsia="inter" w:cs="inter" w:ascii="inter" w:hAnsi="inter"/>
            <w:color w:val="#000"/>
            <w:sz w:val="18"/>
            <w:u w:val="single"/>
          </w:rPr>
          <w:t xml:space="preserve">https://www.mdpi.com/2079-9292/13/3/469/pdf?version=1705995105</w:t>
        </w:r>
      </w:hyperlink>
      <w:r>
        <w:rPr>
          <w:rFonts w:eastAsia="inter" w:cs="inter" w:ascii="inter" w:hAnsi="inter"/>
          <w:color w:val="000000"/>
          <w:sz w:val="18"/>
        </w:rPr>
        <w:t xml:space="preserve"> </w:t>
      </w:r>
    </w:p>
    <w:bookmarkStart w:id="192" w:name="fn55"/>
    <w:bookmarkEnd w:id="192"/>
    <w:p>
      <w:pPr>
        <w:numPr>
          <w:ilvl w:val="0"/>
          <w:numId w:val="30"/>
        </w:numPr>
        <w:spacing w:line="360" w:after="210" w:lineRule="auto"/>
      </w:pPr>
      <w:hyperlink r:id="rId86">
        <w:r>
          <w:rPr>
            <w:rFonts w:eastAsia="inter" w:cs="inter" w:ascii="inter" w:hAnsi="inter"/>
            <w:color w:val="#000"/>
            <w:sz w:val="18"/>
            <w:u w:val="single"/>
          </w:rPr>
          <w:t xml:space="preserve">https://www.mdpi.com/1911-8074/14/11/544/pdf</w:t>
        </w:r>
      </w:hyperlink>
      <w:r>
        <w:rPr>
          <w:rFonts w:eastAsia="inter" w:cs="inter" w:ascii="inter" w:hAnsi="inter"/>
          <w:color w:val="000000"/>
          <w:sz w:val="18"/>
        </w:rPr>
        <w:t xml:space="preserve"> </w:t>
      </w:r>
    </w:p>
    <w:bookmarkStart w:id="193" w:name="fn56"/>
    <w:bookmarkEnd w:id="193"/>
    <w:p>
      <w:pPr>
        <w:numPr>
          <w:ilvl w:val="0"/>
          <w:numId w:val="30"/>
        </w:numPr>
        <w:spacing w:line="360" w:after="210" w:lineRule="auto"/>
      </w:pPr>
      <w:hyperlink r:id="rId87">
        <w:r>
          <w:rPr>
            <w:rFonts w:eastAsia="inter" w:cs="inter" w:ascii="inter" w:hAnsi="inter"/>
            <w:color w:val="#000"/>
            <w:sz w:val="18"/>
            <w:u w:val="single"/>
          </w:rPr>
          <w:t xml:space="preserve">https://publications.eai.eu/index.php/mca/article/download/2181/1874</w:t>
        </w:r>
      </w:hyperlink>
      <w:r>
        <w:rPr>
          <w:rFonts w:eastAsia="inter" w:cs="inter" w:ascii="inter" w:hAnsi="inter"/>
          <w:color w:val="000000"/>
          <w:sz w:val="18"/>
        </w:rPr>
        <w:t xml:space="preserve"> </w:t>
      </w:r>
    </w:p>
    <w:bookmarkStart w:id="194" w:name="fn57"/>
    <w:bookmarkEnd w:id="194"/>
    <w:p>
      <w:pPr>
        <w:numPr>
          <w:ilvl w:val="0"/>
          <w:numId w:val="30"/>
        </w:numPr>
        <w:spacing w:line="360" w:after="210" w:lineRule="auto"/>
      </w:pPr>
      <w:hyperlink r:id="rId88">
        <w:r>
          <w:rPr>
            <w:rFonts w:eastAsia="inter" w:cs="inter" w:ascii="inter" w:hAnsi="inter"/>
            <w:color w:val="#000"/>
            <w:sz w:val="18"/>
            <w:u w:val="single"/>
          </w:rPr>
          <w:t xml:space="preserve">https://www.tandfonline.com/doi/pdf/10.1080/23311916.2024.2378877?needAccess=true</w:t>
        </w:r>
      </w:hyperlink>
      <w:r>
        <w:rPr>
          <w:rFonts w:eastAsia="inter" w:cs="inter" w:ascii="inter" w:hAnsi="inter"/>
          <w:color w:val="000000"/>
          <w:sz w:val="18"/>
        </w:rPr>
        <w:t xml:space="preserve"> </w:t>
      </w:r>
    </w:p>
    <w:bookmarkStart w:id="195" w:name="fn58"/>
    <w:bookmarkEnd w:id="195"/>
    <w:p>
      <w:pPr>
        <w:numPr>
          <w:ilvl w:val="0"/>
          <w:numId w:val="30"/>
        </w:numPr>
        <w:spacing w:line="360" w:after="210" w:lineRule="auto"/>
      </w:pPr>
      <w:hyperlink r:id="rId89">
        <w:r>
          <w:rPr>
            <w:rFonts w:eastAsia="inter" w:cs="inter" w:ascii="inter" w:hAnsi="inter"/>
            <w:color w:val="#000"/>
            <w:sz w:val="18"/>
            <w:u w:val="single"/>
          </w:rPr>
          <w:t xml:space="preserve">https://arxiv.org/pdf/2303.00960.pdf</w:t>
        </w:r>
      </w:hyperlink>
      <w:r>
        <w:rPr>
          <w:rFonts w:eastAsia="inter" w:cs="inter" w:ascii="inter" w:hAnsi="inter"/>
          <w:color w:val="000000"/>
          <w:sz w:val="18"/>
        </w:rPr>
        <w:t xml:space="preserve"> </w:t>
      </w:r>
    </w:p>
    <w:bookmarkStart w:id="196" w:name="fn59"/>
    <w:bookmarkEnd w:id="196"/>
    <w:p>
      <w:pPr>
        <w:numPr>
          <w:ilvl w:val="0"/>
          <w:numId w:val="30"/>
        </w:numPr>
        <w:spacing w:line="360" w:after="210" w:lineRule="auto"/>
      </w:pPr>
      <w:hyperlink r:id="rId90">
        <w:r>
          <w:rPr>
            <w:rFonts w:eastAsia="inter" w:cs="inter" w:ascii="inter" w:hAnsi="inter"/>
            <w:color w:val="#000"/>
            <w:sz w:val="18"/>
            <w:u w:val="single"/>
          </w:rPr>
          <w:t xml:space="preserve">https://www.oliv.ai/blog/gong-implementation-timeline</w:t>
        </w:r>
      </w:hyperlink>
      <w:r>
        <w:rPr>
          <w:rFonts w:eastAsia="inter" w:cs="inter" w:ascii="inter" w:hAnsi="inter"/>
          <w:color w:val="000000"/>
          <w:sz w:val="18"/>
        </w:rPr>
        <w:t xml:space="preserve"> </w:t>
      </w:r>
    </w:p>
    <w:bookmarkStart w:id="197" w:name="fn60"/>
    <w:bookmarkEnd w:id="197"/>
    <w:p>
      <w:pPr>
        <w:numPr>
          <w:ilvl w:val="0"/>
          <w:numId w:val="30"/>
        </w:numPr>
        <w:spacing w:line="360" w:after="210" w:lineRule="auto"/>
      </w:pPr>
      <w:hyperlink r:id="rId91">
        <w:r>
          <w:rPr>
            <w:rFonts w:eastAsia="inter" w:cs="inter" w:ascii="inter" w:hAnsi="inter"/>
            <w:color w:val="#000"/>
            <w:sz w:val="18"/>
            <w:u w:val="single"/>
          </w:rPr>
          <w:t xml:space="preserve">https://tldv.io/blog/salesloft-vs-gong/</w:t>
        </w:r>
      </w:hyperlink>
      <w:r>
        <w:rPr>
          <w:rFonts w:eastAsia="inter" w:cs="inter" w:ascii="inter" w:hAnsi="inter"/>
          <w:color w:val="000000"/>
          <w:sz w:val="18"/>
        </w:rPr>
        <w:t xml:space="preserve"> </w:t>
      </w:r>
    </w:p>
    <w:bookmarkStart w:id="198" w:name="fn61"/>
    <w:bookmarkEnd w:id="198"/>
    <w:p>
      <w:pPr>
        <w:numPr>
          <w:ilvl w:val="0"/>
          <w:numId w:val="30"/>
        </w:numPr>
        <w:spacing w:line="360" w:after="210" w:lineRule="auto"/>
      </w:pPr>
      <w:hyperlink r:id="rId92">
        <w:r>
          <w:rPr>
            <w:rFonts w:eastAsia="inter" w:cs="inter" w:ascii="inter" w:hAnsi="inter"/>
            <w:color w:val="#000"/>
            <w:sz w:val="18"/>
            <w:u w:val="single"/>
          </w:rPr>
          <w:t xml:space="preserve">https://www.oliv.ai/blog/gong-analytics</w:t>
        </w:r>
      </w:hyperlink>
      <w:r>
        <w:rPr>
          <w:rFonts w:eastAsia="inter" w:cs="inter" w:ascii="inter" w:hAnsi="inter"/>
          <w:color w:val="000000"/>
          <w:sz w:val="18"/>
        </w:rPr>
        <w:t xml:space="preserve"> </w:t>
      </w:r>
    </w:p>
    <w:bookmarkStart w:id="199" w:name="fn62"/>
    <w:bookmarkEnd w:id="199"/>
    <w:p>
      <w:pPr>
        <w:numPr>
          <w:ilvl w:val="0"/>
          <w:numId w:val="30"/>
        </w:numPr>
        <w:spacing w:line="360" w:after="210" w:lineRule="auto"/>
      </w:pPr>
      <w:hyperlink r:id="rId93">
        <w:r>
          <w:rPr>
            <w:rFonts w:eastAsia="inter" w:cs="inter" w:ascii="inter" w:hAnsi="inter"/>
            <w:color w:val="#000"/>
            <w:sz w:val="18"/>
            <w:u w:val="single"/>
          </w:rPr>
          <w:t xml:space="preserve">https://www.calcalistech.com/ctechnews/article/b110gipqee</w:t>
        </w:r>
      </w:hyperlink>
      <w:r>
        <w:rPr>
          <w:rFonts w:eastAsia="inter" w:cs="inter" w:ascii="inter" w:hAnsi="inter"/>
          <w:color w:val="000000"/>
          <w:sz w:val="18"/>
        </w:rPr>
        <w:t xml:space="preserve"> </w:t>
      </w:r>
    </w:p>
    <w:bookmarkStart w:id="200" w:name="fn63"/>
    <w:bookmarkEnd w:id="200"/>
    <w:p>
      <w:pPr>
        <w:numPr>
          <w:ilvl w:val="0"/>
          <w:numId w:val="30"/>
        </w:numPr>
        <w:spacing w:line="360" w:after="210" w:lineRule="auto"/>
      </w:pPr>
      <w:hyperlink r:id="rId94">
        <w:r>
          <w:rPr>
            <w:rFonts w:eastAsia="inter" w:cs="inter" w:ascii="inter" w:hAnsi="inter"/>
            <w:color w:val="#000"/>
            <w:sz w:val="18"/>
            <w:u w:val="single"/>
          </w:rPr>
          <w:t xml:space="preserve">https://www.breakcold.com/blog/salesloft-vs-gong</w:t>
        </w:r>
      </w:hyperlink>
      <w:r>
        <w:rPr>
          <w:rFonts w:eastAsia="inter" w:cs="inter" w:ascii="inter" w:hAnsi="inter"/>
          <w:color w:val="000000"/>
          <w:sz w:val="18"/>
        </w:rPr>
        <w:t xml:space="preserve"> </w:t>
      </w:r>
    </w:p>
    <w:bookmarkStart w:id="201" w:name="fn64"/>
    <w:bookmarkEnd w:id="201"/>
    <w:p>
      <w:pPr>
        <w:numPr>
          <w:ilvl w:val="0"/>
          <w:numId w:val="30"/>
        </w:numPr>
        <w:spacing w:line="360" w:after="210" w:lineRule="auto"/>
      </w:pPr>
      <w:hyperlink r:id="rId95">
        <w:r>
          <w:rPr>
            <w:rFonts w:eastAsia="inter" w:cs="inter" w:ascii="inter" w:hAnsi="inter"/>
            <w:color w:val="#000"/>
            <w:sz w:val="18"/>
            <w:u w:val="single"/>
          </w:rPr>
          <w:t xml:space="preserve">https://demodesk.com/blog/best-alternative-to-gong</w:t>
        </w:r>
      </w:hyperlink>
      <w:r>
        <w:rPr>
          <w:rFonts w:eastAsia="inter" w:cs="inter" w:ascii="inter" w:hAnsi="inter"/>
          <w:color w:val="000000"/>
          <w:sz w:val="18"/>
        </w:rPr>
        <w:t xml:space="preserve"> </w:t>
      </w:r>
    </w:p>
    <w:bookmarkStart w:id="202" w:name="fn65"/>
    <w:bookmarkEnd w:id="202"/>
    <w:p>
      <w:pPr>
        <w:numPr>
          <w:ilvl w:val="0"/>
          <w:numId w:val="30"/>
        </w:numPr>
        <w:spacing w:line="360" w:after="210" w:lineRule="auto"/>
      </w:pPr>
      <w:hyperlink r:id="rId96">
        <w:r>
          <w:rPr>
            <w:rFonts w:eastAsia="inter" w:cs="inter" w:ascii="inter" w:hAnsi="inter"/>
            <w:color w:val="#000"/>
            <w:sz w:val="18"/>
            <w:u w:val="single"/>
          </w:rPr>
          <w:t xml:space="preserve">https://www.gong.io/blog/predicting-churn</w:t>
        </w:r>
      </w:hyperlink>
      <w:r>
        <w:rPr>
          <w:rFonts w:eastAsia="inter" w:cs="inter" w:ascii="inter" w:hAnsi="inter"/>
          <w:color w:val="000000"/>
          <w:sz w:val="18"/>
        </w:rPr>
        <w:t xml:space="preserve"> </w:t>
      </w:r>
    </w:p>
    <w:bookmarkStart w:id="203" w:name="fn66"/>
    <w:bookmarkEnd w:id="203"/>
    <w:p>
      <w:pPr>
        <w:numPr>
          <w:ilvl w:val="0"/>
          <w:numId w:val="30"/>
        </w:numPr>
        <w:spacing w:line="360" w:after="210" w:lineRule="auto"/>
      </w:pPr>
      <w:hyperlink r:id="rId97">
        <w:r>
          <w:rPr>
            <w:rFonts w:eastAsia="inter" w:cs="inter" w:ascii="inter" w:hAnsi="inter"/>
            <w:color w:val="#000"/>
            <w:sz w:val="18"/>
            <w:u w:val="single"/>
          </w:rPr>
          <w:t xml:space="preserve">https://www.oliv.ai/blog/gong-vs-salesloft</w:t>
        </w:r>
      </w:hyperlink>
      <w:r>
        <w:rPr>
          <w:rFonts w:eastAsia="inter" w:cs="inter" w:ascii="inter" w:hAnsi="inter"/>
          <w:color w:val="000000"/>
          <w:sz w:val="18"/>
        </w:rPr>
        <w:t xml:space="preserve"> </w:t>
      </w:r>
    </w:p>
    <w:bookmarkStart w:id="204" w:name="fn67"/>
    <w:bookmarkEnd w:id="204"/>
    <w:p>
      <w:pPr>
        <w:numPr>
          <w:ilvl w:val="0"/>
          <w:numId w:val="30"/>
        </w:numPr>
        <w:spacing w:line="360" w:after="210" w:lineRule="auto"/>
      </w:pPr>
      <w:hyperlink r:id="rId98">
        <w:r>
          <w:rPr>
            <w:rFonts w:eastAsia="inter" w:cs="inter" w:ascii="inter" w:hAnsi="inter"/>
            <w:color w:val="#000"/>
            <w:sz w:val="18"/>
            <w:u w:val="single"/>
          </w:rPr>
          <w:t xml:space="preserve">https://journalajrcos.com/index.php/AJRCOS/article/view/628</w:t>
        </w:r>
      </w:hyperlink>
      <w:r>
        <w:rPr>
          <w:rFonts w:eastAsia="inter" w:cs="inter" w:ascii="inter" w:hAnsi="inter"/>
          <w:color w:val="000000"/>
          <w:sz w:val="18"/>
        </w:rPr>
        <w:t xml:space="preserve"> </w:t>
      </w:r>
    </w:p>
    <w:bookmarkStart w:id="205" w:name="fn68"/>
    <w:bookmarkEnd w:id="205"/>
    <w:p>
      <w:pPr>
        <w:numPr>
          <w:ilvl w:val="0"/>
          <w:numId w:val="30"/>
        </w:numPr>
        <w:spacing w:line="360" w:after="210" w:lineRule="auto"/>
      </w:pPr>
      <w:hyperlink r:id="rId99">
        <w:r>
          <w:rPr>
            <w:rFonts w:eastAsia="inter" w:cs="inter" w:ascii="inter" w:hAnsi="inter"/>
            <w:color w:val="#000"/>
            <w:sz w:val="18"/>
            <w:u w:val="single"/>
          </w:rPr>
          <w:t xml:space="preserve">https://uscse.com/uscse/index.php/SVJ/article/view/84</w:t>
        </w:r>
      </w:hyperlink>
      <w:r>
        <w:rPr>
          <w:rFonts w:eastAsia="inter" w:cs="inter" w:ascii="inter" w:hAnsi="inter"/>
          <w:color w:val="000000"/>
          <w:sz w:val="18"/>
        </w:rPr>
        <w:t xml:space="preserve"> </w:t>
      </w:r>
    </w:p>
    <w:bookmarkStart w:id="206" w:name="fn69"/>
    <w:bookmarkEnd w:id="206"/>
    <w:p>
      <w:pPr>
        <w:numPr>
          <w:ilvl w:val="0"/>
          <w:numId w:val="30"/>
        </w:numPr>
        <w:spacing w:line="360" w:after="210" w:lineRule="auto"/>
      </w:pPr>
      <w:hyperlink r:id="rId100">
        <w:r>
          <w:rPr>
            <w:rFonts w:eastAsia="inter" w:cs="inter" w:ascii="inter" w:hAnsi="inter"/>
            <w:color w:val="#000"/>
            <w:sz w:val="18"/>
            <w:u w:val="single"/>
          </w:rPr>
          <w:t xml:space="preserve">https://people.fberg.tuke.sk/tnl/index.php/tnl/article/view/189/133</w:t>
        </w:r>
      </w:hyperlink>
      <w:r>
        <w:rPr>
          <w:rFonts w:eastAsia="inter" w:cs="inter" w:ascii="inter" w:hAnsi="inter"/>
          <w:color w:val="000000"/>
          <w:sz w:val="18"/>
        </w:rPr>
        <w:t xml:space="preserve"> </w:t>
      </w:r>
    </w:p>
    <w:bookmarkStart w:id="207" w:name="fn70"/>
    <w:bookmarkEnd w:id="207"/>
    <w:p>
      <w:pPr>
        <w:numPr>
          <w:ilvl w:val="0"/>
          <w:numId w:val="30"/>
        </w:numPr>
        <w:spacing w:line="360" w:after="210" w:lineRule="auto"/>
      </w:pPr>
      <w:hyperlink r:id="rId101">
        <w:r>
          <w:rPr>
            <w:rFonts w:eastAsia="inter" w:cs="inter" w:ascii="inter" w:hAnsi="inter"/>
            <w:color w:val="#000"/>
            <w:sz w:val="18"/>
            <w:u w:val="single"/>
          </w:rPr>
          <w:t xml:space="preserve">https://www.ijfmr.com/research-paper.php?id=59414</w:t>
        </w:r>
      </w:hyperlink>
      <w:r>
        <w:rPr>
          <w:rFonts w:eastAsia="inter" w:cs="inter" w:ascii="inter" w:hAnsi="inter"/>
          <w:color w:val="000000"/>
          <w:sz w:val="18"/>
        </w:rPr>
        <w:t xml:space="preserve"> </w:t>
      </w:r>
    </w:p>
    <w:bookmarkStart w:id="208" w:name="fn71"/>
    <w:bookmarkEnd w:id="208"/>
    <w:p>
      <w:pPr>
        <w:numPr>
          <w:ilvl w:val="0"/>
          <w:numId w:val="30"/>
        </w:numPr>
        <w:spacing w:line="360" w:after="210" w:lineRule="auto"/>
      </w:pPr>
      <w:hyperlink r:id="rId102">
        <w:r>
          <w:rPr>
            <w:rFonts w:eastAsia="inter" w:cs="inter" w:ascii="inter" w:hAnsi="inter"/>
            <w:color w:val="#000"/>
            <w:sz w:val="18"/>
            <w:u w:val="single"/>
          </w:rPr>
          <w:t xml:space="preserve">https://ijsrmt.com/index.php/ijsrmt/article/view/954</w:t>
        </w:r>
      </w:hyperlink>
      <w:r>
        <w:rPr>
          <w:rFonts w:eastAsia="inter" w:cs="inter" w:ascii="inter" w:hAnsi="inter"/>
          <w:color w:val="000000"/>
          <w:sz w:val="18"/>
        </w:rPr>
        <w:t xml:space="preserve"> </w:t>
      </w:r>
    </w:p>
    <w:bookmarkStart w:id="209" w:name="fn72"/>
    <w:bookmarkEnd w:id="209"/>
    <w:p>
      <w:pPr>
        <w:numPr>
          <w:ilvl w:val="0"/>
          <w:numId w:val="30"/>
        </w:numPr>
        <w:spacing w:line="360" w:after="210" w:lineRule="auto"/>
      </w:pPr>
      <w:hyperlink r:id="rId103">
        <w:r>
          <w:rPr>
            <w:rFonts w:eastAsia="inter" w:cs="inter" w:ascii="inter" w:hAnsi="inter"/>
            <w:color w:val="#000"/>
            <w:sz w:val="18"/>
            <w:u w:val="single"/>
          </w:rPr>
          <w:t xml:space="preserve">https://rsglobal.pl/index.php/ijitss/article/view/4720</w:t>
        </w:r>
      </w:hyperlink>
      <w:r>
        <w:rPr>
          <w:rFonts w:eastAsia="inter" w:cs="inter" w:ascii="inter" w:hAnsi="inter"/>
          <w:color w:val="000000"/>
          <w:sz w:val="18"/>
        </w:rPr>
        <w:t xml:space="preserve"> </w:t>
      </w:r>
    </w:p>
    <w:bookmarkStart w:id="210" w:name="fn73"/>
    <w:bookmarkEnd w:id="210"/>
    <w:p>
      <w:pPr>
        <w:numPr>
          <w:ilvl w:val="0"/>
          <w:numId w:val="30"/>
        </w:numPr>
        <w:spacing w:line="360" w:after="210" w:lineRule="auto"/>
      </w:pPr>
      <w:hyperlink r:id="rId104">
        <w:r>
          <w:rPr>
            <w:rFonts w:eastAsia="inter" w:cs="inter" w:ascii="inter" w:hAnsi="inter"/>
            <w:color w:val="#000"/>
            <w:sz w:val="18"/>
            <w:u w:val="single"/>
          </w:rPr>
          <w:t xml:space="preserve">https://aacrjournals.org/cancerres/article/85/8_Supplement_1/5048/761220/Abstract-5048-MyInformaticsR-Invivoscribe-s-end-to</w:t>
        </w:r>
      </w:hyperlink>
      <w:r>
        <w:rPr>
          <w:rFonts w:eastAsia="inter" w:cs="inter" w:ascii="inter" w:hAnsi="inter"/>
          <w:color w:val="000000"/>
          <w:sz w:val="18"/>
        </w:rPr>
        <w:t xml:space="preserve"> </w:t>
      </w:r>
    </w:p>
    <w:bookmarkStart w:id="211" w:name="fn74"/>
    <w:bookmarkEnd w:id="211"/>
    <w:p>
      <w:pPr>
        <w:numPr>
          <w:ilvl w:val="0"/>
          <w:numId w:val="30"/>
        </w:numPr>
        <w:spacing w:line="360" w:after="210" w:lineRule="auto"/>
      </w:pPr>
      <w:hyperlink r:id="rId105">
        <w:r>
          <w:rPr>
            <w:rFonts w:eastAsia="inter" w:cs="inter" w:ascii="inter" w:hAnsi="inter"/>
            <w:color w:val="#000"/>
            <w:sz w:val="18"/>
            <w:u w:val="single"/>
          </w:rPr>
          <w:t xml:space="preserve">https://arxiv.org/html/2501.07834</w:t>
        </w:r>
      </w:hyperlink>
      <w:r>
        <w:rPr>
          <w:rFonts w:eastAsia="inter" w:cs="inter" w:ascii="inter" w:hAnsi="inter"/>
          <w:color w:val="000000"/>
          <w:sz w:val="18"/>
        </w:rPr>
        <w:t xml:space="preserve"> </w:t>
      </w:r>
    </w:p>
    <w:bookmarkStart w:id="212" w:name="fn75"/>
    <w:bookmarkEnd w:id="212"/>
    <w:p>
      <w:pPr>
        <w:numPr>
          <w:ilvl w:val="0"/>
          <w:numId w:val="30"/>
        </w:numPr>
        <w:spacing w:line="360" w:after="210" w:lineRule="auto"/>
      </w:pPr>
      <w:hyperlink r:id="rId106">
        <w:r>
          <w:rPr>
            <w:rFonts w:eastAsia="inter" w:cs="inter" w:ascii="inter" w:hAnsi="inter"/>
            <w:color w:val="#000"/>
            <w:sz w:val="18"/>
            <w:u w:val="single"/>
          </w:rPr>
          <w:t xml:space="preserve">https://arxiv.org/pdf/2503.13754.pdf</w:t>
        </w:r>
      </w:hyperlink>
      <w:r>
        <w:rPr>
          <w:rFonts w:eastAsia="inter" w:cs="inter" w:ascii="inter" w:hAnsi="inter"/>
          <w:color w:val="000000"/>
          <w:sz w:val="18"/>
        </w:rPr>
        <w:t xml:space="preserve"> </w:t>
      </w:r>
    </w:p>
    <w:bookmarkStart w:id="213" w:name="fn76"/>
    <w:bookmarkEnd w:id="213"/>
    <w:p>
      <w:pPr>
        <w:numPr>
          <w:ilvl w:val="0"/>
          <w:numId w:val="30"/>
        </w:numPr>
        <w:spacing w:line="360" w:after="210" w:lineRule="auto"/>
      </w:pPr>
      <w:hyperlink r:id="rId107">
        <w:r>
          <w:rPr>
            <w:rFonts w:eastAsia="inter" w:cs="inter" w:ascii="inter" w:hAnsi="inter"/>
            <w:color w:val="#000"/>
            <w:sz w:val="18"/>
            <w:u w:val="single"/>
          </w:rPr>
          <w:t xml:space="preserve">https://arxiv.org/pdf/2106.00583.pdf</w:t>
        </w:r>
      </w:hyperlink>
      <w:r>
        <w:rPr>
          <w:rFonts w:eastAsia="inter" w:cs="inter" w:ascii="inter" w:hAnsi="inter"/>
          <w:color w:val="000000"/>
          <w:sz w:val="18"/>
        </w:rPr>
        <w:t xml:space="preserve"> </w:t>
      </w:r>
    </w:p>
    <w:bookmarkStart w:id="214" w:name="fn77"/>
    <w:bookmarkEnd w:id="214"/>
    <w:p>
      <w:pPr>
        <w:numPr>
          <w:ilvl w:val="0"/>
          <w:numId w:val="30"/>
        </w:numPr>
        <w:spacing w:line="360" w:after="210" w:lineRule="auto"/>
      </w:pPr>
      <w:hyperlink r:id="rId108">
        <w:r>
          <w:rPr>
            <w:rFonts w:eastAsia="inter" w:cs="inter" w:ascii="inter" w:hAnsi="inter"/>
            <w:color w:val="#000"/>
            <w:sz w:val="18"/>
            <w:u w:val="single"/>
          </w:rPr>
          <w:t xml:space="preserve">https://arxiv.org/pdf/0901.4762.pdf</w:t>
        </w:r>
      </w:hyperlink>
      <w:r>
        <w:rPr>
          <w:rFonts w:eastAsia="inter" w:cs="inter" w:ascii="inter" w:hAnsi="inter"/>
          <w:color w:val="000000"/>
          <w:sz w:val="18"/>
        </w:rPr>
        <w:t xml:space="preserve"> </w:t>
      </w:r>
    </w:p>
    <w:bookmarkStart w:id="215" w:name="fn78"/>
    <w:bookmarkEnd w:id="215"/>
    <w:p>
      <w:pPr>
        <w:numPr>
          <w:ilvl w:val="0"/>
          <w:numId w:val="30"/>
        </w:numPr>
        <w:spacing w:line="360" w:after="210" w:lineRule="auto"/>
      </w:pPr>
      <w:hyperlink r:id="rId109">
        <w:r>
          <w:rPr>
            <w:rFonts w:eastAsia="inter" w:cs="inter" w:ascii="inter" w:hAnsi="inter"/>
            <w:color w:val="#000"/>
            <w:sz w:val="18"/>
            <w:u w:val="single"/>
          </w:rPr>
          <w:t xml:space="preserve">https://arxiv.org/pdf/2410.10762.pdf</w:t>
        </w:r>
      </w:hyperlink>
      <w:r>
        <w:rPr>
          <w:rFonts w:eastAsia="inter" w:cs="inter" w:ascii="inter" w:hAnsi="inter"/>
          <w:color w:val="000000"/>
          <w:sz w:val="18"/>
        </w:rPr>
        <w:t xml:space="preserve"> </w:t>
      </w:r>
    </w:p>
    <w:bookmarkStart w:id="216" w:name="fn79"/>
    <w:bookmarkEnd w:id="216"/>
    <w:p>
      <w:pPr>
        <w:numPr>
          <w:ilvl w:val="0"/>
          <w:numId w:val="30"/>
        </w:numPr>
        <w:spacing w:line="360" w:after="210" w:lineRule="auto"/>
      </w:pPr>
      <w:hyperlink r:id="rId110">
        <w:r>
          <w:rPr>
            <w:rFonts w:eastAsia="inter" w:cs="inter" w:ascii="inter" w:hAnsi="inter"/>
            <w:color w:val="#000"/>
            <w:sz w:val="18"/>
            <w:u w:val="single"/>
          </w:rPr>
          <w:t xml:space="preserve">https://arxiv.org/pdf/2304.14629.pdf</w:t>
        </w:r>
      </w:hyperlink>
      <w:r>
        <w:rPr>
          <w:rFonts w:eastAsia="inter" w:cs="inter" w:ascii="inter" w:hAnsi="inter"/>
          <w:color w:val="000000"/>
          <w:sz w:val="18"/>
        </w:rPr>
        <w:t xml:space="preserve"> </w:t>
      </w:r>
    </w:p>
    <w:bookmarkStart w:id="217" w:name="fn80"/>
    <w:bookmarkEnd w:id="217"/>
    <w:p>
      <w:pPr>
        <w:numPr>
          <w:ilvl w:val="0"/>
          <w:numId w:val="30"/>
        </w:numPr>
        <w:spacing w:line="360" w:after="210" w:lineRule="auto"/>
      </w:pPr>
      <w:hyperlink r:id="rId111">
        <w:r>
          <w:rPr>
            <w:rFonts w:eastAsia="inter" w:cs="inter" w:ascii="inter" w:hAnsi="inter"/>
            <w:color w:val="#000"/>
            <w:sz w:val="18"/>
            <w:u w:val="single"/>
          </w:rPr>
          <w:t xml:space="preserve">https://arxiv.org/html/2411.05451</w:t>
        </w:r>
      </w:hyperlink>
      <w:r>
        <w:rPr>
          <w:rFonts w:eastAsia="inter" w:cs="inter" w:ascii="inter" w:hAnsi="inter"/>
          <w:color w:val="000000"/>
          <w:sz w:val="18"/>
        </w:rPr>
        <w:t xml:space="preserve"> </w:t>
      </w:r>
    </w:p>
    <w:bookmarkStart w:id="218" w:name="fn81"/>
    <w:bookmarkEnd w:id="218"/>
    <w:p>
      <w:pPr>
        <w:numPr>
          <w:ilvl w:val="0"/>
          <w:numId w:val="30"/>
        </w:numPr>
        <w:spacing w:line="360" w:after="210" w:lineRule="auto"/>
      </w:pPr>
      <w:hyperlink r:id="rId112">
        <w:r>
          <w:rPr>
            <w:rFonts w:eastAsia="inter" w:cs="inter" w:ascii="inter" w:hAnsi="inter"/>
            <w:color w:val="#000"/>
            <w:sz w:val="18"/>
            <w:u w:val="single"/>
          </w:rPr>
          <w:t xml:space="preserve">https://arxiv.org/pdf/2504.00761.pdf</w:t>
        </w:r>
      </w:hyperlink>
      <w:r>
        <w:rPr>
          <w:rFonts w:eastAsia="inter" w:cs="inter" w:ascii="inter" w:hAnsi="inter"/>
          <w:color w:val="000000"/>
          <w:sz w:val="18"/>
        </w:rPr>
        <w:t xml:space="preserve"> </w:t>
      </w:r>
    </w:p>
    <w:bookmarkStart w:id="219" w:name="fn82"/>
    <w:bookmarkEnd w:id="219"/>
    <w:p>
      <w:pPr>
        <w:numPr>
          <w:ilvl w:val="0"/>
          <w:numId w:val="30"/>
        </w:numPr>
        <w:spacing w:line="360" w:after="210" w:lineRule="auto"/>
      </w:pPr>
      <w:hyperlink r:id="rId113">
        <w:r>
          <w:rPr>
            <w:rFonts w:eastAsia="inter" w:cs="inter" w:ascii="inter" w:hAnsi="inter"/>
            <w:color w:val="#000"/>
            <w:sz w:val="18"/>
            <w:u w:val="single"/>
          </w:rPr>
          <w:t xml:space="preserve">https://www.vivun.com/gong-agents-2025</w:t>
        </w:r>
      </w:hyperlink>
      <w:r>
        <w:rPr>
          <w:rFonts w:eastAsia="inter" w:cs="inter" w:ascii="inter" w:hAnsi="inter"/>
          <w:color w:val="000000"/>
          <w:sz w:val="18"/>
        </w:rPr>
        <w:t xml:space="preserve"> </w:t>
      </w:r>
    </w:p>
    <w:bookmarkStart w:id="220" w:name="fn83"/>
    <w:bookmarkEnd w:id="220"/>
    <w:p>
      <w:pPr>
        <w:numPr>
          <w:ilvl w:val="0"/>
          <w:numId w:val="30"/>
        </w:numPr>
        <w:spacing w:line="360" w:after="210" w:lineRule="auto"/>
      </w:pPr>
      <w:hyperlink r:id="rId114">
        <w:r>
          <w:rPr>
            <w:rFonts w:eastAsia="inter" w:cs="inter" w:ascii="inter" w:hAnsi="inter"/>
            <w:color w:val="#000"/>
            <w:sz w:val="18"/>
            <w:u w:val="single"/>
          </w:rPr>
          <w:t xml:space="preserve">https://salestools.io/en/report/gong-250m-series-e</w:t>
        </w:r>
      </w:hyperlink>
      <w:r>
        <w:rPr>
          <w:rFonts w:eastAsia="inter" w:cs="inter" w:ascii="inter" w:hAnsi="inter"/>
          <w:color w:val="000000"/>
          <w:sz w:val="18"/>
        </w:rPr>
        <w:t xml:space="preserve"> </w:t>
      </w:r>
    </w:p>
    <w:bookmarkStart w:id="221" w:name="fn84"/>
    <w:bookmarkEnd w:id="221"/>
    <w:p>
      <w:pPr>
        <w:numPr>
          <w:ilvl w:val="0"/>
          <w:numId w:val="30"/>
        </w:numPr>
        <w:spacing w:line="360" w:after="210" w:lineRule="auto"/>
      </w:pPr>
      <w:hyperlink r:id="rId115">
        <w:r>
          <w:rPr>
            <w:rFonts w:eastAsia="inter" w:cs="inter" w:ascii="inter" w:hAnsi="inter"/>
            <w:color w:val="#000"/>
            <w:sz w:val="18"/>
            <w:u w:val="single"/>
          </w:rPr>
          <w:t xml:space="preserve">https://time.com/7343169/top-10-global-risks-2026/</w:t>
        </w:r>
      </w:hyperlink>
      <w:r>
        <w:rPr>
          <w:rFonts w:eastAsia="inter" w:cs="inter" w:ascii="inter" w:hAnsi="inter"/>
          <w:color w:val="000000"/>
          <w:sz w:val="18"/>
        </w:rPr>
        <w:t xml:space="preserve"> </w:t>
      </w:r>
    </w:p>
    <w:bookmarkStart w:id="222" w:name="fn85"/>
    <w:bookmarkEnd w:id="222"/>
    <w:p>
      <w:pPr>
        <w:numPr>
          <w:ilvl w:val="0"/>
          <w:numId w:val="30"/>
        </w:numPr>
        <w:spacing w:line="360" w:after="210" w:lineRule="auto"/>
      </w:pPr>
      <w:hyperlink r:id="rId116">
        <w:r>
          <w:rPr>
            <w:rFonts w:eastAsia="inter" w:cs="inter" w:ascii="inter" w:hAnsi="inter"/>
            <w:color w:val="#000"/>
            <w:sz w:val="18"/>
            <w:u w:val="single"/>
          </w:rPr>
          <w:t xml:space="preserve">https://sacra.com/c/gong/</w:t>
        </w:r>
      </w:hyperlink>
      <w:r>
        <w:rPr>
          <w:rFonts w:eastAsia="inter" w:cs="inter" w:ascii="inter" w:hAnsi="inter"/>
          <w:color w:val="000000"/>
          <w:sz w:val="18"/>
        </w:rPr>
        <w:t xml:space="preserve"> </w:t>
      </w:r>
    </w:p>
    <w:bookmarkStart w:id="223" w:name="fn86"/>
    <w:bookmarkEnd w:id="223"/>
    <w:p>
      <w:pPr>
        <w:numPr>
          <w:ilvl w:val="0"/>
          <w:numId w:val="30"/>
        </w:numPr>
        <w:spacing w:line="360" w:after="210" w:lineRule="auto"/>
      </w:pPr>
      <w:hyperlink r:id="rId117">
        <w:r>
          <w:rPr>
            <w:rFonts w:eastAsia="inter" w:cs="inter" w:ascii="inter" w:hAnsi="inter"/>
            <w:color w:val="#000"/>
            <w:sz w:val="18"/>
            <w:u w:val="single"/>
          </w:rPr>
          <w:t xml:space="preserve">https://www.gong.io/conversation-intelligence</w:t>
        </w:r>
      </w:hyperlink>
      <w:r>
        <w:rPr>
          <w:rFonts w:eastAsia="inter" w:cs="inter" w:ascii="inter" w:hAnsi="inter"/>
          <w:color w:val="000000"/>
          <w:sz w:val="18"/>
        </w:rPr>
        <w:t xml:space="preserve"> </w:t>
      </w:r>
    </w:p>
    <w:bookmarkStart w:id="224" w:name="fn87"/>
    <w:bookmarkEnd w:id="224"/>
    <w:p>
      <w:pPr>
        <w:numPr>
          <w:ilvl w:val="0"/>
          <w:numId w:val="30"/>
        </w:numPr>
        <w:spacing w:line="360" w:after="210" w:lineRule="auto"/>
      </w:pPr>
      <w:hyperlink r:id="rId118">
        <w:r>
          <w:rPr>
            <w:rFonts w:eastAsia="inter" w:cs="inter" w:ascii="inter" w:hAnsi="inter"/>
            <w:color w:val="#000"/>
            <w:sz w:val="18"/>
            <w:u w:val="single"/>
          </w:rPr>
          <w:t xml:space="preserve">https://techcrunch.com/2025/03/05/revenue-prediction-startup-gong-surpasses-300m-arr-indicating-potential-ipo-path/</w:t>
        </w:r>
      </w:hyperlink>
      <w:r>
        <w:rPr>
          <w:rFonts w:eastAsia="inter" w:cs="inter" w:ascii="inter" w:hAnsi="inter"/>
          <w:color w:val="000000"/>
          <w:sz w:val="18"/>
        </w:rPr>
        <w:t xml:space="preserve"> </w:t>
      </w:r>
    </w:p>
    <w:bookmarkStart w:id="225" w:name="fn88"/>
    <w:bookmarkEnd w:id="225"/>
    <w:p>
      <w:pPr>
        <w:numPr>
          <w:ilvl w:val="0"/>
          <w:numId w:val="30"/>
        </w:numPr>
        <w:spacing w:line="360" w:after="210" w:lineRule="auto"/>
      </w:pPr>
      <w:hyperlink r:id="rId119">
        <w:r>
          <w:rPr>
            <w:rFonts w:eastAsia="inter" w:cs="inter" w:ascii="inter" w:hAnsi="inter"/>
            <w:color w:val="#000"/>
            <w:sz w:val="18"/>
            <w:u w:val="single"/>
          </w:rPr>
          <w:t xml:space="preserve">https://www.gong.io/press/gong-surpasses-300m-arr-amid-increased-demand-for-ai-powered-revenue-solutions</w:t>
        </w:r>
      </w:hyperlink>
      <w:r>
        <w:rPr>
          <w:rFonts w:eastAsia="inter" w:cs="inter" w:ascii="inter" w:hAnsi="inter"/>
          <w:color w:val="000000"/>
          <w:sz w:val="18"/>
        </w:rPr>
        <w:t xml:space="preserve"> </w:t>
      </w:r>
    </w:p>
    <w:bookmarkStart w:id="226" w:name="fn89"/>
    <w:bookmarkEnd w:id="226"/>
    <w:p>
      <w:pPr>
        <w:numPr>
          <w:ilvl w:val="0"/>
          <w:numId w:val="30"/>
        </w:numPr>
        <w:spacing w:line="360" w:after="210" w:lineRule="auto"/>
      </w:pPr>
      <w:hyperlink r:id="rId120">
        <w:r>
          <w:rPr>
            <w:rFonts w:eastAsia="inter" w:cs="inter" w:ascii="inter" w:hAnsi="inter"/>
            <w:color w:val="#000"/>
            <w:sz w:val="18"/>
            <w:u w:val="single"/>
          </w:rPr>
          <w:t xml:space="preserve">https://forgeglobal.com/tech-ipo-calendar-2026/</w:t>
        </w:r>
      </w:hyperlink>
      <w:r>
        <w:rPr>
          <w:rFonts w:eastAsia="inter" w:cs="inter" w:ascii="inter" w:hAnsi="inter"/>
          <w:color w:val="000000"/>
          <w:sz w:val="18"/>
        </w:rPr>
        <w:t xml:space="preserve"> </w:t>
      </w:r>
    </w:p>
    <w:bookmarkStart w:id="227" w:name="fn90"/>
    <w:bookmarkEnd w:id="227"/>
    <w:p>
      <w:pPr>
        <w:numPr>
          <w:ilvl w:val="0"/>
          <w:numId w:val="30"/>
        </w:numPr>
        <w:spacing w:line="360" w:after="210" w:lineRule="auto"/>
      </w:pPr>
      <w:hyperlink r:id="rId121">
        <w:r>
          <w:rPr>
            <w:rFonts w:eastAsia="inter" w:cs="inter" w:ascii="inter" w:hAnsi="inter"/>
            <w:color w:val="#000"/>
            <w:sz w:val="18"/>
            <w:u w:val="single"/>
          </w:rPr>
          <w:t xml:space="preserve">https://www.linkedin.com/posts/mathewaird_gong-just-surpassed-300m-in-arr-so-what-activity-7311089077196312576-xFyM</w:t>
        </w:r>
      </w:hyperlink>
      <w:r>
        <w:rPr>
          <w:rFonts w:eastAsia="inter" w:cs="inter" w:ascii="inter" w:hAnsi="inter"/>
          <w:color w:val="000000"/>
          <w:sz w:val="18"/>
        </w:rPr>
        <w:t xml:space="preserve"> </w:t>
      </w:r>
    </w:p>
    <w:bookmarkStart w:id="228" w:name="fn91"/>
    <w:bookmarkEnd w:id="228"/>
    <w:p>
      <w:pPr>
        <w:numPr>
          <w:ilvl w:val="0"/>
          <w:numId w:val="30"/>
        </w:numPr>
        <w:spacing w:line="360" w:after="210" w:lineRule="auto"/>
      </w:pPr>
      <w:hyperlink r:id="rId122">
        <w:r>
          <w:rPr>
            <w:rFonts w:eastAsia="inter" w:cs="inter" w:ascii="inter" w:hAnsi="inter"/>
            <w:color w:val="#000"/>
            <w:sz w:val="18"/>
            <w:u w:val="single"/>
          </w:rPr>
          <w:t xml:space="preserve">https://journal.paluniv.edu.ps/index.php/journal/article/view/200</w:t>
        </w:r>
      </w:hyperlink>
      <w:r>
        <w:rPr>
          <w:rFonts w:eastAsia="inter" w:cs="inter" w:ascii="inter" w:hAnsi="inter"/>
          <w:color w:val="000000"/>
          <w:sz w:val="18"/>
        </w:rPr>
        <w:t xml:space="preserve"> </w:t>
      </w:r>
    </w:p>
    <w:bookmarkStart w:id="229" w:name="fn92"/>
    <w:bookmarkEnd w:id="229"/>
    <w:p>
      <w:pPr>
        <w:numPr>
          <w:ilvl w:val="0"/>
          <w:numId w:val="30"/>
        </w:numPr>
        <w:spacing w:line="360" w:after="210" w:lineRule="auto"/>
      </w:pPr>
      <w:hyperlink r:id="rId123">
        <w:r>
          <w:rPr>
            <w:rFonts w:eastAsia="inter" w:cs="inter" w:ascii="inter" w:hAnsi="inter"/>
            <w:color w:val="#000"/>
            <w:sz w:val="18"/>
            <w:u w:val="single"/>
          </w:rPr>
          <w:t xml:space="preserve">https://www.cambridge.org/core/product/identifier/S0924933825014300/type/journal_article</w:t>
        </w:r>
      </w:hyperlink>
      <w:r>
        <w:rPr>
          <w:rFonts w:eastAsia="inter" w:cs="inter" w:ascii="inter" w:hAnsi="inter"/>
          <w:color w:val="000000"/>
          <w:sz w:val="18"/>
        </w:rPr>
        <w:t xml:space="preserve"> </w:t>
      </w:r>
    </w:p>
    <w:bookmarkStart w:id="230" w:name="fn93"/>
    <w:bookmarkEnd w:id="230"/>
    <w:p>
      <w:pPr>
        <w:numPr>
          <w:ilvl w:val="0"/>
          <w:numId w:val="30"/>
        </w:numPr>
        <w:spacing w:line="360" w:after="210" w:lineRule="auto"/>
      </w:pPr>
      <w:hyperlink r:id="rId124">
        <w:r>
          <w:rPr>
            <w:rFonts w:eastAsia="inter" w:cs="inter" w:ascii="inter" w:hAnsi="inter"/>
            <w:color w:val="#000"/>
            <w:sz w:val="18"/>
            <w:u w:val="single"/>
          </w:rPr>
          <w:t xml:space="preserve">https://aacrjournals.org/cebp/article/34/9_Supplement/C140/765033/Abstract-C140-Multi-sector-collaboration-to</w:t>
        </w:r>
      </w:hyperlink>
      <w:r>
        <w:rPr>
          <w:rFonts w:eastAsia="inter" w:cs="inter" w:ascii="inter" w:hAnsi="inter"/>
          <w:color w:val="000000"/>
          <w:sz w:val="18"/>
        </w:rPr>
        <w:t xml:space="preserve"> </w:t>
      </w:r>
    </w:p>
    <w:bookmarkStart w:id="231" w:name="fn94"/>
    <w:bookmarkEnd w:id="231"/>
    <w:p>
      <w:pPr>
        <w:numPr>
          <w:ilvl w:val="0"/>
          <w:numId w:val="30"/>
        </w:numPr>
        <w:spacing w:line="360" w:after="210" w:lineRule="auto"/>
      </w:pPr>
      <w:hyperlink r:id="rId125">
        <w:r>
          <w:rPr>
            <w:rFonts w:eastAsia="inter" w:cs="inter" w:ascii="inter" w:hAnsi="inter"/>
            <w:color w:val="#000"/>
            <w:sz w:val="18"/>
            <w:u w:val="single"/>
          </w:rPr>
          <w:t xml:space="preserve">https://www.journal-uamd.org/index.php/IJRD/article/view/578</w:t>
        </w:r>
      </w:hyperlink>
      <w:r>
        <w:rPr>
          <w:rFonts w:eastAsia="inter" w:cs="inter" w:ascii="inter" w:hAnsi="inter"/>
          <w:color w:val="000000"/>
          <w:sz w:val="18"/>
        </w:rPr>
        <w:t xml:space="preserve"> </w:t>
      </w:r>
    </w:p>
    <w:bookmarkStart w:id="232" w:name="fn95"/>
    <w:bookmarkEnd w:id="232"/>
    <w:p>
      <w:pPr>
        <w:numPr>
          <w:ilvl w:val="0"/>
          <w:numId w:val="30"/>
        </w:numPr>
        <w:spacing w:line="360" w:after="210" w:lineRule="auto"/>
      </w:pPr>
      <w:hyperlink r:id="rId126">
        <w:r>
          <w:rPr>
            <w:rFonts w:eastAsia="inter" w:cs="inter" w:ascii="inter" w:hAnsi="inter"/>
            <w:color w:val="#000"/>
            <w:sz w:val="18"/>
            <w:u w:val="single"/>
          </w:rPr>
          <w:t xml:space="preserve">https://www.cinc.org/archives/2025/pdf/CinC2025-475.pdf</w:t>
        </w:r>
      </w:hyperlink>
      <w:r>
        <w:rPr>
          <w:rFonts w:eastAsia="inter" w:cs="inter" w:ascii="inter" w:hAnsi="inter"/>
          <w:color w:val="000000"/>
          <w:sz w:val="18"/>
        </w:rPr>
        <w:t xml:space="preserve"> </w:t>
      </w:r>
    </w:p>
    <w:bookmarkStart w:id="233" w:name="fn96"/>
    <w:bookmarkEnd w:id="233"/>
    <w:p>
      <w:pPr>
        <w:numPr>
          <w:ilvl w:val="0"/>
          <w:numId w:val="30"/>
        </w:numPr>
        <w:spacing w:line="360" w:after="210" w:lineRule="auto"/>
      </w:pPr>
      <w:hyperlink r:id="rId127">
        <w:r>
          <w:rPr>
            <w:rFonts w:eastAsia="inter" w:cs="inter" w:ascii="inter" w:hAnsi="inter"/>
            <w:color w:val="#000"/>
            <w:sz w:val="18"/>
            <w:u w:val="single"/>
          </w:rPr>
          <w:t xml:space="preserve">https://ieeexplore.ieee.org/document/11328723/</w:t>
        </w:r>
      </w:hyperlink>
      <w:r>
        <w:rPr>
          <w:rFonts w:eastAsia="inter" w:cs="inter" w:ascii="inter" w:hAnsi="inter"/>
          <w:color w:val="000000"/>
          <w:sz w:val="18"/>
        </w:rPr>
        <w:t xml:space="preserve"> </w:t>
      </w:r>
    </w:p>
    <w:bookmarkStart w:id="234" w:name="fn97"/>
    <w:bookmarkEnd w:id="234"/>
    <w:p>
      <w:pPr>
        <w:numPr>
          <w:ilvl w:val="0"/>
          <w:numId w:val="30"/>
        </w:numPr>
        <w:spacing w:line="360" w:after="210" w:lineRule="auto"/>
      </w:pPr>
      <w:hyperlink r:id="rId128">
        <w:r>
          <w:rPr>
            <w:rFonts w:eastAsia="inter" w:cs="inter" w:ascii="inter" w:hAnsi="inter"/>
            <w:color w:val="#000"/>
            <w:sz w:val="18"/>
            <w:u w:val="single"/>
          </w:rPr>
          <w:t xml:space="preserve">https://open-publishing.org/publications/index.php/APUB/article/view/2764</w:t>
        </w:r>
      </w:hyperlink>
      <w:r>
        <w:rPr>
          <w:rFonts w:eastAsia="inter" w:cs="inter" w:ascii="inter" w:hAnsi="inter"/>
          <w:color w:val="000000"/>
          <w:sz w:val="18"/>
        </w:rPr>
        <w:t xml:space="preserve"> </w:t>
      </w:r>
    </w:p>
    <w:bookmarkStart w:id="235" w:name="fn98"/>
    <w:bookmarkEnd w:id="235"/>
    <w:p>
      <w:pPr>
        <w:numPr>
          <w:ilvl w:val="0"/>
          <w:numId w:val="30"/>
        </w:numPr>
        <w:spacing w:line="360" w:after="210" w:lineRule="auto"/>
      </w:pPr>
      <w:hyperlink r:id="rId129">
        <w:r>
          <w:rPr>
            <w:rFonts w:eastAsia="inter" w:cs="inter" w:ascii="inter" w:hAnsi="inter"/>
            <w:color w:val="#000"/>
            <w:sz w:val="18"/>
            <w:u w:val="single"/>
          </w:rPr>
          <w:t xml:space="preserve">https://aacrjournals.org/cancerres/article/85/8_Supplement_1/7461/759626/Abstract-7461-Identifying-molecular</w:t>
        </w:r>
      </w:hyperlink>
      <w:r>
        <w:rPr>
          <w:rFonts w:eastAsia="inter" w:cs="inter" w:ascii="inter" w:hAnsi="inter"/>
          <w:color w:val="000000"/>
          <w:sz w:val="18"/>
        </w:rPr>
        <w:t xml:space="preserve"> </w:t>
      </w:r>
    </w:p>
    <w:bookmarkStart w:id="236" w:name="fn99"/>
    <w:bookmarkEnd w:id="236"/>
    <w:p>
      <w:pPr>
        <w:numPr>
          <w:ilvl w:val="0"/>
          <w:numId w:val="30"/>
        </w:numPr>
        <w:spacing w:line="360" w:after="210" w:lineRule="auto"/>
      </w:pPr>
      <w:hyperlink r:id="rId130">
        <w:r>
          <w:rPr>
            <w:rFonts w:eastAsia="inter" w:cs="inter" w:ascii="inter" w:hAnsi="inter"/>
            <w:color w:val="#000"/>
            <w:sz w:val="18"/>
            <w:u w:val="single"/>
          </w:rPr>
          <w:t xml:space="preserve">https://zenodo.org/record/3503385</w:t>
        </w:r>
      </w:hyperlink>
      <w:r>
        <w:rPr>
          <w:rFonts w:eastAsia="inter" w:cs="inter" w:ascii="inter" w:hAnsi="inter"/>
          <w:color w:val="000000"/>
          <w:sz w:val="18"/>
        </w:rPr>
        <w:t xml:space="preserve"> </w:t>
      </w:r>
    </w:p>
    <w:bookmarkStart w:id="237" w:name="fn100"/>
    <w:bookmarkEnd w:id="237"/>
    <w:p>
      <w:pPr>
        <w:numPr>
          <w:ilvl w:val="0"/>
          <w:numId w:val="30"/>
        </w:numPr>
        <w:spacing w:line="360" w:after="210" w:lineRule="auto"/>
      </w:pPr>
      <w:hyperlink r:id="rId131">
        <w:r>
          <w:rPr>
            <w:rFonts w:eastAsia="inter" w:cs="inter" w:ascii="inter" w:hAnsi="inter"/>
            <w:color w:val="#000"/>
            <w:sz w:val="18"/>
            <w:u w:val="single"/>
          </w:rPr>
          <w:t xml:space="preserve">https://www.semanticscholar.org/paper/ceacd9e2875797edea3b1dd7a7ff437cc6783bea</w:t>
        </w:r>
      </w:hyperlink>
      <w:r>
        <w:rPr>
          <w:rFonts w:eastAsia="inter" w:cs="inter" w:ascii="inter" w:hAnsi="inter"/>
          <w:color w:val="000000"/>
          <w:sz w:val="18"/>
        </w:rPr>
        <w:t xml:space="preserve"> </w:t>
      </w:r>
    </w:p>
    <w:bookmarkStart w:id="238" w:name="fn101"/>
    <w:bookmarkEnd w:id="238"/>
    <w:p>
      <w:pPr>
        <w:numPr>
          <w:ilvl w:val="0"/>
          <w:numId w:val="30"/>
        </w:numPr>
        <w:spacing w:line="360" w:after="210" w:lineRule="auto"/>
      </w:pPr>
      <w:hyperlink r:id="rId132">
        <w:r>
          <w:rPr>
            <w:rFonts w:eastAsia="inter" w:cs="inter" w:ascii="inter" w:hAnsi="inter"/>
            <w:color w:val="#000"/>
            <w:sz w:val="18"/>
            <w:u w:val="single"/>
          </w:rPr>
          <w:t xml:space="preserve">https://figshare.com/articles/conference_contribution/inContext_a_Pervasive_and_Collaborative_Working_Environment_for_Emerging_Team_Forms_/10088285/1/files/18188819.pdf</w:t>
        </w:r>
      </w:hyperlink>
      <w:r>
        <w:rPr>
          <w:rFonts w:eastAsia="inter" w:cs="inter" w:ascii="inter" w:hAnsi="inter"/>
          <w:color w:val="000000"/>
          <w:sz w:val="18"/>
        </w:rPr>
        <w:t xml:space="preserve"> </w:t>
      </w:r>
    </w:p>
    <w:bookmarkStart w:id="239" w:name="fn102"/>
    <w:bookmarkEnd w:id="239"/>
    <w:p>
      <w:pPr>
        <w:numPr>
          <w:ilvl w:val="0"/>
          <w:numId w:val="30"/>
        </w:numPr>
        <w:spacing w:line="360" w:after="210" w:lineRule="auto"/>
      </w:pPr>
      <w:hyperlink r:id="rId133">
        <w:r>
          <w:rPr>
            <w:rFonts w:eastAsia="inter" w:cs="inter" w:ascii="inter" w:hAnsi="inter"/>
            <w:color w:val="#000"/>
            <w:sz w:val="18"/>
            <w:u w:val="single"/>
          </w:rPr>
          <w:t xml:space="preserve">http://eecjournal.com/uploads/issue_files/3EEC-APR-2020-7-Salesforce.pdf</w:t>
        </w:r>
      </w:hyperlink>
      <w:r>
        <w:rPr>
          <w:rFonts w:eastAsia="inter" w:cs="inter" w:ascii="inter" w:hAnsi="inter"/>
          <w:color w:val="000000"/>
          <w:sz w:val="18"/>
        </w:rPr>
        <w:t xml:space="preserve"> </w:t>
      </w:r>
    </w:p>
    <w:bookmarkStart w:id="240" w:name="fn103"/>
    <w:bookmarkEnd w:id="240"/>
    <w:p>
      <w:pPr>
        <w:numPr>
          <w:ilvl w:val="0"/>
          <w:numId w:val="30"/>
        </w:numPr>
        <w:spacing w:line="360" w:after="210" w:lineRule="auto"/>
      </w:pPr>
      <w:hyperlink r:id="rId134">
        <w:r>
          <w:rPr>
            <w:rFonts w:eastAsia="inter" w:cs="inter" w:ascii="inter" w:hAnsi="inter"/>
            <w:color w:val="#000"/>
            <w:sz w:val="18"/>
            <w:u w:val="single"/>
          </w:rPr>
          <w:t xml:space="preserve">https://arxiv.org/pdf/2203.12187.pdf</w:t>
        </w:r>
      </w:hyperlink>
      <w:r>
        <w:rPr>
          <w:rFonts w:eastAsia="inter" w:cs="inter" w:ascii="inter" w:hAnsi="inter"/>
          <w:color w:val="000000"/>
          <w:sz w:val="18"/>
        </w:rPr>
        <w:t xml:space="preserve"> </w:t>
      </w:r>
    </w:p>
    <w:bookmarkStart w:id="241" w:name="fn104"/>
    <w:bookmarkEnd w:id="241"/>
    <w:p>
      <w:pPr>
        <w:numPr>
          <w:ilvl w:val="0"/>
          <w:numId w:val="30"/>
        </w:numPr>
        <w:spacing w:line="360" w:after="210" w:lineRule="auto"/>
      </w:pPr>
      <w:hyperlink r:id="rId135">
        <w:r>
          <w:rPr>
            <w:rFonts w:eastAsia="inter" w:cs="inter" w:ascii="inter" w:hAnsi="inter"/>
            <w:color w:val="#000"/>
            <w:sz w:val="18"/>
            <w:u w:val="single"/>
          </w:rPr>
          <w:t xml:space="preserve">https://www.pixelconsulting.io/post/gong-salesforce-integration</w:t>
        </w:r>
      </w:hyperlink>
      <w:r>
        <w:rPr>
          <w:rFonts w:eastAsia="inter" w:cs="inter" w:ascii="inter" w:hAnsi="inter"/>
          <w:color w:val="000000"/>
          <w:sz w:val="18"/>
        </w:rPr>
        <w:t xml:space="preserve"> </w:t>
      </w:r>
    </w:p>
    <w:bookmarkStart w:id="242" w:name="fn105"/>
    <w:bookmarkEnd w:id="242"/>
    <w:p>
      <w:pPr>
        <w:numPr>
          <w:ilvl w:val="0"/>
          <w:numId w:val="30"/>
        </w:numPr>
        <w:spacing w:line="360" w:after="210" w:lineRule="auto"/>
      </w:pPr>
      <w:hyperlink r:id="rId136">
        <w:r>
          <w:rPr>
            <w:rFonts w:eastAsia="inter" w:cs="inter" w:ascii="inter" w:hAnsi="inter"/>
            <w:color w:val="#000"/>
            <w:sz w:val="18"/>
            <w:u w:val="single"/>
          </w:rPr>
          <w:t xml:space="preserve">https://www.claap.io/blog/gong-vs-chorus-which-is-better-and-why</w:t>
        </w:r>
      </w:hyperlink>
      <w:r>
        <w:rPr>
          <w:rFonts w:eastAsia="inter" w:cs="inter" w:ascii="inter" w:hAnsi="inter"/>
          <w:color w:val="000000"/>
          <w:sz w:val="18"/>
        </w:rPr>
        <w:t xml:space="preserve"> </w:t>
      </w:r>
    </w:p>
    <w:bookmarkStart w:id="243" w:name="fn106"/>
    <w:bookmarkEnd w:id="243"/>
    <w:p>
      <w:pPr>
        <w:numPr>
          <w:ilvl w:val="0"/>
          <w:numId w:val="30"/>
        </w:numPr>
        <w:spacing w:line="360" w:after="210" w:lineRule="auto"/>
      </w:pPr>
      <w:hyperlink r:id="rId137">
        <w:r>
          <w:rPr>
            <w:rFonts w:eastAsia="inter" w:cs="inter" w:ascii="inter" w:hAnsi="inter"/>
            <w:color w:val="#000"/>
            <w:sz w:val="18"/>
            <w:u w:val="single"/>
          </w:rPr>
          <w:t xml:space="preserve">https://www.momentum.io/blog/gong-io-alternatives-conversation-intelligence-revenue-orchestration</w:t>
        </w:r>
      </w:hyperlink>
      <w:r>
        <w:rPr>
          <w:rFonts w:eastAsia="inter" w:cs="inter" w:ascii="inter" w:hAnsi="inter"/>
          <w:color w:val="000000"/>
          <w:sz w:val="18"/>
        </w:rPr>
        <w:t xml:space="preserve"> </w:t>
      </w:r>
    </w:p>
    <w:bookmarkStart w:id="244" w:name="fn107"/>
    <w:bookmarkEnd w:id="244"/>
    <w:p>
      <w:pPr>
        <w:numPr>
          <w:ilvl w:val="0"/>
          <w:numId w:val="30"/>
        </w:numPr>
        <w:spacing w:line="360" w:after="210" w:lineRule="auto"/>
      </w:pPr>
      <w:hyperlink r:id="rId138">
        <w:r>
          <w:rPr>
            <w:rFonts w:eastAsia="inter" w:cs="inter" w:ascii="inter" w:hAnsi="inter"/>
            <w:color w:val="#000"/>
            <w:sz w:val="18"/>
            <w:u w:val="single"/>
          </w:rPr>
          <w:t xml:space="preserve">https://www.oliv.ai/blog/gong-salesforce-integrations</w:t>
        </w:r>
      </w:hyperlink>
      <w:r>
        <w:rPr>
          <w:rFonts w:eastAsia="inter" w:cs="inter" w:ascii="inter" w:hAnsi="inter"/>
          <w:color w:val="000000"/>
          <w:sz w:val="18"/>
        </w:rPr>
        <w:t xml:space="preserve"> </w:t>
      </w:r>
    </w:p>
    <w:bookmarkStart w:id="245" w:name="fn108"/>
    <w:bookmarkEnd w:id="245"/>
    <w:p>
      <w:pPr>
        <w:numPr>
          <w:ilvl w:val="0"/>
          <w:numId w:val="30"/>
        </w:numPr>
        <w:spacing w:line="360" w:after="210" w:lineRule="auto"/>
      </w:pPr>
      <w:hyperlink r:id="rId139">
        <w:r>
          <w:rPr>
            <w:rFonts w:eastAsia="inter" w:cs="inter" w:ascii="inter" w:hAnsi="inter"/>
            <w:color w:val="#000"/>
            <w:sz w:val="18"/>
            <w:u w:val="single"/>
          </w:rPr>
          <w:t xml:space="preserve">https://www.revenue.io/blog/best-gong-alternatives-and-competitors-in-2025</w:t>
        </w:r>
      </w:hyperlink>
      <w:r>
        <w:rPr>
          <w:rFonts w:eastAsia="inter" w:cs="inter" w:ascii="inter" w:hAnsi="inter"/>
          <w:color w:val="000000"/>
          <w:sz w:val="18"/>
        </w:rPr>
        <w:t xml:space="preserve"> </w:t>
      </w:r>
    </w:p>
    <w:bookmarkStart w:id="246" w:name="fn109"/>
    <w:bookmarkEnd w:id="246"/>
    <w:p>
      <w:pPr>
        <w:numPr>
          <w:ilvl w:val="0"/>
          <w:numId w:val="30"/>
        </w:numPr>
        <w:spacing w:line="360" w:after="210" w:lineRule="auto"/>
      </w:pPr>
      <w:hyperlink r:id="rId140">
        <w:r>
          <w:rPr>
            <w:rFonts w:eastAsia="inter" w:cs="inter" w:ascii="inter" w:hAnsi="inter"/>
            <w:color w:val="#000"/>
            <w:sz w:val="18"/>
            <w:u w:val="single"/>
          </w:rPr>
          <w:t xml:space="preserve">https://www.claap.io/blog/gong-alternatives</w:t>
        </w:r>
      </w:hyperlink>
      <w:r>
        <w:rPr>
          <w:rFonts w:eastAsia="inter" w:cs="inter" w:ascii="inter" w:hAnsi="inter"/>
          <w:color w:val="000000"/>
          <w:sz w:val="18"/>
        </w:rPr>
        <w:t xml:space="preserve"> </w:t>
      </w:r>
    </w:p>
    <w:bookmarkStart w:id="247" w:name="fn110"/>
    <w:bookmarkEnd w:id="247"/>
    <w:p>
      <w:pPr>
        <w:numPr>
          <w:ilvl w:val="0"/>
          <w:numId w:val="30"/>
        </w:numPr>
        <w:spacing w:line="360" w:after="210" w:lineRule="auto"/>
      </w:pPr>
      <w:hyperlink r:id="rId141">
        <w:r>
          <w:rPr>
            <w:rFonts w:eastAsia="inter" w:cs="inter" w:ascii="inter" w:hAnsi="inter"/>
            <w:color w:val="#000"/>
            <w:sz w:val="18"/>
            <w:u w:val="single"/>
          </w:rPr>
          <w:t xml:space="preserve">https://help.gong.io/docs/connect-gong-to-salesforce</w:t>
        </w:r>
      </w:hyperlink>
      <w:r>
        <w:rPr>
          <w:rFonts w:eastAsia="inter" w:cs="inter" w:ascii="inter" w:hAnsi="inter"/>
          <w:color w:val="000000"/>
          <w:sz w:val="18"/>
        </w:rPr>
        <w:t xml:space="preserve"> </w:t>
      </w:r>
    </w:p>
    <w:bookmarkStart w:id="248" w:name="fn111"/>
    <w:bookmarkEnd w:id="248"/>
    <w:p>
      <w:pPr>
        <w:numPr>
          <w:ilvl w:val="0"/>
          <w:numId w:val="30"/>
        </w:numPr>
        <w:spacing w:line="360" w:after="210" w:lineRule="auto"/>
      </w:pPr>
      <w:hyperlink r:id="rId142">
        <w:r>
          <w:rPr>
            <w:rFonts w:eastAsia="inter" w:cs="inter" w:ascii="inter" w:hAnsi="inter"/>
            <w:color w:val="#000"/>
            <w:sz w:val="18"/>
            <w:u w:val="single"/>
          </w:rPr>
          <w:t xml:space="preserve">https://www.cirrusinsight.com/gong-alternatives</w:t>
        </w:r>
      </w:hyperlink>
      <w:r>
        <w:rPr>
          <w:rFonts w:eastAsia="inter" w:cs="inter" w:ascii="inter" w:hAnsi="inter"/>
          <w:color w:val="000000"/>
          <w:sz w:val="18"/>
        </w:rPr>
        <w:t xml:space="preserve"> </w:t>
      </w:r>
    </w:p>
    <w:bookmarkStart w:id="249" w:name="fn112"/>
    <w:bookmarkEnd w:id="249"/>
    <w:p>
      <w:pPr>
        <w:numPr>
          <w:ilvl w:val="0"/>
          <w:numId w:val="30"/>
        </w:numPr>
        <w:spacing w:line="360" w:after="210" w:lineRule="auto"/>
      </w:pPr>
      <w:hyperlink r:id="rId143">
        <w:r>
          <w:rPr>
            <w:rFonts w:eastAsia="inter" w:cs="inter" w:ascii="inter" w:hAnsi="inter"/>
            <w:color w:val="#000"/>
            <w:sz w:val="18"/>
            <w:u w:val="single"/>
          </w:rPr>
          <w:t xml:space="preserve">https://www.semanticscholar.org/paper/40de1ff1c16de4cd4db131fe03a89f0c1bed5b46</w:t>
        </w:r>
      </w:hyperlink>
      <w:r>
        <w:rPr>
          <w:rFonts w:eastAsia="inter" w:cs="inter" w:ascii="inter" w:hAnsi="inter"/>
          <w:color w:val="000000"/>
          <w:sz w:val="18"/>
        </w:rPr>
        <w:t xml:space="preserve"> </w:t>
      </w:r>
    </w:p>
    <w:bookmarkStart w:id="250" w:name="fn113"/>
    <w:bookmarkEnd w:id="250"/>
    <w:p>
      <w:pPr>
        <w:numPr>
          <w:ilvl w:val="0"/>
          <w:numId w:val="30"/>
        </w:numPr>
        <w:spacing w:line="360" w:after="210" w:lineRule="auto"/>
      </w:pPr>
      <w:hyperlink r:id="rId144">
        <w:r>
          <w:rPr>
            <w:rFonts w:eastAsia="inter" w:cs="inter" w:ascii="inter" w:hAnsi="inter"/>
            <w:color w:val="#000"/>
            <w:sz w:val="18"/>
            <w:u w:val="single"/>
          </w:rPr>
          <w:t xml:space="preserve">https://www.mdpi.com/2673-4001/6/4/79</w:t>
        </w:r>
      </w:hyperlink>
      <w:r>
        <w:rPr>
          <w:rFonts w:eastAsia="inter" w:cs="inter" w:ascii="inter" w:hAnsi="inter"/>
          <w:color w:val="000000"/>
          <w:sz w:val="18"/>
        </w:rPr>
        <w:t xml:space="preserve"> </w:t>
      </w:r>
    </w:p>
    <w:bookmarkStart w:id="251" w:name="fn114"/>
    <w:bookmarkEnd w:id="251"/>
    <w:p>
      <w:pPr>
        <w:numPr>
          <w:ilvl w:val="0"/>
          <w:numId w:val="30"/>
        </w:numPr>
        <w:spacing w:line="360" w:after="210" w:lineRule="auto"/>
      </w:pPr>
      <w:hyperlink r:id="rId145">
        <w:r>
          <w:rPr>
            <w:rFonts w:eastAsia="inter" w:cs="inter" w:ascii="inter" w:hAnsi="inter"/>
            <w:color w:val="#000"/>
            <w:sz w:val="18"/>
            <w:u w:val="single"/>
          </w:rPr>
          <w:t xml:space="preserve">https://ebooks.iospress.nl/doi/10.3233/SHTI250050</w:t>
        </w:r>
      </w:hyperlink>
      <w:r>
        <w:rPr>
          <w:rFonts w:eastAsia="inter" w:cs="inter" w:ascii="inter" w:hAnsi="inter"/>
          <w:color w:val="000000"/>
          <w:sz w:val="18"/>
        </w:rPr>
        <w:t xml:space="preserve"> </w:t>
      </w:r>
    </w:p>
    <w:bookmarkStart w:id="252" w:name="fn115"/>
    <w:bookmarkEnd w:id="252"/>
    <w:p>
      <w:pPr>
        <w:numPr>
          <w:ilvl w:val="0"/>
          <w:numId w:val="30"/>
        </w:numPr>
        <w:spacing w:line="360" w:after="210" w:lineRule="auto"/>
      </w:pPr>
      <w:hyperlink r:id="rId146">
        <w:r>
          <w:rPr>
            <w:rFonts w:eastAsia="inter" w:cs="inter" w:ascii="inter" w:hAnsi="inter"/>
            <w:color w:val="#000"/>
            <w:sz w:val="18"/>
            <w:u w:val="single"/>
          </w:rPr>
          <w:t xml:space="preserve">https://ieeexplore.ieee.org/document/11049196/</w:t>
        </w:r>
      </w:hyperlink>
      <w:r>
        <w:rPr>
          <w:rFonts w:eastAsia="inter" w:cs="inter" w:ascii="inter" w:hAnsi="inter"/>
          <w:color w:val="000000"/>
          <w:sz w:val="18"/>
        </w:rPr>
        <w:t xml:space="preserve"> </w:t>
      </w:r>
    </w:p>
    <w:bookmarkStart w:id="253" w:name="fn116"/>
    <w:bookmarkEnd w:id="253"/>
    <w:p>
      <w:pPr>
        <w:numPr>
          <w:ilvl w:val="0"/>
          <w:numId w:val="30"/>
        </w:numPr>
        <w:spacing w:line="360" w:after="210" w:lineRule="auto"/>
      </w:pPr>
      <w:hyperlink r:id="rId147">
        <w:r>
          <w:rPr>
            <w:rFonts w:eastAsia="inter" w:cs="inter" w:ascii="inter" w:hAnsi="inter"/>
            <w:color w:val="#000"/>
            <w:sz w:val="18"/>
            <w:u w:val="single"/>
          </w:rPr>
          <w:t xml:space="preserve">https://hstalks.com/doi/10.69554/ULBO5448/</w:t>
        </w:r>
      </w:hyperlink>
      <w:r>
        <w:rPr>
          <w:rFonts w:eastAsia="inter" w:cs="inter" w:ascii="inter" w:hAnsi="inter"/>
          <w:color w:val="000000"/>
          <w:sz w:val="18"/>
        </w:rPr>
        <w:t xml:space="preserve"> </w:t>
      </w:r>
    </w:p>
    <w:bookmarkStart w:id="254" w:name="fn117"/>
    <w:bookmarkEnd w:id="254"/>
    <w:p>
      <w:pPr>
        <w:numPr>
          <w:ilvl w:val="0"/>
          <w:numId w:val="30"/>
        </w:numPr>
        <w:spacing w:line="360" w:after="210" w:lineRule="auto"/>
      </w:pPr>
      <w:hyperlink r:id="rId148">
        <w:r>
          <w:rPr>
            <w:rFonts w:eastAsia="inter" w:cs="inter" w:ascii="inter" w:hAnsi="inter"/>
            <w:color w:val="#000"/>
            <w:sz w:val="18"/>
            <w:u w:val="single"/>
          </w:rPr>
          <w:t xml:space="preserve">https://apjmi.org/index.php/apjmi/article/view/30</w:t>
        </w:r>
      </w:hyperlink>
      <w:r>
        <w:rPr>
          <w:rFonts w:eastAsia="inter" w:cs="inter" w:ascii="inter" w:hAnsi="inter"/>
          <w:color w:val="000000"/>
          <w:sz w:val="18"/>
        </w:rPr>
        <w:t xml:space="preserve"> </w:t>
      </w:r>
    </w:p>
    <w:bookmarkStart w:id="255" w:name="fn118"/>
    <w:bookmarkEnd w:id="255"/>
    <w:p>
      <w:pPr>
        <w:numPr>
          <w:ilvl w:val="0"/>
          <w:numId w:val="30"/>
        </w:numPr>
        <w:spacing w:line="360" w:after="210" w:lineRule="auto"/>
      </w:pPr>
      <w:hyperlink r:id="rId149">
        <w:r>
          <w:rPr>
            <w:rFonts w:eastAsia="inter" w:cs="inter" w:ascii="inter" w:hAnsi="inter"/>
            <w:color w:val="#000"/>
            <w:sz w:val="18"/>
            <w:u w:val="single"/>
          </w:rPr>
          <w:t xml:space="preserve">https://www.mdpi.com/2079-9292/14/7/1385</w:t>
        </w:r>
      </w:hyperlink>
      <w:r>
        <w:rPr>
          <w:rFonts w:eastAsia="inter" w:cs="inter" w:ascii="inter" w:hAnsi="inter"/>
          <w:color w:val="000000"/>
          <w:sz w:val="18"/>
        </w:rPr>
        <w:t xml:space="preserve"> </w:t>
      </w:r>
    </w:p>
    <w:bookmarkStart w:id="256" w:name="fn119"/>
    <w:bookmarkEnd w:id="256"/>
    <w:p>
      <w:pPr>
        <w:numPr>
          <w:ilvl w:val="0"/>
          <w:numId w:val="30"/>
        </w:numPr>
        <w:spacing w:line="360" w:after="210" w:lineRule="auto"/>
      </w:pPr>
      <w:hyperlink r:id="rId150">
        <w:r>
          <w:rPr>
            <w:rFonts w:eastAsia="inter" w:cs="inter" w:ascii="inter" w:hAnsi="inter"/>
            <w:color w:val="#000"/>
            <w:sz w:val="18"/>
            <w:u w:val="single"/>
          </w:rPr>
          <w:t xml:space="preserve">https://academia.edu.pk/index.php/Journals/article/view/467</w:t>
        </w:r>
      </w:hyperlink>
      <w:r>
        <w:rPr>
          <w:rFonts w:eastAsia="inter" w:cs="inter" w:ascii="inter" w:hAnsi="inter"/>
          <w:color w:val="000000"/>
          <w:sz w:val="18"/>
        </w:rPr>
        <w:t xml:space="preserve"> </w:t>
      </w:r>
    </w:p>
    <w:bookmarkStart w:id="257" w:name="fn120"/>
    <w:bookmarkEnd w:id="257"/>
    <w:p>
      <w:pPr>
        <w:numPr>
          <w:ilvl w:val="0"/>
          <w:numId w:val="30"/>
        </w:numPr>
        <w:spacing w:line="360" w:after="210" w:lineRule="auto"/>
      </w:pPr>
      <w:hyperlink r:id="rId151">
        <w:r>
          <w:rPr>
            <w:rFonts w:eastAsia="inter" w:cs="inter" w:ascii="inter" w:hAnsi="inter"/>
            <w:color w:val="#000"/>
            <w:sz w:val="18"/>
            <w:u w:val="single"/>
          </w:rPr>
          <w:t xml:space="preserve">https://ijeaa.cultechpub.com/index.php/ijeaa/article/view/35</w:t>
        </w:r>
      </w:hyperlink>
      <w:r>
        <w:rPr>
          <w:rFonts w:eastAsia="inter" w:cs="inter" w:ascii="inter" w:hAnsi="inter"/>
          <w:color w:val="000000"/>
          <w:sz w:val="18"/>
        </w:rPr>
        <w:t xml:space="preserve"> </w:t>
      </w:r>
    </w:p>
    <w:bookmarkStart w:id="258" w:name="fn121"/>
    <w:bookmarkEnd w:id="258"/>
    <w:p>
      <w:pPr>
        <w:numPr>
          <w:ilvl w:val="0"/>
          <w:numId w:val="30"/>
        </w:numPr>
        <w:spacing w:line="360" w:after="210" w:lineRule="auto"/>
      </w:pPr>
      <w:hyperlink r:id="rId152">
        <w:r>
          <w:rPr>
            <w:rFonts w:eastAsia="inter" w:cs="inter" w:ascii="inter" w:hAnsi="inter"/>
            <w:color w:val="#000"/>
            <w:sz w:val="18"/>
            <w:u w:val="single"/>
          </w:rPr>
          <w:t xml:space="preserve">https://www.semanticscholar.org/paper/cd00f7f982c4af94a63d192d5b1e311bf8e61f83</w:t>
        </w:r>
      </w:hyperlink>
      <w:r>
        <w:rPr>
          <w:rFonts w:eastAsia="inter" w:cs="inter" w:ascii="inter" w:hAnsi="inter"/>
          <w:color w:val="000000"/>
          <w:sz w:val="18"/>
        </w:rPr>
        <w:t xml:space="preserve"> </w:t>
      </w:r>
    </w:p>
    <w:bookmarkStart w:id="259" w:name="fn122"/>
    <w:bookmarkEnd w:id="259"/>
    <w:p>
      <w:pPr>
        <w:numPr>
          <w:ilvl w:val="0"/>
          <w:numId w:val="30"/>
        </w:numPr>
        <w:spacing w:line="360" w:after="210" w:lineRule="auto"/>
      </w:pPr>
      <w:hyperlink r:id="rId153">
        <w:r>
          <w:rPr>
            <w:rFonts w:eastAsia="inter" w:cs="inter" w:ascii="inter" w:hAnsi="inter"/>
            <w:color w:val="#000"/>
            <w:sz w:val="18"/>
            <w:u w:val="single"/>
          </w:rPr>
          <w:t xml:space="preserve">https://arxiv.org/pdf/1809.05762.pdf</w:t>
        </w:r>
      </w:hyperlink>
      <w:r>
        <w:rPr>
          <w:rFonts w:eastAsia="inter" w:cs="inter" w:ascii="inter" w:hAnsi="inter"/>
          <w:color w:val="000000"/>
          <w:sz w:val="18"/>
        </w:rPr>
        <w:t xml:space="preserve"> </w:t>
      </w:r>
    </w:p>
    <w:bookmarkStart w:id="260" w:name="fn123"/>
    <w:bookmarkEnd w:id="260"/>
    <w:p>
      <w:pPr>
        <w:numPr>
          <w:ilvl w:val="0"/>
          <w:numId w:val="30"/>
        </w:numPr>
        <w:spacing w:line="360" w:after="210" w:lineRule="auto"/>
      </w:pPr>
      <w:hyperlink r:id="rId154">
        <w:r>
          <w:rPr>
            <w:rFonts w:eastAsia="inter" w:cs="inter" w:ascii="inter" w:hAnsi="inter"/>
            <w:color w:val="#000"/>
            <w:sz w:val="18"/>
            <w:u w:val="single"/>
          </w:rPr>
          <w:t xml:space="preserve">http://arxiv.org/pdf/2409.13721.pdf</w:t>
        </w:r>
      </w:hyperlink>
      <w:r>
        <w:rPr>
          <w:rFonts w:eastAsia="inter" w:cs="inter" w:ascii="inter" w:hAnsi="inter"/>
          <w:color w:val="000000"/>
          <w:sz w:val="18"/>
        </w:rPr>
        <w:t xml:space="preserve"> </w:t>
      </w:r>
    </w:p>
    <w:bookmarkStart w:id="261" w:name="fn124"/>
    <w:bookmarkEnd w:id="261"/>
    <w:p>
      <w:pPr>
        <w:numPr>
          <w:ilvl w:val="0"/>
          <w:numId w:val="30"/>
        </w:numPr>
        <w:spacing w:line="360" w:after="210" w:lineRule="auto"/>
      </w:pPr>
      <w:hyperlink r:id="rId155">
        <w:r>
          <w:rPr>
            <w:rFonts w:eastAsia="inter" w:cs="inter" w:ascii="inter" w:hAnsi="inter"/>
            <w:color w:val="#000"/>
            <w:sz w:val="18"/>
            <w:u w:val="single"/>
          </w:rPr>
          <w:t xml:space="preserve">https://arxiv.org/pdf/2106.05688.pdf</w:t>
        </w:r>
      </w:hyperlink>
      <w:r>
        <w:rPr>
          <w:rFonts w:eastAsia="inter" w:cs="inter" w:ascii="inter" w:hAnsi="inter"/>
          <w:color w:val="000000"/>
          <w:sz w:val="18"/>
        </w:rPr>
        <w:t xml:space="preserve"> </w:t>
      </w:r>
    </w:p>
    <w:bookmarkStart w:id="262" w:name="fn125"/>
    <w:bookmarkEnd w:id="262"/>
    <w:p>
      <w:pPr>
        <w:numPr>
          <w:ilvl w:val="0"/>
          <w:numId w:val="30"/>
        </w:numPr>
        <w:spacing w:line="360" w:after="210" w:lineRule="auto"/>
      </w:pPr>
      <w:hyperlink r:id="rId156">
        <w:r>
          <w:rPr>
            <w:rFonts w:eastAsia="inter" w:cs="inter" w:ascii="inter" w:hAnsi="inter"/>
            <w:color w:val="#000"/>
            <w:sz w:val="18"/>
            <w:u w:val="single"/>
          </w:rPr>
          <w:t xml:space="preserve">https://arxiv.org/pdf/2501.14756.pdf</w:t>
        </w:r>
      </w:hyperlink>
      <w:r>
        <w:rPr>
          <w:rFonts w:eastAsia="inter" w:cs="inter" w:ascii="inter" w:hAnsi="inter"/>
          <w:color w:val="000000"/>
          <w:sz w:val="18"/>
        </w:rPr>
        <w:t xml:space="preserve"> </w:t>
      </w:r>
    </w:p>
    <w:bookmarkStart w:id="263" w:name="fn126"/>
    <w:bookmarkEnd w:id="263"/>
    <w:p>
      <w:pPr>
        <w:numPr>
          <w:ilvl w:val="0"/>
          <w:numId w:val="30"/>
        </w:numPr>
        <w:spacing w:line="360" w:after="210" w:lineRule="auto"/>
      </w:pPr>
      <w:hyperlink r:id="rId157">
        <w:r>
          <w:rPr>
            <w:rFonts w:eastAsia="inter" w:cs="inter" w:ascii="inter" w:hAnsi="inter"/>
            <w:color w:val="#000"/>
            <w:sz w:val="18"/>
            <w:u w:val="single"/>
          </w:rPr>
          <w:t xml:space="preserve">https://arxiv.org/pdf/2403.07904.pdf</w:t>
        </w:r>
      </w:hyperlink>
      <w:r>
        <w:rPr>
          <w:rFonts w:eastAsia="inter" w:cs="inter" w:ascii="inter" w:hAnsi="inter"/>
          <w:color w:val="000000"/>
          <w:sz w:val="18"/>
        </w:rPr>
        <w:t xml:space="preserve"> </w:t>
      </w:r>
    </w:p>
    <w:bookmarkStart w:id="264" w:name="fn127"/>
    <w:bookmarkEnd w:id="264"/>
    <w:p>
      <w:pPr>
        <w:numPr>
          <w:ilvl w:val="0"/>
          <w:numId w:val="30"/>
        </w:numPr>
        <w:spacing w:line="360" w:after="210" w:lineRule="auto"/>
      </w:pPr>
      <w:hyperlink r:id="rId158">
        <w:r>
          <w:rPr>
            <w:rFonts w:eastAsia="inter" w:cs="inter" w:ascii="inter" w:hAnsi="inter"/>
            <w:color w:val="#000"/>
            <w:sz w:val="18"/>
            <w:u w:val="single"/>
          </w:rPr>
          <w:t xml:space="preserve">http://arxiv.org/pdf/2501.05325.pdf</w:t>
        </w:r>
      </w:hyperlink>
      <w:r>
        <w:rPr>
          <w:rFonts w:eastAsia="inter" w:cs="inter" w:ascii="inter" w:hAnsi="inter"/>
          <w:color w:val="000000"/>
          <w:sz w:val="18"/>
        </w:rPr>
        <w:t xml:space="preserve"> </w:t>
      </w:r>
    </w:p>
    <w:bookmarkStart w:id="265" w:name="fn128"/>
    <w:bookmarkEnd w:id="265"/>
    <w:p>
      <w:pPr>
        <w:numPr>
          <w:ilvl w:val="0"/>
          <w:numId w:val="30"/>
        </w:numPr>
        <w:spacing w:line="360" w:after="210" w:lineRule="auto"/>
      </w:pPr>
      <w:hyperlink r:id="rId159">
        <w:r>
          <w:rPr>
            <w:rFonts w:eastAsia="inter" w:cs="inter" w:ascii="inter" w:hAnsi="inter"/>
            <w:color w:val="#000"/>
            <w:sz w:val="18"/>
            <w:u w:val="single"/>
          </w:rPr>
          <w:t xml:space="preserve">https://arxiv.org/pdf/2503.10727.pdf</w:t>
        </w:r>
      </w:hyperlink>
      <w:r>
        <w:rPr>
          <w:rFonts w:eastAsia="inter" w:cs="inter" w:ascii="inter" w:hAnsi="inter"/>
          <w:color w:val="000000"/>
          <w:sz w:val="18"/>
        </w:rPr>
        <w:t xml:space="preserve"> </w:t>
      </w:r>
    </w:p>
    <w:bookmarkStart w:id="266" w:name="fn129"/>
    <w:bookmarkEnd w:id="266"/>
    <w:p>
      <w:pPr>
        <w:numPr>
          <w:ilvl w:val="0"/>
          <w:numId w:val="30"/>
        </w:numPr>
        <w:spacing w:line="360" w:after="210" w:lineRule="auto"/>
      </w:pPr>
      <w:hyperlink r:id="rId160">
        <w:r>
          <w:rPr>
            <w:rFonts w:eastAsia="inter" w:cs="inter" w:ascii="inter" w:hAnsi="inter"/>
            <w:color w:val="#000"/>
            <w:sz w:val="18"/>
            <w:u w:val="single"/>
          </w:rPr>
          <w:t xml:space="preserve">https://arxiv.org/pdf/2503.05571.pdf</w:t>
        </w:r>
      </w:hyperlink>
      <w:r>
        <w:rPr>
          <w:rFonts w:eastAsia="inter" w:cs="inter" w:ascii="inter" w:hAnsi="inter"/>
          <w:color w:val="000000"/>
          <w:sz w:val="18"/>
        </w:rPr>
        <w:t xml:space="preserve"> </w:t>
      </w:r>
    </w:p>
    <w:bookmarkStart w:id="267" w:name="fn130"/>
    <w:bookmarkEnd w:id="267"/>
    <w:p>
      <w:pPr>
        <w:numPr>
          <w:ilvl w:val="0"/>
          <w:numId w:val="30"/>
        </w:numPr>
        <w:spacing w:line="360" w:after="210" w:lineRule="auto"/>
      </w:pPr>
      <w:hyperlink r:id="rId161">
        <w:r>
          <w:rPr>
            <w:rFonts w:eastAsia="inter" w:cs="inter" w:ascii="inter" w:hAnsi="inter"/>
            <w:color w:val="#000"/>
            <w:sz w:val="18"/>
            <w:u w:val="single"/>
          </w:rPr>
          <w:t xml:space="preserve">https://www.oliv.ai/blog/gong-dpa-security</w:t>
        </w:r>
      </w:hyperlink>
      <w:r>
        <w:rPr>
          <w:rFonts w:eastAsia="inter" w:cs="inter" w:ascii="inter" w:hAnsi="inter"/>
          <w:color w:val="000000"/>
          <w:sz w:val="18"/>
        </w:rPr>
        <w:t xml:space="preserve"> </w:t>
      </w:r>
    </w:p>
    <w:bookmarkStart w:id="268" w:name="fn131"/>
    <w:bookmarkEnd w:id="268"/>
    <w:p>
      <w:pPr>
        <w:numPr>
          <w:ilvl w:val="0"/>
          <w:numId w:val="30"/>
        </w:numPr>
        <w:spacing w:line="360" w:after="210" w:lineRule="auto"/>
      </w:pPr>
      <w:hyperlink r:id="rId162">
        <w:r>
          <w:rPr>
            <w:rFonts w:eastAsia="inter" w:cs="inter" w:ascii="inter" w:hAnsi="inter"/>
            <w:color w:val="#000"/>
            <w:sz w:val="18"/>
            <w:u w:val="single"/>
          </w:rPr>
          <w:t xml:space="preserve">https://www.prnewswire.com/news-releases/revenue-ai-leader-gong-extends-its-market-leadership-surpasses-300m-arr-amid-increased-demand-for-ai-powered-revenue-solutions-302392579.html</w:t>
        </w:r>
      </w:hyperlink>
      <w:r>
        <w:rPr>
          <w:rFonts w:eastAsia="inter" w:cs="inter" w:ascii="inter" w:hAnsi="inter"/>
          <w:color w:val="000000"/>
          <w:sz w:val="18"/>
        </w:rPr>
        <w:t xml:space="preserve"> </w:t>
      </w:r>
    </w:p>
    <w:bookmarkStart w:id="269" w:name="fn132"/>
    <w:bookmarkEnd w:id="269"/>
    <w:p>
      <w:pPr>
        <w:numPr>
          <w:ilvl w:val="0"/>
          <w:numId w:val="30"/>
        </w:numPr>
        <w:spacing w:line="360" w:after="210" w:lineRule="auto"/>
      </w:pPr>
      <w:hyperlink r:id="rId163">
        <w:r>
          <w:rPr>
            <w:rFonts w:eastAsia="inter" w:cs="inter" w:ascii="inter" w:hAnsi="inter"/>
            <w:color w:val="#000"/>
            <w:sz w:val="18"/>
            <w:u w:val="single"/>
          </w:rPr>
          <w:t xml:space="preserve">https://uidesignz.com/blogs/mobile-apps-design-innovations</w:t>
        </w:r>
      </w:hyperlink>
      <w:r>
        <w:rPr>
          <w:rFonts w:eastAsia="inter" w:cs="inter" w:ascii="inter" w:hAnsi="inter"/>
          <w:color w:val="000000"/>
          <w:sz w:val="18"/>
        </w:rPr>
        <w:t xml:space="preserve"> </w:t>
      </w:r>
    </w:p>
    <w:bookmarkStart w:id="270" w:name="fn133"/>
    <w:bookmarkEnd w:id="270"/>
    <w:p>
      <w:pPr>
        <w:numPr>
          <w:ilvl w:val="0"/>
          <w:numId w:val="30"/>
        </w:numPr>
        <w:spacing w:line="360" w:after="210" w:lineRule="auto"/>
      </w:pPr>
      <w:hyperlink r:id="rId164">
        <w:r>
          <w:rPr>
            <w:rFonts w:eastAsia="inter" w:cs="inter" w:ascii="inter" w:hAnsi="inter"/>
            <w:color w:val="#000"/>
            <w:sz w:val="18"/>
            <w:u w:val="single"/>
          </w:rPr>
          <w:t xml:space="preserve">https://data-privacy-office.eu/fines-for-gdpr-violations-in-ai-systems-and-how-to-avoid-them/</w:t>
        </w:r>
      </w:hyperlink>
      <w:r>
        <w:rPr>
          <w:rFonts w:eastAsia="inter" w:cs="inter" w:ascii="inter" w:hAnsi="inter"/>
          <w:color w:val="000000"/>
          <w:sz w:val="18"/>
        </w:rPr>
        <w:t xml:space="preserve"> </w:t>
      </w:r>
    </w:p>
    <w:bookmarkStart w:id="271" w:name="fn134"/>
    <w:bookmarkEnd w:id="271"/>
    <w:p>
      <w:pPr>
        <w:numPr>
          <w:ilvl w:val="0"/>
          <w:numId w:val="30"/>
        </w:numPr>
        <w:spacing w:line="360" w:after="210" w:lineRule="auto"/>
      </w:pPr>
      <w:hyperlink r:id="rId165">
        <w:r>
          <w:rPr>
            <w:rFonts w:eastAsia="inter" w:cs="inter" w:ascii="inter" w:hAnsi="inter"/>
            <w:color w:val="#000"/>
            <w:sz w:val="18"/>
            <w:u w:val="single"/>
          </w:rPr>
          <w:t xml:space="preserve">https://www.gong.io/customer-success-software</w:t>
        </w:r>
      </w:hyperlink>
      <w:r>
        <w:rPr>
          <w:rFonts w:eastAsia="inter" w:cs="inter" w:ascii="inter" w:hAnsi="inter"/>
          <w:color w:val="000000"/>
          <w:sz w:val="18"/>
        </w:rPr>
        <w:t xml:space="preserve"> </w:t>
      </w:r>
    </w:p>
    <w:bookmarkStart w:id="272" w:name="fn135"/>
    <w:bookmarkEnd w:id="272"/>
    <w:p>
      <w:pPr>
        <w:numPr>
          <w:ilvl w:val="0"/>
          <w:numId w:val="30"/>
        </w:numPr>
        <w:spacing w:line="360" w:after="210" w:lineRule="auto"/>
      </w:pPr>
      <w:hyperlink r:id="rId166">
        <w:r>
          <w:rPr>
            <w:rFonts w:eastAsia="inter" w:cs="inter" w:ascii="inter" w:hAnsi="inter"/>
            <w:color w:val="#000"/>
            <w:sz w:val="18"/>
            <w:u w:val="single"/>
          </w:rPr>
          <w:t xml:space="preserve">https://saigontechnology.com/blog/app-design/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abstractNum>
  <w:abstractNum w:abstractNumId="3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e4cf0007a54d25c9d55d6609a35672eb758f3f5.png" TargetMode="Internal"/><Relationship Id="rId6" Type="http://schemas.openxmlformats.org/officeDocument/2006/relationships/hyperlink" Target="http://Gong.io" TargetMode="External"/><Relationship Id="rId7" Type="http://schemas.openxmlformats.org/officeDocument/2006/relationships/hyperlink" Target="http://Gong.io" TargetMode="External"/><Relationship Id="rId8" Type="http://schemas.openxmlformats.org/officeDocument/2006/relationships/hyperlink" Target="http://Gong.io" TargetMode="External"/><Relationship Id="rId9" Type="http://schemas.openxmlformats.org/officeDocument/2006/relationships/hyperlink" Target="http://Gong.io" TargetMode="External"/><Relationship Id="rId10" Type="http://schemas.openxmlformats.org/officeDocument/2006/relationships/hyperlink" Target="http://Gong.io" TargetMode="External"/><Relationship Id="rId11" Type="http://schemas.openxmlformats.org/officeDocument/2006/relationships/hyperlink" Target="http://Chorus.ai" TargetMode="External"/><Relationship Id="rId12" Type="http://schemas.openxmlformats.org/officeDocument/2006/relationships/hyperlink" Target="http://Gong.io" TargetMode="External"/><Relationship Id="rId13" Type="http://schemas.openxmlformats.org/officeDocument/2006/relationships/hyperlink" Target="http://GONG.IO" TargetMode="External"/><Relationship Id="rId14" Type="http://schemas.openxmlformats.org/officeDocument/2006/relationships/hyperlink" Target="http://Oliv.ai" TargetMode="External"/><Relationship Id="rId15" Type="http://schemas.openxmlformats.org/officeDocument/2006/relationships/hyperlink" Target="http://Revenue.io" TargetMode="External"/><Relationship Id="rId16" Type="http://schemas.openxmlformats.org/officeDocument/2006/relationships/hyperlink" Target="http://Fireflies.ai" TargetMode="External"/><Relationship Id="rId17" Type="http://schemas.openxmlformats.org/officeDocument/2006/relationships/hyperlink" Target="http://Oliv.ai" TargetMode="External"/><Relationship Id="rId18" Type="http://schemas.openxmlformats.org/officeDocument/2006/relationships/hyperlink" Target="http://Fireflies.ai" TargetMode="External"/><Relationship Id="rId19" Type="http://schemas.openxmlformats.org/officeDocument/2006/relationships/hyperlink" Target="http://Fireflies.ai" TargetMode="External"/><Relationship Id="rId20" Type="http://schemas.openxmlformats.org/officeDocument/2006/relationships/hyperlink" Target="http://Revenue.io" TargetMode="External"/><Relationship Id="rId21" Type="http://schemas.openxmlformats.org/officeDocument/2006/relationships/hyperlink" Target="http://Oliv.ai" TargetMode="External"/><Relationship Id="rId22" Type="http://schemas.openxmlformats.org/officeDocument/2006/relationships/hyperlink" Target="http://Oliv.ai" TargetMode="External"/><Relationship Id="rId23" Type="http://schemas.openxmlformats.org/officeDocument/2006/relationships/hyperlink" Target="http://Oliv.ai" TargetMode="External"/><Relationship Id="rId24" Type="http://schemas.openxmlformats.org/officeDocument/2006/relationships/hyperlink" Target="http://Oliv.ai" TargetMode="External"/><Relationship Id="rId25" Type="http://schemas.openxmlformats.org/officeDocument/2006/relationships/hyperlink" Target="http://Oliv.ai" TargetMode="External"/><Relationship Id="rId26" Type="http://schemas.openxmlformats.org/officeDocument/2006/relationships/hyperlink" Target="http://Revenue.io" TargetMode="External"/><Relationship Id="rId27" Type="http://schemas.openxmlformats.org/officeDocument/2006/relationships/hyperlink" Target="http://Claap.io" TargetMode="External"/><Relationship Id="rId28" Type="http://schemas.openxmlformats.org/officeDocument/2006/relationships/hyperlink" Target="http://Momentum.io" TargetMode="External"/><Relationship Id="rId29" Type="http://schemas.openxmlformats.org/officeDocument/2006/relationships/hyperlink" Target="http://Oliv.ai" TargetMode="External"/><Relationship Id="rId30" Type="http://schemas.openxmlformats.org/officeDocument/2006/relationships/hyperlink" Target="http://Claap.io" TargetMode="External"/><Relationship Id="rId31" Type="http://schemas.openxmlformats.org/officeDocument/2006/relationships/image" Target="media/image-not-found.png" TargetMode="Internal"/><Relationship Id="rId32" Type="http://schemas.openxmlformats.org/officeDocument/2006/relationships/hyperlink" Target="https://aacrjournals.org/cancerres/article/86/1_Supplement/A001/771374/Abstract-A001-Loss-of-MLL1-s-H3K4" TargetMode="External"/><Relationship Id="rId33" Type="http://schemas.openxmlformats.org/officeDocument/2006/relationships/hyperlink" Target="https://ieeexplore.ieee.org/document/11236843/" TargetMode="External"/><Relationship Id="rId34" Type="http://schemas.openxmlformats.org/officeDocument/2006/relationships/hyperlink" Target="https://www.enterprisetimes.co.uk/2025/03/07/gong-breaks-through-300-million-arr/" TargetMode="External"/><Relationship Id="rId35" Type="http://schemas.openxmlformats.org/officeDocument/2006/relationships/hyperlink" Target="https://www.calcalistech.com/ctechnews/article/r1sdmq00ebx" TargetMode="External"/><Relationship Id="rId36" Type="http://schemas.openxmlformats.org/officeDocument/2006/relationships/hyperlink" Target="https://link.springer.com/10.1007/s11027-025-10279-w" TargetMode="External"/><Relationship Id="rId37" Type="http://schemas.openxmlformats.org/officeDocument/2006/relationships/hyperlink" Target="https://ieeexplore.ieee.org/document/10873475/" TargetMode="External"/><Relationship Id="rId38" Type="http://schemas.openxmlformats.org/officeDocument/2006/relationships/hyperlink" Target="https://ujae.org.ua/en/industry-related-features-and-priority-directions-of-management-of-the-development-of-the-competitiveness-of-agricultural-enterprises-of-ukraine-in-the-conditions-of-global-transformations-and-martial/" TargetMode="External"/><Relationship Id="rId39" Type="http://schemas.openxmlformats.org/officeDocument/2006/relationships/hyperlink" Target="https://afenet-journal.org/using-machine-learning-and-explainable-ai-to-predict-lifestyle-driven-hypertension-risk-in-ugandas-who-steps-2023-survey/" TargetMode="External"/><Relationship Id="rId40" Type="http://schemas.openxmlformats.org/officeDocument/2006/relationships/hyperlink" Target="https://link.springer.com/10.1007/s41365-025-01833-x" TargetMode="External"/><Relationship Id="rId41" Type="http://schemas.openxmlformats.org/officeDocument/2006/relationships/hyperlink" Target="https://tsaco.bmj.com/lookup/doi/10.1136/tsaco-2025-002059" TargetMode="External"/><Relationship Id="rId42" Type="http://schemas.openxmlformats.org/officeDocument/2006/relationships/hyperlink" Target="https://neonatology.bsmu.edu.ua/article/view/347640" TargetMode="External"/><Relationship Id="rId43" Type="http://schemas.openxmlformats.org/officeDocument/2006/relationships/hyperlink" Target="https://arxiv.org/pdf/2311.06430.pdf" TargetMode="External"/><Relationship Id="rId44" Type="http://schemas.openxmlformats.org/officeDocument/2006/relationships/hyperlink" Target="https://www.ijfmr.com/papers/2024/1/12046.pdf" TargetMode="External"/><Relationship Id="rId45" Type="http://schemas.openxmlformats.org/officeDocument/2006/relationships/hyperlink" Target="https://techrxiv.figshare.com/articles/preprint/Diffusion-based_Reinforcement_Learning_for_Edge-enabled_AI-Generated_Content_Services/24648723/1/files/43317999.pdf" TargetMode="External"/><Relationship Id="rId46" Type="http://schemas.openxmlformats.org/officeDocument/2006/relationships/hyperlink" Target="https://www.mdpi.com/2409-9287/5/4/37/pdf" TargetMode="External"/><Relationship Id="rId47" Type="http://schemas.openxmlformats.org/officeDocument/2006/relationships/hyperlink" Target="https://arxiv.org/pdf/2502.10397.pdf" TargetMode="External"/><Relationship Id="rId48" Type="http://schemas.openxmlformats.org/officeDocument/2006/relationships/hyperlink" Target="https://arxiv.org/pdf/1511.06410.pdf" TargetMode="External"/><Relationship Id="rId49" Type="http://schemas.openxmlformats.org/officeDocument/2006/relationships/hyperlink" Target="http://arxiv.org/pdf/2410.19855.pdf" TargetMode="External"/><Relationship Id="rId50" Type="http://schemas.openxmlformats.org/officeDocument/2006/relationships/hyperlink" Target="https://arxiv.org/pdf/2304.06632.pdf" TargetMode="External"/><Relationship Id="rId51" Type="http://schemas.openxmlformats.org/officeDocument/2006/relationships/hyperlink" Target="https://www.gong.io/resources/guides/state-of-revenue-ai-2026-report" TargetMode="External"/><Relationship Id="rId52" Type="http://schemas.openxmlformats.org/officeDocument/2006/relationships/hyperlink" Target="https://www.gong.io/files/gong-labs-state-of-revenue-ai-2026.pdf" TargetMode="External"/><Relationship Id="rId53" Type="http://schemas.openxmlformats.org/officeDocument/2006/relationships/hyperlink" Target="https://www.gong.io/resources/guides/what-is-revenue-intelligence" TargetMode="External"/><Relationship Id="rId54" Type="http://schemas.openxmlformats.org/officeDocument/2006/relationships/hyperlink" Target="https://www.gong.io/blog/the-best-sales-insights-of-2025" TargetMode="External"/><Relationship Id="rId55" Type="http://schemas.openxmlformats.org/officeDocument/2006/relationships/hyperlink" Target="https://www.gong.io/press/gong-unveils-new-ai-innovations-to-help-revenue-teams-drive-growth-at-scale" TargetMode="External"/><Relationship Id="rId56" Type="http://schemas.openxmlformats.org/officeDocument/2006/relationships/hyperlink" Target="https://www.gong.io/press/gong-unveils-new-ai-capabilities-to-help-revenue-teams-drive-excellence-in-execution" TargetMode="External"/><Relationship Id="rId57" Type="http://schemas.openxmlformats.org/officeDocument/2006/relationships/hyperlink" Target="https://www.gong.io/press/gong-introduces-proprietary-generative-ai-models-built-for-revenue-teams" TargetMode="External"/><Relationship Id="rId58" Type="http://schemas.openxmlformats.org/officeDocument/2006/relationships/hyperlink" Target="https://www.relay.app/apps/gong/integrations/openai" TargetMode="External"/><Relationship Id="rId59" Type="http://schemas.openxmlformats.org/officeDocument/2006/relationships/hyperlink" Target="https://www.gong.io" TargetMode="External"/><Relationship Id="rId60" Type="http://schemas.openxmlformats.org/officeDocument/2006/relationships/hyperlink" Target="https://www.gong.io/blog/new-product-announcements-gong-revenue-ai-operating-system" TargetMode="External"/><Relationship Id="rId61" Type="http://schemas.openxmlformats.org/officeDocument/2006/relationships/hyperlink" Target="https://www.prnewswire.com/news-releases/gong-introduces-proprietary-generative-ai-models-built-for-revenue-teams-301846084.html" TargetMode="External"/><Relationship Id="rId62" Type="http://schemas.openxmlformats.org/officeDocument/2006/relationships/hyperlink" Target="https://pipedream.com/apps/openai/integrations/gong" TargetMode="External"/><Relationship Id="rId63" Type="http://schemas.openxmlformats.org/officeDocument/2006/relationships/hyperlink" Target="https://www.gong.io/blog/in-the-revenue-ai-era-its-time-to-simplify-and-unify" TargetMode="External"/><Relationship Id="rId64" Type="http://schemas.openxmlformats.org/officeDocument/2006/relationships/hyperlink" Target="https://reply.io/blog/gong-ai-review/" TargetMode="External"/><Relationship Id="rId65" Type="http://schemas.openxmlformats.org/officeDocument/2006/relationships/hyperlink" Target="https://www.techtarget.com/searchcustomerexperience/news/366589571/Gong-adds-GenAI-conversational-intelligence-for-sales-insights" TargetMode="External"/><Relationship Id="rId66" Type="http://schemas.openxmlformats.org/officeDocument/2006/relationships/hyperlink" Target="https://unars.ac.id/ojs/index.php/mimbarintegritas/article/view/6632" TargetMode="External"/><Relationship Id="rId67" Type="http://schemas.openxmlformats.org/officeDocument/2006/relationships/hyperlink" Target="https://ejournal.iainu-kebumen.ac.id/index.php/cka/article/view/2790" TargetMode="External"/><Relationship Id="rId68" Type="http://schemas.openxmlformats.org/officeDocument/2006/relationships/hyperlink" Target="https://eprajournals.com/IJCM/article/15582" TargetMode="External"/><Relationship Id="rId69" Type="http://schemas.openxmlformats.org/officeDocument/2006/relationships/hyperlink" Target="https://agupubs.onlinelibrary.wiley.com/doi/10.1002/2017GL073480" TargetMode="External"/><Relationship Id="rId70" Type="http://schemas.openxmlformats.org/officeDocument/2006/relationships/hyperlink" Target="https://www.ejbmr.org/index.php/ejbmr/article/view/1372" TargetMode="External"/><Relationship Id="rId71" Type="http://schemas.openxmlformats.org/officeDocument/2006/relationships/hyperlink" Target="https://basepub.dauphine.psl.eu/bitstream/123456789/12529/1/SSRN-id1665093.pdf" TargetMode="External"/><Relationship Id="rId72" Type="http://schemas.openxmlformats.org/officeDocument/2006/relationships/hyperlink" Target="https://linkinghub.elsevier.com/retrieve/pii/S1044028324001157" TargetMode="External"/><Relationship Id="rId73" Type="http://schemas.openxmlformats.org/officeDocument/2006/relationships/hyperlink" Target="https://dx.plos.org/10.1371/journal.pone.0233018" TargetMode="External"/><Relationship Id="rId74" Type="http://schemas.openxmlformats.org/officeDocument/2006/relationships/hyperlink" Target="https://www.westminsterpapers.org/article/id/256/" TargetMode="External"/><Relationship Id="rId75" Type="http://schemas.openxmlformats.org/officeDocument/2006/relationships/hyperlink" Target="https://www.mdpi.com/2076-3417/7/6/636/pdf?version=1497959081" TargetMode="External"/><Relationship Id="rId76" Type="http://schemas.openxmlformats.org/officeDocument/2006/relationships/hyperlink" Target="https://arxiv.org/pdf/2410.00063.pdf" TargetMode="External"/><Relationship Id="rId77" Type="http://schemas.openxmlformats.org/officeDocument/2006/relationships/hyperlink" Target="https://www.annualreviews.org/doi/pdf/10.1146/annurev-financial-111021-100657" TargetMode="External"/><Relationship Id="rId78" Type="http://schemas.openxmlformats.org/officeDocument/2006/relationships/hyperlink" Target="https://jbba.scholasticahq.com/article/18139.pdf" TargetMode="External"/><Relationship Id="rId79" Type="http://schemas.openxmlformats.org/officeDocument/2006/relationships/hyperlink" Target="https://www.demandgenreport.com/financial-news/gong-surpasses-300m-in-annual-recurring-revenue-sees-customer-growth-beyond-tech/48961/" TargetMode="External"/><Relationship Id="rId80" Type="http://schemas.openxmlformats.org/officeDocument/2006/relationships/hyperlink" Target="https://www.gong.io/legal/privacy-policy" TargetMode="External"/><Relationship Id="rId81" Type="http://schemas.openxmlformats.org/officeDocument/2006/relationships/hyperlink" Target="https://www.gong.io/resources/guides/the-state-of-revenue-2025" TargetMode="External"/><Relationship Id="rId82" Type="http://schemas.openxmlformats.org/officeDocument/2006/relationships/hyperlink" Target="https://arxiv.org/ftp/arxiv/papers/1210/1210.6891.pdf" TargetMode="External"/><Relationship Id="rId83" Type="http://schemas.openxmlformats.org/officeDocument/2006/relationships/hyperlink" Target="https://arxiv.org/pdf/1511.06975.pdf" TargetMode="External"/><Relationship Id="rId84" Type="http://schemas.openxmlformats.org/officeDocument/2006/relationships/hyperlink" Target="https://wjaets.com/sites/default/files/WJAETS-2022-0130.pdf" TargetMode="External"/><Relationship Id="rId85" Type="http://schemas.openxmlformats.org/officeDocument/2006/relationships/hyperlink" Target="https://www.mdpi.com/2079-9292/13/3/469/pdf?version=1705995105" TargetMode="External"/><Relationship Id="rId86" Type="http://schemas.openxmlformats.org/officeDocument/2006/relationships/hyperlink" Target="https://www.mdpi.com/1911-8074/14/11/544/pdf" TargetMode="External"/><Relationship Id="rId87" Type="http://schemas.openxmlformats.org/officeDocument/2006/relationships/hyperlink" Target="https://publications.eai.eu/index.php/mca/article/download/2181/1874" TargetMode="External"/><Relationship Id="rId88" Type="http://schemas.openxmlformats.org/officeDocument/2006/relationships/hyperlink" Target="https://www.tandfonline.com/doi/pdf/10.1080/23311916.2024.2378877?needAccess=true" TargetMode="External"/><Relationship Id="rId89" Type="http://schemas.openxmlformats.org/officeDocument/2006/relationships/hyperlink" Target="https://arxiv.org/pdf/2303.00960.pdf" TargetMode="External"/><Relationship Id="rId90" Type="http://schemas.openxmlformats.org/officeDocument/2006/relationships/hyperlink" Target="https://www.oliv.ai/blog/gong-implementation-timeline" TargetMode="External"/><Relationship Id="rId91" Type="http://schemas.openxmlformats.org/officeDocument/2006/relationships/hyperlink" Target="https://tldv.io/blog/salesloft-vs-gong/" TargetMode="External"/><Relationship Id="rId92" Type="http://schemas.openxmlformats.org/officeDocument/2006/relationships/hyperlink" Target="https://www.oliv.ai/blog/gong-analytics" TargetMode="External"/><Relationship Id="rId93" Type="http://schemas.openxmlformats.org/officeDocument/2006/relationships/hyperlink" Target="https://www.calcalistech.com/ctechnews/article/b110gipqee" TargetMode="External"/><Relationship Id="rId94" Type="http://schemas.openxmlformats.org/officeDocument/2006/relationships/hyperlink" Target="https://www.breakcold.com/blog/salesloft-vs-gong" TargetMode="External"/><Relationship Id="rId95" Type="http://schemas.openxmlformats.org/officeDocument/2006/relationships/hyperlink" Target="https://demodesk.com/blog/best-alternative-to-gong" TargetMode="External"/><Relationship Id="rId96" Type="http://schemas.openxmlformats.org/officeDocument/2006/relationships/hyperlink" Target="https://www.gong.io/blog/predicting-churn" TargetMode="External"/><Relationship Id="rId97" Type="http://schemas.openxmlformats.org/officeDocument/2006/relationships/hyperlink" Target="https://www.oliv.ai/blog/gong-vs-salesloft" TargetMode="External"/><Relationship Id="rId98" Type="http://schemas.openxmlformats.org/officeDocument/2006/relationships/hyperlink" Target="https://journalajrcos.com/index.php/AJRCOS/article/view/628" TargetMode="External"/><Relationship Id="rId99" Type="http://schemas.openxmlformats.org/officeDocument/2006/relationships/hyperlink" Target="https://uscse.com/uscse/index.php/SVJ/article/view/84" TargetMode="External"/><Relationship Id="rId100" Type="http://schemas.openxmlformats.org/officeDocument/2006/relationships/hyperlink" Target="https://people.fberg.tuke.sk/tnl/index.php/tnl/article/view/189/133" TargetMode="External"/><Relationship Id="rId101" Type="http://schemas.openxmlformats.org/officeDocument/2006/relationships/hyperlink" Target="https://www.ijfmr.com/research-paper.php?id=59414" TargetMode="External"/><Relationship Id="rId102" Type="http://schemas.openxmlformats.org/officeDocument/2006/relationships/hyperlink" Target="https://ijsrmt.com/index.php/ijsrmt/article/view/954" TargetMode="External"/><Relationship Id="rId103" Type="http://schemas.openxmlformats.org/officeDocument/2006/relationships/hyperlink" Target="https://rsglobal.pl/index.php/ijitss/article/view/4720" TargetMode="External"/><Relationship Id="rId104" Type="http://schemas.openxmlformats.org/officeDocument/2006/relationships/hyperlink" Target="https://aacrjournals.org/cancerres/article/85/8_Supplement_1/5048/761220/Abstract-5048-MyInformaticsR-Invivoscribe-s-end-to" TargetMode="External"/><Relationship Id="rId105" Type="http://schemas.openxmlformats.org/officeDocument/2006/relationships/hyperlink" Target="https://arxiv.org/html/2501.07834" TargetMode="External"/><Relationship Id="rId106" Type="http://schemas.openxmlformats.org/officeDocument/2006/relationships/hyperlink" Target="https://arxiv.org/pdf/2503.13754.pdf" TargetMode="External"/><Relationship Id="rId107" Type="http://schemas.openxmlformats.org/officeDocument/2006/relationships/hyperlink" Target="https://arxiv.org/pdf/2106.00583.pdf" TargetMode="External"/><Relationship Id="rId108" Type="http://schemas.openxmlformats.org/officeDocument/2006/relationships/hyperlink" Target="https://arxiv.org/pdf/0901.4762.pdf" TargetMode="External"/><Relationship Id="rId109" Type="http://schemas.openxmlformats.org/officeDocument/2006/relationships/hyperlink" Target="https://arxiv.org/pdf/2410.10762.pdf" TargetMode="External"/><Relationship Id="rId110" Type="http://schemas.openxmlformats.org/officeDocument/2006/relationships/hyperlink" Target="https://arxiv.org/pdf/2304.14629.pdf" TargetMode="External"/><Relationship Id="rId111" Type="http://schemas.openxmlformats.org/officeDocument/2006/relationships/hyperlink" Target="https://arxiv.org/html/2411.05451" TargetMode="External"/><Relationship Id="rId112" Type="http://schemas.openxmlformats.org/officeDocument/2006/relationships/hyperlink" Target="https://arxiv.org/pdf/2504.00761.pdf" TargetMode="External"/><Relationship Id="rId113" Type="http://schemas.openxmlformats.org/officeDocument/2006/relationships/hyperlink" Target="https://www.vivun.com/gong-agents-2025" TargetMode="External"/><Relationship Id="rId114" Type="http://schemas.openxmlformats.org/officeDocument/2006/relationships/hyperlink" Target="https://salestools.io/en/report/gong-250m-series-e" TargetMode="External"/><Relationship Id="rId115" Type="http://schemas.openxmlformats.org/officeDocument/2006/relationships/hyperlink" Target="https://time.com/7343169/top-10-global-risks-2026/" TargetMode="External"/><Relationship Id="rId116" Type="http://schemas.openxmlformats.org/officeDocument/2006/relationships/hyperlink" Target="https://sacra.com/c/gong/" TargetMode="External"/><Relationship Id="rId117" Type="http://schemas.openxmlformats.org/officeDocument/2006/relationships/hyperlink" Target="https://www.gong.io/conversation-intelligence" TargetMode="External"/><Relationship Id="rId118" Type="http://schemas.openxmlformats.org/officeDocument/2006/relationships/hyperlink" Target="https://techcrunch.com/2025/03/05/revenue-prediction-startup-gong-surpasses-300m-arr-indicating-potential-ipo-path/" TargetMode="External"/><Relationship Id="rId119" Type="http://schemas.openxmlformats.org/officeDocument/2006/relationships/hyperlink" Target="https://www.gong.io/press/gong-surpasses-300m-arr-amid-increased-demand-for-ai-powered-revenue-solutions" TargetMode="External"/><Relationship Id="rId120" Type="http://schemas.openxmlformats.org/officeDocument/2006/relationships/hyperlink" Target="https://forgeglobal.com/tech-ipo-calendar-2026/" TargetMode="External"/><Relationship Id="rId121" Type="http://schemas.openxmlformats.org/officeDocument/2006/relationships/hyperlink" Target="https://www.linkedin.com/posts/mathewaird_gong-just-surpassed-300m-in-arr-so-what-activity-7311089077196312576-xFyM" TargetMode="External"/><Relationship Id="rId122" Type="http://schemas.openxmlformats.org/officeDocument/2006/relationships/hyperlink" Target="https://journal.paluniv.edu.ps/index.php/journal/article/view/200" TargetMode="External"/><Relationship Id="rId123" Type="http://schemas.openxmlformats.org/officeDocument/2006/relationships/hyperlink" Target="https://www.cambridge.org/core/product/identifier/S0924933825014300/type/journal_article" TargetMode="External"/><Relationship Id="rId124" Type="http://schemas.openxmlformats.org/officeDocument/2006/relationships/hyperlink" Target="https://aacrjournals.org/cebp/article/34/9_Supplement/C140/765033/Abstract-C140-Multi-sector-collaboration-to" TargetMode="External"/><Relationship Id="rId125" Type="http://schemas.openxmlformats.org/officeDocument/2006/relationships/hyperlink" Target="https://www.journal-uamd.org/index.php/IJRD/article/view/578" TargetMode="External"/><Relationship Id="rId126" Type="http://schemas.openxmlformats.org/officeDocument/2006/relationships/hyperlink" Target="https://www.cinc.org/archives/2025/pdf/CinC2025-475.pdf" TargetMode="External"/><Relationship Id="rId127" Type="http://schemas.openxmlformats.org/officeDocument/2006/relationships/hyperlink" Target="https://ieeexplore.ieee.org/document/11328723/" TargetMode="External"/><Relationship Id="rId128" Type="http://schemas.openxmlformats.org/officeDocument/2006/relationships/hyperlink" Target="https://open-publishing.org/publications/index.php/APUB/article/view/2764" TargetMode="External"/><Relationship Id="rId129" Type="http://schemas.openxmlformats.org/officeDocument/2006/relationships/hyperlink" Target="https://aacrjournals.org/cancerres/article/85/8_Supplement_1/7461/759626/Abstract-7461-Identifying-molecular" TargetMode="External"/><Relationship Id="rId130" Type="http://schemas.openxmlformats.org/officeDocument/2006/relationships/hyperlink" Target="https://zenodo.org/record/3503385" TargetMode="External"/><Relationship Id="rId131" Type="http://schemas.openxmlformats.org/officeDocument/2006/relationships/hyperlink" Target="https://www.semanticscholar.org/paper/ceacd9e2875797edea3b1dd7a7ff437cc6783bea" TargetMode="External"/><Relationship Id="rId132" Type="http://schemas.openxmlformats.org/officeDocument/2006/relationships/hyperlink" Target="https://figshare.com/articles/conference_contribution/inContext_a_Pervasive_and_Collaborative_Working_Environment_for_Emerging_Team_Forms_/10088285/1/files/18188819.pdf" TargetMode="External"/><Relationship Id="rId133" Type="http://schemas.openxmlformats.org/officeDocument/2006/relationships/hyperlink" Target="http://eecjournal.com/uploads/issue_files/3EEC-APR-2020-7-Salesforce.pdf" TargetMode="External"/><Relationship Id="rId134" Type="http://schemas.openxmlformats.org/officeDocument/2006/relationships/hyperlink" Target="https://arxiv.org/pdf/2203.12187.pdf" TargetMode="External"/><Relationship Id="rId135" Type="http://schemas.openxmlformats.org/officeDocument/2006/relationships/hyperlink" Target="https://www.pixelconsulting.io/post/gong-salesforce-integration" TargetMode="External"/><Relationship Id="rId136" Type="http://schemas.openxmlformats.org/officeDocument/2006/relationships/hyperlink" Target="https://www.claap.io/blog/gong-vs-chorus-which-is-better-and-why" TargetMode="External"/><Relationship Id="rId137" Type="http://schemas.openxmlformats.org/officeDocument/2006/relationships/hyperlink" Target="https://www.momentum.io/blog/gong-io-alternatives-conversation-intelligence-revenue-orchestration" TargetMode="External"/><Relationship Id="rId138" Type="http://schemas.openxmlformats.org/officeDocument/2006/relationships/hyperlink" Target="https://www.oliv.ai/blog/gong-salesforce-integrations" TargetMode="External"/><Relationship Id="rId139" Type="http://schemas.openxmlformats.org/officeDocument/2006/relationships/hyperlink" Target="https://www.revenue.io/blog/best-gong-alternatives-and-competitors-in-2025" TargetMode="External"/><Relationship Id="rId140" Type="http://schemas.openxmlformats.org/officeDocument/2006/relationships/hyperlink" Target="https://www.claap.io/blog/gong-alternatives" TargetMode="External"/><Relationship Id="rId141" Type="http://schemas.openxmlformats.org/officeDocument/2006/relationships/hyperlink" Target="https://help.gong.io/docs/connect-gong-to-salesforce" TargetMode="External"/><Relationship Id="rId142" Type="http://schemas.openxmlformats.org/officeDocument/2006/relationships/hyperlink" Target="https://www.cirrusinsight.com/gong-alternatives" TargetMode="External"/><Relationship Id="rId143" Type="http://schemas.openxmlformats.org/officeDocument/2006/relationships/hyperlink" Target="https://www.semanticscholar.org/paper/40de1ff1c16de4cd4db131fe03a89f0c1bed5b46" TargetMode="External"/><Relationship Id="rId144" Type="http://schemas.openxmlformats.org/officeDocument/2006/relationships/hyperlink" Target="https://www.mdpi.com/2673-4001/6/4/79" TargetMode="External"/><Relationship Id="rId145" Type="http://schemas.openxmlformats.org/officeDocument/2006/relationships/hyperlink" Target="https://ebooks.iospress.nl/doi/10.3233/SHTI250050" TargetMode="External"/><Relationship Id="rId146" Type="http://schemas.openxmlformats.org/officeDocument/2006/relationships/hyperlink" Target="https://ieeexplore.ieee.org/document/11049196/" TargetMode="External"/><Relationship Id="rId147" Type="http://schemas.openxmlformats.org/officeDocument/2006/relationships/hyperlink" Target="https://hstalks.com/doi/10.69554/ULBO5448/" TargetMode="External"/><Relationship Id="rId148" Type="http://schemas.openxmlformats.org/officeDocument/2006/relationships/hyperlink" Target="https://apjmi.org/index.php/apjmi/article/view/30" TargetMode="External"/><Relationship Id="rId149" Type="http://schemas.openxmlformats.org/officeDocument/2006/relationships/hyperlink" Target="https://www.mdpi.com/2079-9292/14/7/1385" TargetMode="External"/><Relationship Id="rId150" Type="http://schemas.openxmlformats.org/officeDocument/2006/relationships/hyperlink" Target="https://academia.edu.pk/index.php/Journals/article/view/467" TargetMode="External"/><Relationship Id="rId151" Type="http://schemas.openxmlformats.org/officeDocument/2006/relationships/hyperlink" Target="https://ijeaa.cultechpub.com/index.php/ijeaa/article/view/35" TargetMode="External"/><Relationship Id="rId152" Type="http://schemas.openxmlformats.org/officeDocument/2006/relationships/hyperlink" Target="https://www.semanticscholar.org/paper/cd00f7f982c4af94a63d192d5b1e311bf8e61f83" TargetMode="External"/><Relationship Id="rId153" Type="http://schemas.openxmlformats.org/officeDocument/2006/relationships/hyperlink" Target="https://arxiv.org/pdf/1809.05762.pdf" TargetMode="External"/><Relationship Id="rId154" Type="http://schemas.openxmlformats.org/officeDocument/2006/relationships/hyperlink" Target="http://arxiv.org/pdf/2409.13721.pdf" TargetMode="External"/><Relationship Id="rId155" Type="http://schemas.openxmlformats.org/officeDocument/2006/relationships/hyperlink" Target="https://arxiv.org/pdf/2106.05688.pdf" TargetMode="External"/><Relationship Id="rId156" Type="http://schemas.openxmlformats.org/officeDocument/2006/relationships/hyperlink" Target="https://arxiv.org/pdf/2501.14756.pdf" TargetMode="External"/><Relationship Id="rId157" Type="http://schemas.openxmlformats.org/officeDocument/2006/relationships/hyperlink" Target="https://arxiv.org/pdf/2403.07904.pdf" TargetMode="External"/><Relationship Id="rId158" Type="http://schemas.openxmlformats.org/officeDocument/2006/relationships/hyperlink" Target="http://arxiv.org/pdf/2501.05325.pdf" TargetMode="External"/><Relationship Id="rId159" Type="http://schemas.openxmlformats.org/officeDocument/2006/relationships/hyperlink" Target="https://arxiv.org/pdf/2503.10727.pdf" TargetMode="External"/><Relationship Id="rId160" Type="http://schemas.openxmlformats.org/officeDocument/2006/relationships/hyperlink" Target="https://arxiv.org/pdf/2503.05571.pdf" TargetMode="External"/><Relationship Id="rId161" Type="http://schemas.openxmlformats.org/officeDocument/2006/relationships/hyperlink" Target="https://www.oliv.ai/blog/gong-dpa-security" TargetMode="External"/><Relationship Id="rId162" Type="http://schemas.openxmlformats.org/officeDocument/2006/relationships/hyperlink" Target="https://www.prnewswire.com/news-releases/revenue-ai-leader-gong-extends-its-market-leadership-surpasses-300m-arr-amid-increased-demand-for-ai-powered-revenue-solutions-302392579.html" TargetMode="External"/><Relationship Id="rId163" Type="http://schemas.openxmlformats.org/officeDocument/2006/relationships/hyperlink" Target="https://uidesignz.com/blogs/mobile-apps-design-innovations" TargetMode="External"/><Relationship Id="rId164" Type="http://schemas.openxmlformats.org/officeDocument/2006/relationships/hyperlink" Target="https://data-privacy-office.eu/fines-for-gdpr-violations-in-ai-systems-and-how-to-avoid-them/" TargetMode="External"/><Relationship Id="rId165" Type="http://schemas.openxmlformats.org/officeDocument/2006/relationships/hyperlink" Target="https://www.gong.io/customer-success-software" TargetMode="External"/><Relationship Id="rId166" Type="http://schemas.openxmlformats.org/officeDocument/2006/relationships/hyperlink" Target="https://saigontechnology.com/blog/app-desig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2026-01-20T11:33:53.091Z</dcterms:created>
  <dcterms:modified xsi:type="dcterms:W3CDTF">2026-01-20T11:33:53.091Z</dcterms:modified>
</cp:coreProperties>
</file>