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FF2B7" w14:textId="77777777" w:rsidR="00607E1B" w:rsidRPr="00607E1B" w:rsidRDefault="00607E1B" w:rsidP="00607E1B">
      <w:pPr>
        <w:rPr>
          <w:b/>
          <w:bCs/>
          <w:lang w:val="en-IL"/>
        </w:rPr>
      </w:pPr>
      <w:r w:rsidRPr="00607E1B">
        <w:rPr>
          <w:b/>
          <w:bCs/>
          <w:lang w:val="en-IL"/>
        </w:rPr>
        <w:t>Strategic Deep-Dive: Gong.io – The Revenue Intelligence Empire (2025-2026)</w:t>
      </w:r>
    </w:p>
    <w:p w14:paraId="681F4599" w14:textId="77777777" w:rsidR="00607E1B" w:rsidRPr="00607E1B" w:rsidRDefault="00607E1B" w:rsidP="00607E1B">
      <w:pPr>
        <w:rPr>
          <w:b/>
          <w:bCs/>
          <w:lang w:val="en-IL"/>
        </w:rPr>
      </w:pPr>
      <w:r w:rsidRPr="00607E1B">
        <w:rPr>
          <w:b/>
          <w:bCs/>
          <w:lang w:val="en-IL"/>
        </w:rPr>
        <w:t>Executive Strategic Overview: The Pivot to "Revenue Reality"</w:t>
      </w:r>
    </w:p>
    <w:p w14:paraId="12BDE6CF" w14:textId="77777777" w:rsidR="00607E1B" w:rsidRPr="00607E1B" w:rsidRDefault="00607E1B" w:rsidP="00607E1B">
      <w:pPr>
        <w:rPr>
          <w:lang w:val="en-IL"/>
        </w:rPr>
      </w:pPr>
      <w:r w:rsidRPr="00607E1B">
        <w:rPr>
          <w:lang w:val="en-IL"/>
        </w:rPr>
        <w:t>The trajectory of enterprise software in the mid-2020s is defined by a singular, overarching narrative: the migration of value from "Systems of Record" to "Systems of Intelligence." For two decades, the Customer Relationship Management (CRM) system stood as the undisputed sun around which the sales galaxy orbited. However, by 2026, this gravitational center has shifted. The CRM remains the database—the repository of static truth—but it has lost its primacy as the interface of execution. Into this vacuum has stepped the "Revenue AI Operating System," a category Gong.io has aggressively sought to define, dominate, and defend.</w:t>
      </w:r>
    </w:p>
    <w:p w14:paraId="1A4C6014" w14:textId="77777777" w:rsidR="00607E1B" w:rsidRPr="00607E1B" w:rsidRDefault="00607E1B" w:rsidP="00607E1B">
      <w:pPr>
        <w:rPr>
          <w:lang w:val="en-IL"/>
        </w:rPr>
      </w:pPr>
      <w:r w:rsidRPr="00607E1B">
        <w:rPr>
          <w:lang w:val="en-IL"/>
        </w:rPr>
        <w:t>This report offers an exhaustive analysis of Gong’s evolution from a tactical "Conversation Intelligence" (CI) tool into a strategic "Revenue AI Instance." We examine the company at a critical inflection point. Following the exuberant valuations of the Zero Interest Rate Policy (ZIRP) era, where Gong reached a peak valuation of $7.25 billion, the company has faced the harsh realities of market correction, settling at a valuation of approximately $4.5 billion in secondary markets.</w:t>
      </w:r>
      <w:r w:rsidRPr="00607E1B">
        <w:rPr>
          <w:vertAlign w:val="superscript"/>
          <w:lang w:val="en-IL"/>
        </w:rPr>
        <w:t>1</w:t>
      </w:r>
      <w:r w:rsidRPr="00607E1B">
        <w:rPr>
          <w:lang w:val="en-IL"/>
        </w:rPr>
        <w:t xml:space="preserve"> This 38% correction is not merely a financial footnote; it is the backdrop against which every product decision, architectural shift, and strategic pivot must be understood.</w:t>
      </w:r>
    </w:p>
    <w:p w14:paraId="7F0EA0AD" w14:textId="77777777" w:rsidR="00607E1B" w:rsidRPr="00607E1B" w:rsidRDefault="00607E1B" w:rsidP="00607E1B">
      <w:pPr>
        <w:rPr>
          <w:lang w:val="en-IL"/>
        </w:rPr>
      </w:pPr>
      <w:r w:rsidRPr="00607E1B">
        <w:rPr>
          <w:lang w:val="en-IL"/>
        </w:rPr>
        <w:t>Gong’s response to this valuation compression and the simultaneous deceleration of SaaS growth rates—which slowed to an average of 16% in 2025—has been a radical technological metamorphosis.</w:t>
      </w:r>
      <w:r w:rsidRPr="00607E1B">
        <w:rPr>
          <w:vertAlign w:val="superscript"/>
          <w:lang w:val="en-IL"/>
        </w:rPr>
        <w:t>3</w:t>
      </w:r>
      <w:r w:rsidRPr="00607E1B">
        <w:rPr>
          <w:lang w:val="en-IL"/>
        </w:rPr>
        <w:t xml:space="preserve"> The company has moved beyond the passive transcription of sales calls to the active orchestration of revenue workflows. The introduction of autonomous agents, such as the </w:t>
      </w:r>
      <w:r w:rsidRPr="00607E1B">
        <w:rPr>
          <w:b/>
          <w:bCs/>
          <w:lang w:val="en-IL"/>
        </w:rPr>
        <w:t>AI Data Extractor</w:t>
      </w:r>
      <w:r w:rsidRPr="00607E1B">
        <w:rPr>
          <w:lang w:val="en-IL"/>
        </w:rPr>
        <w:t xml:space="preserve"> and </w:t>
      </w:r>
      <w:r w:rsidRPr="00607E1B">
        <w:rPr>
          <w:b/>
          <w:bCs/>
          <w:lang w:val="en-IL"/>
        </w:rPr>
        <w:t>AI Deep Researcher</w:t>
      </w:r>
      <w:r w:rsidRPr="00607E1B">
        <w:rPr>
          <w:lang w:val="en-IL"/>
        </w:rPr>
        <w:t>, signals an attempt to close the "Execution Gap"—the persistent disconnect between leadership strategy and frontline reality. By automating the drudgery of data entry and the complexity of deal analysis, Gong aims to make itself indispensable, raising the switching costs for enterprises that might otherwise be tempted by cheaper, commoditized AI wrappers.</w:t>
      </w:r>
    </w:p>
    <w:p w14:paraId="6F36FCA3" w14:textId="77777777" w:rsidR="00607E1B" w:rsidRPr="00607E1B" w:rsidRDefault="00607E1B" w:rsidP="00607E1B">
      <w:pPr>
        <w:rPr>
          <w:lang w:val="en-IL"/>
        </w:rPr>
      </w:pPr>
      <w:r w:rsidRPr="00607E1B">
        <w:rPr>
          <w:lang w:val="en-IL"/>
        </w:rPr>
        <w:t>However, dominance is far from guaranteed. The "Revenue AI" landscape of 2026 is a theatre of multi-front warfare. To the high end, Gong faces the platform giants—Microsoft and Salesforce—who are embedding "good enough" revenue intelligence directly into the operating systems where work happens. To the low end, agile disruptors and "wrappers" leverage commoditized Large Language Models (LLMs) to offer 80% of Gong’s utility at 20% of the price. And internally, Gong must navigate the perilous transition from a high-growth "unicorn" to a disciplined public company candidate, all while managing the churn risks associated with its premium pricing model.</w:t>
      </w:r>
      <w:r w:rsidRPr="00607E1B">
        <w:rPr>
          <w:vertAlign w:val="superscript"/>
          <w:lang w:val="en-IL"/>
        </w:rPr>
        <w:t>4</w:t>
      </w:r>
    </w:p>
    <w:p w14:paraId="2B86F9B8" w14:textId="77777777" w:rsidR="00607E1B" w:rsidRPr="00607E1B" w:rsidRDefault="00607E1B" w:rsidP="00607E1B">
      <w:pPr>
        <w:rPr>
          <w:lang w:val="en-IL"/>
        </w:rPr>
      </w:pPr>
      <w:r w:rsidRPr="00607E1B">
        <w:rPr>
          <w:lang w:val="en-IL"/>
        </w:rPr>
        <w:t xml:space="preserve">This comprehensive analysis dissects these dynamics across five critical vectors: the technical architecture of the "Revenue AI" engine, the ecosystem play for </w:t>
      </w:r>
      <w:r w:rsidRPr="00607E1B">
        <w:rPr>
          <w:lang w:val="en-IL"/>
        </w:rPr>
        <w:lastRenderedPageBreak/>
        <w:t>interoperability, the financial health and market standing, the expansion of the user experience to non-sales personas, and the specific vulnerabilities that constitute the company's "Kill Chain."</w:t>
      </w:r>
    </w:p>
    <w:p w14:paraId="7426CF19" w14:textId="77777777" w:rsidR="00607E1B" w:rsidRPr="00607E1B" w:rsidRDefault="00607E1B" w:rsidP="00607E1B">
      <w:pPr>
        <w:rPr>
          <w:lang w:val="en-IL"/>
        </w:rPr>
      </w:pPr>
      <w:r w:rsidRPr="00607E1B">
        <w:rPr>
          <w:lang w:val="en-IL"/>
        </w:rPr>
        <w:pict w14:anchorId="0AC2075F">
          <v:rect id="_x0000_i1067" style="width:0;height:1.5pt" o:hralign="center" o:hrstd="t" o:hrnoshade="t" o:hr="t" fillcolor="gray" stroked="f"/>
        </w:pict>
      </w:r>
    </w:p>
    <w:p w14:paraId="0FE3E852" w14:textId="77777777" w:rsidR="00607E1B" w:rsidRPr="00607E1B" w:rsidRDefault="00607E1B" w:rsidP="00607E1B">
      <w:pPr>
        <w:rPr>
          <w:b/>
          <w:bCs/>
          <w:lang w:val="en-IL"/>
        </w:rPr>
      </w:pPr>
      <w:r w:rsidRPr="00607E1B">
        <w:rPr>
          <w:b/>
          <w:bCs/>
          <w:lang w:val="en-IL"/>
        </w:rPr>
        <w:t>1. The "Revenue AI" Engine: From Passive Observation to Autonomous Agency</w:t>
      </w:r>
    </w:p>
    <w:p w14:paraId="35545D8B" w14:textId="77777777" w:rsidR="00607E1B" w:rsidRPr="00607E1B" w:rsidRDefault="00607E1B" w:rsidP="00607E1B">
      <w:pPr>
        <w:rPr>
          <w:lang w:val="en-IL"/>
        </w:rPr>
      </w:pPr>
      <w:r w:rsidRPr="00607E1B">
        <w:rPr>
          <w:lang w:val="en-IL"/>
        </w:rPr>
        <w:t xml:space="preserve">The fundamental promise of the first generation of Conversation Intelligence tools was visibility. They answered the question: </w:t>
      </w:r>
      <w:r w:rsidRPr="00607E1B">
        <w:rPr>
          <w:i/>
          <w:iCs/>
          <w:lang w:val="en-IL"/>
        </w:rPr>
        <w:t>"What happened on the call?"</w:t>
      </w:r>
      <w:r w:rsidRPr="00607E1B">
        <w:rPr>
          <w:lang w:val="en-IL"/>
        </w:rPr>
        <w:t xml:space="preserve"> The second generation, powered by the initial wave of Generative AI, answered: </w:t>
      </w:r>
      <w:r w:rsidRPr="00607E1B">
        <w:rPr>
          <w:i/>
          <w:iCs/>
          <w:lang w:val="en-IL"/>
        </w:rPr>
        <w:t>"What does it mean?"</w:t>
      </w:r>
      <w:r w:rsidRPr="00607E1B">
        <w:rPr>
          <w:lang w:val="en-IL"/>
        </w:rPr>
        <w:t xml:space="preserve"> The third generation, which Gong calls the "Revenue AI Operating System" (OS), attempts to answer: </w:t>
      </w:r>
      <w:r w:rsidRPr="00607E1B">
        <w:rPr>
          <w:i/>
          <w:iCs/>
          <w:lang w:val="en-IL"/>
        </w:rPr>
        <w:t>"What should we do about it, and can you do it for me?"</w:t>
      </w:r>
    </w:p>
    <w:p w14:paraId="0095697A" w14:textId="77777777" w:rsidR="00607E1B" w:rsidRPr="00607E1B" w:rsidRDefault="00607E1B" w:rsidP="00607E1B">
      <w:pPr>
        <w:rPr>
          <w:b/>
          <w:bCs/>
          <w:lang w:val="en-IL"/>
        </w:rPr>
      </w:pPr>
      <w:r w:rsidRPr="00607E1B">
        <w:rPr>
          <w:b/>
          <w:bCs/>
          <w:lang w:val="en-IL"/>
        </w:rPr>
        <w:t>1.1 The Agentic Architecture: Closing the Execution Gap</w:t>
      </w:r>
    </w:p>
    <w:p w14:paraId="7EFC27D6" w14:textId="77777777" w:rsidR="00607E1B" w:rsidRPr="00607E1B" w:rsidRDefault="00607E1B" w:rsidP="00607E1B">
      <w:pPr>
        <w:rPr>
          <w:lang w:val="en-IL"/>
        </w:rPr>
      </w:pPr>
      <w:r w:rsidRPr="00607E1B">
        <w:rPr>
          <w:lang w:val="en-IL"/>
        </w:rPr>
        <w:t xml:space="preserve">The defining technical achievement of Gong in 2025-2026 is the successful deployment of an </w:t>
      </w:r>
      <w:r w:rsidRPr="00607E1B">
        <w:rPr>
          <w:b/>
          <w:bCs/>
          <w:lang w:val="en-IL"/>
        </w:rPr>
        <w:t>agentic architecture</w:t>
      </w:r>
      <w:r w:rsidRPr="00607E1B">
        <w:rPr>
          <w:lang w:val="en-IL"/>
        </w:rPr>
        <w:t>. Unlike standard Generative AI features that simply summarize text or suggest emails, agents are designed to execute workflows autonomously. This shift addresses the primary frustration of Revenue Operations (RevOps) leaders: the inability to enforce sales methodologies and maintain data hygiene at scale.</w:t>
      </w:r>
    </w:p>
    <w:p w14:paraId="2A9137A1" w14:textId="77777777" w:rsidR="00607E1B" w:rsidRPr="00607E1B" w:rsidRDefault="00607E1B" w:rsidP="00607E1B">
      <w:pPr>
        <w:rPr>
          <w:b/>
          <w:bCs/>
          <w:lang w:val="en-IL"/>
        </w:rPr>
      </w:pPr>
      <w:r w:rsidRPr="00607E1B">
        <w:rPr>
          <w:b/>
          <w:bCs/>
          <w:lang w:val="en-IL"/>
        </w:rPr>
        <w:t>1.1.1 The AI Data Extractor: Automating "Revenue Reality"</w:t>
      </w:r>
    </w:p>
    <w:p w14:paraId="200FD64F" w14:textId="77777777" w:rsidR="00607E1B" w:rsidRPr="00607E1B" w:rsidRDefault="00607E1B" w:rsidP="00607E1B">
      <w:pPr>
        <w:rPr>
          <w:lang w:val="en-IL"/>
        </w:rPr>
      </w:pPr>
      <w:r w:rsidRPr="00607E1B">
        <w:rPr>
          <w:lang w:val="en-IL"/>
        </w:rPr>
        <w:t xml:space="preserve">The </w:t>
      </w:r>
      <w:r w:rsidRPr="00607E1B">
        <w:rPr>
          <w:b/>
          <w:bCs/>
          <w:lang w:val="en-IL"/>
        </w:rPr>
        <w:t>AI Data Extractor</w:t>
      </w:r>
      <w:r w:rsidRPr="00607E1B">
        <w:rPr>
          <w:lang w:val="en-IL"/>
        </w:rPr>
        <w:t xml:space="preserve"> represents a sophisticated application of "write-back" technology. Historically, the accuracy of a CRM depended entirely on the diligence of the sales representative—a famously unreliable variable. The AI Data Extractor inverts this dynamic. It treats the conversation itself as the source of truth and the CRM as a downstream recipient.</w:t>
      </w:r>
    </w:p>
    <w:p w14:paraId="1A9D5EBB" w14:textId="77777777" w:rsidR="00607E1B" w:rsidRPr="00607E1B" w:rsidRDefault="00607E1B" w:rsidP="00607E1B">
      <w:pPr>
        <w:numPr>
          <w:ilvl w:val="0"/>
          <w:numId w:val="1"/>
        </w:numPr>
        <w:rPr>
          <w:lang w:val="en-IL"/>
        </w:rPr>
      </w:pPr>
      <w:r w:rsidRPr="00607E1B">
        <w:rPr>
          <w:b/>
          <w:bCs/>
          <w:lang w:val="en-IL"/>
        </w:rPr>
        <w:t>Mechanism of Action:</w:t>
      </w:r>
      <w:r w:rsidRPr="00607E1B">
        <w:rPr>
          <w:lang w:val="en-IL"/>
        </w:rPr>
        <w:t xml:space="preserve"> The agent monitors customer interactions across voice, video, and email. It does not merely transcribe; it parses semantic meaning to identify specific "entities" and "attributes" defined by the organization. For example, if a prospect mentions, </w:t>
      </w:r>
      <w:r w:rsidRPr="00607E1B">
        <w:rPr>
          <w:i/>
          <w:iCs/>
          <w:lang w:val="en-IL"/>
        </w:rPr>
        <w:t>"We need to deploy by Q3 to meet our compliance audit,"</w:t>
      </w:r>
      <w:r w:rsidRPr="00607E1B">
        <w:rPr>
          <w:lang w:val="en-IL"/>
        </w:rPr>
        <w:t xml:space="preserve"> the agent identifies "Q3" as the </w:t>
      </w:r>
      <w:r w:rsidRPr="00607E1B">
        <w:rPr>
          <w:b/>
          <w:bCs/>
          <w:lang w:val="en-IL"/>
        </w:rPr>
        <w:t>Timeline</w:t>
      </w:r>
      <w:r w:rsidRPr="00607E1B">
        <w:rPr>
          <w:lang w:val="en-IL"/>
        </w:rPr>
        <w:t xml:space="preserve">, "Compliance Audit" as the </w:t>
      </w:r>
      <w:r w:rsidRPr="00607E1B">
        <w:rPr>
          <w:b/>
          <w:bCs/>
          <w:lang w:val="en-IL"/>
        </w:rPr>
        <w:t>Compelling Event</w:t>
      </w:r>
      <w:r w:rsidRPr="00607E1B">
        <w:rPr>
          <w:lang w:val="en-IL"/>
        </w:rPr>
        <w:t>, and autonomously updates the corresponding fields in Salesforce or HubSpot.</w:t>
      </w:r>
      <w:r w:rsidRPr="00607E1B">
        <w:rPr>
          <w:vertAlign w:val="superscript"/>
          <w:lang w:val="en-IL"/>
        </w:rPr>
        <w:t>6</w:t>
      </w:r>
    </w:p>
    <w:p w14:paraId="2247F118" w14:textId="77777777" w:rsidR="00607E1B" w:rsidRPr="00607E1B" w:rsidRDefault="00607E1B" w:rsidP="00607E1B">
      <w:pPr>
        <w:numPr>
          <w:ilvl w:val="0"/>
          <w:numId w:val="1"/>
        </w:numPr>
        <w:rPr>
          <w:lang w:val="en-IL"/>
        </w:rPr>
      </w:pPr>
      <w:r w:rsidRPr="00607E1B">
        <w:rPr>
          <w:b/>
          <w:bCs/>
          <w:lang w:val="en-IL"/>
        </w:rPr>
        <w:t>Structured vs. Unstructured Data:</w:t>
      </w:r>
      <w:r w:rsidRPr="00607E1B">
        <w:rPr>
          <w:lang w:val="en-IL"/>
        </w:rPr>
        <w:t xml:space="preserve"> The technical leap here is the transformation of unstructured audio data into structured database records without human intervention. This utilizes a "human-in-the-loop" configuration capability where admins define specific questions (e.g., "Who is the incumbent competitor?") and map the AI's answer to a specific CRM picklist field.</w:t>
      </w:r>
      <w:r w:rsidRPr="00607E1B">
        <w:rPr>
          <w:vertAlign w:val="superscript"/>
          <w:lang w:val="en-IL"/>
        </w:rPr>
        <w:t>7</w:t>
      </w:r>
    </w:p>
    <w:p w14:paraId="3CF8F24C" w14:textId="77777777" w:rsidR="00607E1B" w:rsidRPr="00607E1B" w:rsidRDefault="00607E1B" w:rsidP="00607E1B">
      <w:pPr>
        <w:numPr>
          <w:ilvl w:val="0"/>
          <w:numId w:val="1"/>
        </w:numPr>
        <w:rPr>
          <w:lang w:val="en-IL"/>
        </w:rPr>
      </w:pPr>
      <w:r w:rsidRPr="00607E1B">
        <w:rPr>
          <w:b/>
          <w:bCs/>
          <w:lang w:val="en-IL"/>
        </w:rPr>
        <w:lastRenderedPageBreak/>
        <w:t>Strategic Implication:</w:t>
      </w:r>
      <w:r w:rsidRPr="00607E1B">
        <w:rPr>
          <w:lang w:val="en-IL"/>
        </w:rPr>
        <w:t xml:space="preserve"> By automating data entry, Gong effectively decouples "reporting" from "rep behavior." This ensures that the forecast is based on </w:t>
      </w:r>
      <w:r w:rsidRPr="00607E1B">
        <w:rPr>
          <w:i/>
          <w:iCs/>
          <w:lang w:val="en-IL"/>
        </w:rPr>
        <w:t>empirical reality</w:t>
      </w:r>
      <w:r w:rsidRPr="00607E1B">
        <w:rPr>
          <w:lang w:val="en-IL"/>
        </w:rPr>
        <w:t xml:space="preserve"> (what was said) rather than </w:t>
      </w:r>
      <w:r w:rsidRPr="00607E1B">
        <w:rPr>
          <w:i/>
          <w:iCs/>
          <w:lang w:val="en-IL"/>
        </w:rPr>
        <w:t>rep optimism</w:t>
      </w:r>
      <w:r w:rsidRPr="00607E1B">
        <w:rPr>
          <w:lang w:val="en-IL"/>
        </w:rPr>
        <w:t xml:space="preserve"> (what was entered). It also creates a formidable stickiness; once an organization's data hygiene relies on Gong's agents, removing the platform risks an immediate degradation of CRM quality.</w:t>
      </w:r>
    </w:p>
    <w:p w14:paraId="35741983" w14:textId="77777777" w:rsidR="00607E1B" w:rsidRPr="00607E1B" w:rsidRDefault="00607E1B" w:rsidP="00607E1B">
      <w:pPr>
        <w:rPr>
          <w:b/>
          <w:bCs/>
          <w:lang w:val="en-IL"/>
        </w:rPr>
      </w:pPr>
      <w:r w:rsidRPr="00607E1B">
        <w:rPr>
          <w:b/>
          <w:bCs/>
          <w:lang w:val="en-IL"/>
        </w:rPr>
        <w:t>1.1.2 AI Deep Researcher: Synthesizing at Scale</w:t>
      </w:r>
    </w:p>
    <w:p w14:paraId="42039081" w14:textId="77777777" w:rsidR="00607E1B" w:rsidRPr="00607E1B" w:rsidRDefault="00607E1B" w:rsidP="00607E1B">
      <w:pPr>
        <w:rPr>
          <w:lang w:val="en-IL"/>
        </w:rPr>
      </w:pPr>
      <w:r w:rsidRPr="00607E1B">
        <w:rPr>
          <w:lang w:val="en-IL"/>
        </w:rPr>
        <w:t xml:space="preserve">While the Data Extractor handles structured data, the </w:t>
      </w:r>
      <w:r w:rsidRPr="00607E1B">
        <w:rPr>
          <w:b/>
          <w:bCs/>
          <w:lang w:val="en-IL"/>
        </w:rPr>
        <w:t>AI Deep Researcher</w:t>
      </w:r>
      <w:r w:rsidRPr="00607E1B">
        <w:rPr>
          <w:lang w:val="en-IL"/>
        </w:rPr>
        <w:t xml:space="preserve"> agent addresses complex, unstructured inquiry. In the pre-2025 era, answering a strategic question like </w:t>
      </w:r>
      <w:r w:rsidRPr="00607E1B">
        <w:rPr>
          <w:i/>
          <w:iCs/>
          <w:lang w:val="en-IL"/>
        </w:rPr>
        <w:t>"How are manufacturing clients in the DACH region reacting to our new pricing tier?"</w:t>
      </w:r>
      <w:r w:rsidRPr="00607E1B">
        <w:rPr>
          <w:lang w:val="en-IL"/>
        </w:rPr>
        <w:t xml:space="preserve"> required a massive manual effort of listening to calls or building complex BI dashboards.</w:t>
      </w:r>
    </w:p>
    <w:p w14:paraId="1DCB7D82" w14:textId="77777777" w:rsidR="00607E1B" w:rsidRPr="00607E1B" w:rsidRDefault="00607E1B" w:rsidP="00607E1B">
      <w:pPr>
        <w:numPr>
          <w:ilvl w:val="0"/>
          <w:numId w:val="2"/>
        </w:numPr>
        <w:rPr>
          <w:lang w:val="en-IL"/>
        </w:rPr>
      </w:pPr>
      <w:r w:rsidRPr="00607E1B">
        <w:rPr>
          <w:b/>
          <w:bCs/>
          <w:lang w:val="en-IL"/>
        </w:rPr>
        <w:t>Multi-Step Reasoning:</w:t>
      </w:r>
      <w:r w:rsidRPr="00607E1B">
        <w:rPr>
          <w:lang w:val="en-IL"/>
        </w:rPr>
        <w:t xml:space="preserve"> The AI Deep Researcher utilizes chain-of-thought prompting and multi-step reasoning. It does not just search for keywords. It identifies the relevant segment (Manufacturing + DACH), isolates the specific topic (Pricing), analyzes the sentiment and objection patterns across hundreds of relevant conversations, and synthesizes a coherent narrative report.</w:t>
      </w:r>
      <w:r w:rsidRPr="00607E1B">
        <w:rPr>
          <w:vertAlign w:val="superscript"/>
          <w:lang w:val="en-IL"/>
        </w:rPr>
        <w:t>8</w:t>
      </w:r>
    </w:p>
    <w:p w14:paraId="229A9322" w14:textId="77777777" w:rsidR="00607E1B" w:rsidRPr="00607E1B" w:rsidRDefault="00607E1B" w:rsidP="00607E1B">
      <w:pPr>
        <w:numPr>
          <w:ilvl w:val="0"/>
          <w:numId w:val="2"/>
        </w:numPr>
        <w:rPr>
          <w:lang w:val="en-IL"/>
        </w:rPr>
      </w:pPr>
      <w:r w:rsidRPr="00607E1B">
        <w:rPr>
          <w:b/>
          <w:bCs/>
          <w:lang w:val="en-IL"/>
        </w:rPr>
        <w:t>From Chatbot to Analyst:</w:t>
      </w:r>
      <w:r w:rsidRPr="00607E1B">
        <w:rPr>
          <w:lang w:val="en-IL"/>
        </w:rPr>
        <w:t xml:space="preserve"> This capability moves the AI interface from a simple "Ask Anything" chatbot to a virtual analyst. It can produce "evidence-backed reports" that cite specific moments in calls, allowing leaders to audit the AI’s reasoning. This transparency is crucial for building trust in AI-driven decision-making.</w:t>
      </w:r>
      <w:r w:rsidRPr="00607E1B">
        <w:rPr>
          <w:vertAlign w:val="superscript"/>
          <w:lang w:val="en-IL"/>
        </w:rPr>
        <w:t>9</w:t>
      </w:r>
    </w:p>
    <w:p w14:paraId="1F0B4DF4" w14:textId="77777777" w:rsidR="00607E1B" w:rsidRPr="00607E1B" w:rsidRDefault="00607E1B" w:rsidP="00607E1B">
      <w:pPr>
        <w:rPr>
          <w:b/>
          <w:bCs/>
          <w:lang w:val="en-IL"/>
        </w:rPr>
      </w:pPr>
      <w:r w:rsidRPr="00607E1B">
        <w:rPr>
          <w:b/>
          <w:bCs/>
          <w:lang w:val="en-IL"/>
        </w:rPr>
        <w:t>1.1.3 Gong Orchestrate: The Control Plane</w:t>
      </w:r>
    </w:p>
    <w:p w14:paraId="0FBA51E0" w14:textId="77777777" w:rsidR="00607E1B" w:rsidRPr="00607E1B" w:rsidRDefault="00607E1B" w:rsidP="00607E1B">
      <w:pPr>
        <w:rPr>
          <w:lang w:val="en-IL"/>
        </w:rPr>
      </w:pPr>
      <w:r w:rsidRPr="00607E1B">
        <w:rPr>
          <w:b/>
          <w:bCs/>
          <w:lang w:val="en-IL"/>
        </w:rPr>
        <w:t>Gong Orchestrate</w:t>
      </w:r>
      <w:r w:rsidRPr="00607E1B">
        <w:rPr>
          <w:lang w:val="en-IL"/>
        </w:rPr>
        <w:t xml:space="preserve"> is the operational nervous system of the platform. It is designed to bridge the gap between strategy and execution by embedding sales plays directly into the rep's workflow.</w:t>
      </w:r>
    </w:p>
    <w:p w14:paraId="79E3B5BE" w14:textId="77777777" w:rsidR="00607E1B" w:rsidRPr="00607E1B" w:rsidRDefault="00607E1B" w:rsidP="00607E1B">
      <w:pPr>
        <w:numPr>
          <w:ilvl w:val="0"/>
          <w:numId w:val="3"/>
        </w:numPr>
        <w:rPr>
          <w:lang w:val="en-IL"/>
        </w:rPr>
      </w:pPr>
      <w:r w:rsidRPr="00607E1B">
        <w:rPr>
          <w:b/>
          <w:bCs/>
          <w:lang w:val="en-IL"/>
        </w:rPr>
        <w:t>Methodology Enforcement:</w:t>
      </w:r>
      <w:r w:rsidRPr="00607E1B">
        <w:rPr>
          <w:lang w:val="en-IL"/>
        </w:rPr>
        <w:t xml:space="preserve"> If an organization utilizes the MEDDIC framework, Orchestrate monitors deals for the presence of the "Economic Buyer" or "Decision Process." If these elements are missing from the conversation history, the system automatically triggers a remedial action—suggesting a specific question for the next call or adding a task to the rep's to-do list.</w:t>
      </w:r>
      <w:r w:rsidRPr="00607E1B">
        <w:rPr>
          <w:vertAlign w:val="superscript"/>
          <w:lang w:val="en-IL"/>
        </w:rPr>
        <w:t>8</w:t>
      </w:r>
    </w:p>
    <w:p w14:paraId="2FC04325" w14:textId="77777777" w:rsidR="00607E1B" w:rsidRPr="00607E1B" w:rsidRDefault="00607E1B" w:rsidP="00607E1B">
      <w:pPr>
        <w:numPr>
          <w:ilvl w:val="0"/>
          <w:numId w:val="3"/>
        </w:numPr>
        <w:rPr>
          <w:lang w:val="en-IL"/>
        </w:rPr>
      </w:pPr>
      <w:r w:rsidRPr="00607E1B">
        <w:rPr>
          <w:b/>
          <w:bCs/>
          <w:lang w:val="en-IL"/>
        </w:rPr>
        <w:t>Autonomous Guidance:</w:t>
      </w:r>
      <w:r w:rsidRPr="00607E1B">
        <w:rPr>
          <w:lang w:val="en-IL"/>
        </w:rPr>
        <w:t xml:space="preserve"> The system provides "real-time guidance" during the sales cycle. This is not just post-call coaching; it is active intervention. By analyzing the "state" of the deal against the "ideal" path defined in the playbook, Orchestrate acts as an always-on manager, ensuring process adherence without micromanagement.</w:t>
      </w:r>
      <w:r w:rsidRPr="00607E1B">
        <w:rPr>
          <w:vertAlign w:val="superscript"/>
          <w:lang w:val="en-IL"/>
        </w:rPr>
        <w:t>8</w:t>
      </w:r>
    </w:p>
    <w:p w14:paraId="7DDCA580" w14:textId="77777777" w:rsidR="00607E1B" w:rsidRPr="00607E1B" w:rsidRDefault="00607E1B" w:rsidP="00607E1B">
      <w:pPr>
        <w:rPr>
          <w:b/>
          <w:bCs/>
          <w:lang w:val="en-IL"/>
        </w:rPr>
      </w:pPr>
      <w:r w:rsidRPr="00607E1B">
        <w:rPr>
          <w:b/>
          <w:bCs/>
          <w:lang w:val="en-IL"/>
        </w:rPr>
        <w:t>1.2 The Proprietary Data Moat: The Gong Revenue Graph</w:t>
      </w:r>
    </w:p>
    <w:p w14:paraId="14C60F25" w14:textId="77777777" w:rsidR="00607E1B" w:rsidRPr="00607E1B" w:rsidRDefault="00607E1B" w:rsidP="00607E1B">
      <w:pPr>
        <w:rPr>
          <w:lang w:val="en-IL"/>
        </w:rPr>
      </w:pPr>
      <w:r w:rsidRPr="00607E1B">
        <w:rPr>
          <w:lang w:val="en-IL"/>
        </w:rPr>
        <w:lastRenderedPageBreak/>
        <w:t xml:space="preserve">A critical question for investors and buyers in 2026 is whether Gong is simply a "wrapper" around OpenAI's GPT-5 or similar commodity models. If the underlying intelligence is a commodity, Gong’s premium pricing is indefensible. Gong addresses this through the </w:t>
      </w:r>
      <w:r w:rsidRPr="00607E1B">
        <w:rPr>
          <w:b/>
          <w:bCs/>
          <w:lang w:val="en-IL"/>
        </w:rPr>
        <w:t>Gong Revenue Graph</w:t>
      </w:r>
      <w:r w:rsidRPr="00607E1B">
        <w:rPr>
          <w:lang w:val="en-IL"/>
        </w:rPr>
        <w:t>.</w:t>
      </w:r>
    </w:p>
    <w:p w14:paraId="0D3FCACC" w14:textId="77777777" w:rsidR="00607E1B" w:rsidRPr="00607E1B" w:rsidRDefault="00607E1B" w:rsidP="00607E1B">
      <w:pPr>
        <w:rPr>
          <w:b/>
          <w:bCs/>
          <w:lang w:val="en-IL"/>
        </w:rPr>
      </w:pPr>
      <w:r w:rsidRPr="00607E1B">
        <w:rPr>
          <w:b/>
          <w:bCs/>
          <w:lang w:val="en-IL"/>
        </w:rPr>
        <w:t>1.2.1 Domain-Specific Training vs. Generalist Models</w:t>
      </w:r>
    </w:p>
    <w:p w14:paraId="6353AB1B" w14:textId="77777777" w:rsidR="00607E1B" w:rsidRPr="00607E1B" w:rsidRDefault="00607E1B" w:rsidP="00607E1B">
      <w:pPr>
        <w:rPr>
          <w:lang w:val="en-IL"/>
        </w:rPr>
      </w:pPr>
      <w:r w:rsidRPr="00607E1B">
        <w:rPr>
          <w:lang w:val="en-IL"/>
        </w:rPr>
        <w:t>While Gong utilizes Generative AI for summarization and text generation (likely leveraging partnerships with major model providers), its core analytical value is derived from proprietary models trained on billions of B2B sales interactions. This dataset—the Revenue Graph—maps the complex web of relationships between people, activities, and outcomes.</w:t>
      </w:r>
      <w:r w:rsidRPr="00607E1B">
        <w:rPr>
          <w:vertAlign w:val="superscript"/>
          <w:lang w:val="en-IL"/>
        </w:rPr>
        <w:t>8</w:t>
      </w:r>
    </w:p>
    <w:p w14:paraId="1BD81117" w14:textId="77777777" w:rsidR="00607E1B" w:rsidRPr="00607E1B" w:rsidRDefault="00607E1B" w:rsidP="00607E1B">
      <w:pPr>
        <w:numPr>
          <w:ilvl w:val="0"/>
          <w:numId w:val="4"/>
        </w:numPr>
        <w:rPr>
          <w:lang w:val="en-IL"/>
        </w:rPr>
      </w:pPr>
      <w:r w:rsidRPr="00607E1B">
        <w:rPr>
          <w:b/>
          <w:bCs/>
          <w:lang w:val="en-IL"/>
        </w:rPr>
        <w:t>Signal-to-Noise Ratio:</w:t>
      </w:r>
      <w:r w:rsidRPr="00607E1B">
        <w:rPr>
          <w:lang w:val="en-IL"/>
        </w:rPr>
        <w:t xml:space="preserve"> Generalist LLMs struggle with the nuance of sales conversations. They may interpret a polite "We'll get back to you" as a positive signal, whereas a model trained on sales outcomes knows that this phrase, when coupled with a lack of a scheduled next step, is a high-probability churn signal. Gong claims its domain-specific tuning allows it to separate "signal from noise" with a precision that off-the-shelf models cannot match.</w:t>
      </w:r>
      <w:r w:rsidRPr="00607E1B">
        <w:rPr>
          <w:vertAlign w:val="superscript"/>
          <w:lang w:val="en-IL"/>
        </w:rPr>
        <w:t>10</w:t>
      </w:r>
    </w:p>
    <w:p w14:paraId="4B145082" w14:textId="77777777" w:rsidR="00607E1B" w:rsidRPr="00607E1B" w:rsidRDefault="00607E1B" w:rsidP="00607E1B">
      <w:pPr>
        <w:numPr>
          <w:ilvl w:val="0"/>
          <w:numId w:val="4"/>
        </w:numPr>
        <w:rPr>
          <w:lang w:val="en-IL"/>
        </w:rPr>
      </w:pPr>
      <w:r w:rsidRPr="00607E1B">
        <w:rPr>
          <w:b/>
          <w:bCs/>
          <w:lang w:val="en-IL"/>
        </w:rPr>
        <w:t>The "Context" Advantage:</w:t>
      </w:r>
      <w:r w:rsidRPr="00607E1B">
        <w:rPr>
          <w:lang w:val="en-IL"/>
        </w:rPr>
        <w:t xml:space="preserve"> The Revenue Graph provides the context necessary for accurate prediction. An email is not analyzed in isolation; it is analyzed in the context of the entire deal history, the stakeholder's role, and the historical win rates of similar deals. This interconnected data structure is the true "moat" protecting Gong from simple transcription wrappers.</w:t>
      </w:r>
    </w:p>
    <w:p w14:paraId="65616B0F" w14:textId="77777777" w:rsidR="00607E1B" w:rsidRPr="00607E1B" w:rsidRDefault="00607E1B" w:rsidP="00607E1B">
      <w:pPr>
        <w:rPr>
          <w:b/>
          <w:bCs/>
          <w:lang w:val="en-IL"/>
        </w:rPr>
      </w:pPr>
      <w:r w:rsidRPr="00607E1B">
        <w:rPr>
          <w:b/>
          <w:bCs/>
          <w:lang w:val="en-IL"/>
        </w:rPr>
        <w:t>1.3 Smart Trackers vs. Generative Insights</w:t>
      </w:r>
    </w:p>
    <w:p w14:paraId="65550480" w14:textId="77777777" w:rsidR="00607E1B" w:rsidRPr="00607E1B" w:rsidRDefault="00607E1B" w:rsidP="00607E1B">
      <w:pPr>
        <w:rPr>
          <w:lang w:val="en-IL"/>
        </w:rPr>
      </w:pPr>
      <w:r w:rsidRPr="00607E1B">
        <w:rPr>
          <w:lang w:val="en-IL"/>
        </w:rPr>
        <w:t xml:space="preserve">The evolution of </w:t>
      </w:r>
      <w:r w:rsidRPr="00607E1B">
        <w:rPr>
          <w:b/>
          <w:bCs/>
          <w:lang w:val="en-IL"/>
        </w:rPr>
        <w:t>Smart Trackers</w:t>
      </w:r>
      <w:r w:rsidRPr="00607E1B">
        <w:rPr>
          <w:lang w:val="en-IL"/>
        </w:rPr>
        <w:t xml:space="preserve"> illustrates the shift from keyword spotting to semantic understanding. In the early days of CI, a "Competitor Tracker" looked for the word "Salesforce." If a prospect said, </w:t>
      </w:r>
      <w:r w:rsidRPr="00607E1B">
        <w:rPr>
          <w:i/>
          <w:iCs/>
          <w:lang w:val="en-IL"/>
        </w:rPr>
        <w:t>"The 800-pound gorilla in the CRM space,"</w:t>
      </w:r>
      <w:r w:rsidRPr="00607E1B">
        <w:rPr>
          <w:lang w:val="en-IL"/>
        </w:rPr>
        <w:t xml:space="preserve"> the tracker would miss it.</w:t>
      </w:r>
    </w:p>
    <w:p w14:paraId="099A8B7A" w14:textId="77777777" w:rsidR="00607E1B" w:rsidRPr="00607E1B" w:rsidRDefault="00607E1B" w:rsidP="00607E1B">
      <w:pPr>
        <w:numPr>
          <w:ilvl w:val="0"/>
          <w:numId w:val="5"/>
        </w:numPr>
        <w:rPr>
          <w:lang w:val="en-IL"/>
        </w:rPr>
      </w:pPr>
      <w:r w:rsidRPr="00607E1B">
        <w:rPr>
          <w:b/>
          <w:bCs/>
          <w:lang w:val="en-IL"/>
        </w:rPr>
        <w:t>Semantic Concept Tracking:</w:t>
      </w:r>
      <w:r w:rsidRPr="00607E1B">
        <w:rPr>
          <w:lang w:val="en-IL"/>
        </w:rPr>
        <w:t xml:space="preserve"> By 2026, Smart Trackers utilize advanced Natural Language Understanding (NLU) to identify </w:t>
      </w:r>
      <w:r w:rsidRPr="00607E1B">
        <w:rPr>
          <w:i/>
          <w:iCs/>
          <w:lang w:val="en-IL"/>
        </w:rPr>
        <w:t>concepts</w:t>
      </w:r>
      <w:r w:rsidRPr="00607E1B">
        <w:rPr>
          <w:lang w:val="en-IL"/>
        </w:rPr>
        <w:t xml:space="preserve">. A user can define a tracker for "Budget Concerns," and the system will flag phrases like </w:t>
      </w:r>
      <w:r w:rsidRPr="00607E1B">
        <w:rPr>
          <w:i/>
          <w:iCs/>
          <w:lang w:val="en-IL"/>
        </w:rPr>
        <w:t>"That's a bit steep,"</w:t>
      </w:r>
      <w:r w:rsidRPr="00607E1B">
        <w:rPr>
          <w:lang w:val="en-IL"/>
        </w:rPr>
        <w:t xml:space="preserve"> </w:t>
      </w:r>
      <w:r w:rsidRPr="00607E1B">
        <w:rPr>
          <w:i/>
          <w:iCs/>
          <w:lang w:val="en-IL"/>
        </w:rPr>
        <w:t>"We don't have the CAPEX for this,"</w:t>
      </w:r>
      <w:r w:rsidRPr="00607E1B">
        <w:rPr>
          <w:lang w:val="en-IL"/>
        </w:rPr>
        <w:t xml:space="preserve"> or </w:t>
      </w:r>
      <w:r w:rsidRPr="00607E1B">
        <w:rPr>
          <w:i/>
          <w:iCs/>
          <w:lang w:val="en-IL"/>
        </w:rPr>
        <w:t>"I need to check with finance,"</w:t>
      </w:r>
      <w:r w:rsidRPr="00607E1B">
        <w:rPr>
          <w:lang w:val="en-IL"/>
        </w:rPr>
        <w:t xml:space="preserve"> even if the word "budget" is never spoken.</w:t>
      </w:r>
    </w:p>
    <w:p w14:paraId="08E58D28" w14:textId="77777777" w:rsidR="00607E1B" w:rsidRPr="00607E1B" w:rsidRDefault="00607E1B" w:rsidP="00607E1B">
      <w:pPr>
        <w:numPr>
          <w:ilvl w:val="0"/>
          <w:numId w:val="5"/>
        </w:numPr>
        <w:rPr>
          <w:lang w:val="en-IL"/>
        </w:rPr>
      </w:pPr>
      <w:r w:rsidRPr="00607E1B">
        <w:rPr>
          <w:b/>
          <w:bCs/>
          <w:lang w:val="en-IL"/>
        </w:rPr>
        <w:t>Generative Integration:</w:t>
      </w:r>
      <w:r w:rsidRPr="00607E1B">
        <w:rPr>
          <w:lang w:val="en-IL"/>
        </w:rPr>
        <w:t xml:space="preserve"> These trackers now feed directly into Generative AI workflows. When a Smart Tracker identifies an "Objection," it doesn't just flag it; it can trigger the </w:t>
      </w:r>
      <w:r w:rsidRPr="00607E1B">
        <w:rPr>
          <w:b/>
          <w:bCs/>
          <w:lang w:val="en-IL"/>
        </w:rPr>
        <w:t>AI Composer</w:t>
      </w:r>
      <w:r w:rsidRPr="00607E1B">
        <w:rPr>
          <w:lang w:val="en-IL"/>
        </w:rPr>
        <w:t xml:space="preserve"> to draft a follow-up email that specifically addresses that objection using approved marketing collateral. This seamless link between </w:t>
      </w:r>
      <w:r w:rsidRPr="00607E1B">
        <w:rPr>
          <w:i/>
          <w:iCs/>
          <w:lang w:val="en-IL"/>
        </w:rPr>
        <w:t>detection</w:t>
      </w:r>
      <w:r w:rsidRPr="00607E1B">
        <w:rPr>
          <w:lang w:val="en-IL"/>
        </w:rPr>
        <w:t xml:space="preserve"> (Tracker) and </w:t>
      </w:r>
      <w:r w:rsidRPr="00607E1B">
        <w:rPr>
          <w:i/>
          <w:iCs/>
          <w:lang w:val="en-IL"/>
        </w:rPr>
        <w:t>action</w:t>
      </w:r>
      <w:r w:rsidRPr="00607E1B">
        <w:rPr>
          <w:lang w:val="en-IL"/>
        </w:rPr>
        <w:t xml:space="preserve"> (Generative AI) is the hallmark of the 2026 platform.</w:t>
      </w:r>
      <w:r w:rsidRPr="00607E1B">
        <w:rPr>
          <w:vertAlign w:val="superscript"/>
          <w:lang w:val="en-IL"/>
        </w:rPr>
        <w:t>9</w:t>
      </w:r>
    </w:p>
    <w:p w14:paraId="6964F618" w14:textId="77777777" w:rsidR="00607E1B" w:rsidRPr="00607E1B" w:rsidRDefault="00607E1B" w:rsidP="00607E1B">
      <w:pPr>
        <w:rPr>
          <w:lang w:val="en-IL"/>
        </w:rPr>
      </w:pPr>
      <w:r w:rsidRPr="00607E1B">
        <w:rPr>
          <w:lang w:val="en-IL"/>
        </w:rPr>
        <w:lastRenderedPageBreak/>
        <w:pict w14:anchorId="50A1913E">
          <v:rect id="_x0000_i1068" style="width:0;height:1.5pt" o:hralign="center" o:hrstd="t" o:hrnoshade="t" o:hr="t" fillcolor="gray" stroked="f"/>
        </w:pict>
      </w:r>
    </w:p>
    <w:p w14:paraId="6141EA42" w14:textId="77777777" w:rsidR="00607E1B" w:rsidRPr="00607E1B" w:rsidRDefault="00607E1B" w:rsidP="00607E1B">
      <w:pPr>
        <w:rPr>
          <w:b/>
          <w:bCs/>
          <w:lang w:val="en-IL"/>
        </w:rPr>
      </w:pPr>
      <w:r w:rsidRPr="00607E1B">
        <w:rPr>
          <w:b/>
          <w:bCs/>
          <w:lang w:val="en-IL"/>
        </w:rPr>
        <w:t>2. The Ecosystem &amp; Platform Play: The "Open Garden" Strategy</w:t>
      </w:r>
    </w:p>
    <w:p w14:paraId="38C4C343" w14:textId="77777777" w:rsidR="00607E1B" w:rsidRPr="00607E1B" w:rsidRDefault="00607E1B" w:rsidP="00607E1B">
      <w:pPr>
        <w:rPr>
          <w:lang w:val="en-IL"/>
        </w:rPr>
      </w:pPr>
      <w:r w:rsidRPr="00607E1B">
        <w:rPr>
          <w:lang w:val="en-IL"/>
        </w:rPr>
        <w:t>To avoid being marginalized by the consolidation of the tech stack, Gong has pivoted from being a destination application to being a platform infrastructure. This "Open Garden" strategy relies on deep interoperability, allowing Gong’s intelligence to permeate the tools where users spend their day—primarily Microsoft Teams, Salesforce, and Slack.</w:t>
      </w:r>
    </w:p>
    <w:p w14:paraId="6F83C0A5" w14:textId="77777777" w:rsidR="00607E1B" w:rsidRPr="00607E1B" w:rsidRDefault="00607E1B" w:rsidP="00607E1B">
      <w:pPr>
        <w:rPr>
          <w:b/>
          <w:bCs/>
          <w:lang w:val="en-IL"/>
        </w:rPr>
      </w:pPr>
      <w:r w:rsidRPr="00607E1B">
        <w:rPr>
          <w:b/>
          <w:bCs/>
          <w:lang w:val="en-IL"/>
        </w:rPr>
        <w:t>2.1 The Model Context Protocol (MCP): A Strategic Pivot</w:t>
      </w:r>
    </w:p>
    <w:p w14:paraId="2C827BF2" w14:textId="77777777" w:rsidR="00607E1B" w:rsidRPr="00607E1B" w:rsidRDefault="00607E1B" w:rsidP="00607E1B">
      <w:pPr>
        <w:rPr>
          <w:lang w:val="en-IL"/>
        </w:rPr>
      </w:pPr>
      <w:r w:rsidRPr="00607E1B">
        <w:rPr>
          <w:lang w:val="en-IL"/>
        </w:rPr>
        <w:t xml:space="preserve">In late 2025, Gong announced support for the </w:t>
      </w:r>
      <w:r w:rsidRPr="00607E1B">
        <w:rPr>
          <w:b/>
          <w:bCs/>
          <w:lang w:val="en-IL"/>
        </w:rPr>
        <w:t>Model Context Protocol (MCP)</w:t>
      </w:r>
      <w:r w:rsidRPr="00607E1B">
        <w:rPr>
          <w:lang w:val="en-IL"/>
        </w:rPr>
        <w:t>, an open standard that standardizes how AI models interact with external data. This move is structurally significant for the enterprise AI ecosystem.</w:t>
      </w:r>
      <w:r w:rsidRPr="00607E1B">
        <w:rPr>
          <w:vertAlign w:val="superscript"/>
          <w:lang w:val="en-IL"/>
        </w:rPr>
        <w:t>12</w:t>
      </w:r>
    </w:p>
    <w:p w14:paraId="24D9AC16" w14:textId="77777777" w:rsidR="00607E1B" w:rsidRPr="00607E1B" w:rsidRDefault="00607E1B" w:rsidP="00607E1B">
      <w:pPr>
        <w:rPr>
          <w:b/>
          <w:bCs/>
          <w:lang w:val="en-IL"/>
        </w:rPr>
      </w:pPr>
      <w:r w:rsidRPr="00607E1B">
        <w:rPr>
          <w:b/>
          <w:bCs/>
          <w:lang w:val="en-IL"/>
        </w:rPr>
        <w:t>2.1.1 Bi-Directional Intelligence</w:t>
      </w:r>
    </w:p>
    <w:p w14:paraId="4DAB922C" w14:textId="77777777" w:rsidR="00607E1B" w:rsidRPr="00607E1B" w:rsidRDefault="00607E1B" w:rsidP="00607E1B">
      <w:pPr>
        <w:rPr>
          <w:lang w:val="en-IL"/>
        </w:rPr>
      </w:pPr>
      <w:r w:rsidRPr="00607E1B">
        <w:rPr>
          <w:lang w:val="en-IL"/>
        </w:rPr>
        <w:t>MCP solves the "silo" problem of AI agents. Before MCP, an AI agent in Salesforce could not easily access the rich conversational data inside Gong without complex, brittle API integrations.</w:t>
      </w:r>
    </w:p>
    <w:p w14:paraId="4A137514" w14:textId="77777777" w:rsidR="00607E1B" w:rsidRPr="00607E1B" w:rsidRDefault="00607E1B" w:rsidP="00607E1B">
      <w:pPr>
        <w:numPr>
          <w:ilvl w:val="0"/>
          <w:numId w:val="6"/>
        </w:numPr>
        <w:rPr>
          <w:lang w:val="en-IL"/>
        </w:rPr>
      </w:pPr>
      <w:r w:rsidRPr="00607E1B">
        <w:rPr>
          <w:b/>
          <w:bCs/>
          <w:lang w:val="en-IL"/>
        </w:rPr>
        <w:t>Gong as a Server:</w:t>
      </w:r>
      <w:r w:rsidRPr="00607E1B">
        <w:rPr>
          <w:lang w:val="en-IL"/>
        </w:rPr>
        <w:t xml:space="preserve"> With MCP, Gong acts as a "Server" of context. An agent operating in </w:t>
      </w:r>
      <w:r w:rsidRPr="00607E1B">
        <w:rPr>
          <w:b/>
          <w:bCs/>
          <w:lang w:val="en-IL"/>
        </w:rPr>
        <w:t>Microsoft 365 Copilot</w:t>
      </w:r>
      <w:r w:rsidRPr="00607E1B">
        <w:rPr>
          <w:lang w:val="en-IL"/>
        </w:rPr>
        <w:t xml:space="preserve"> can query Gong’s Revenue Graph to answer a user's question within Word or Outlook. For example, a user writing a proposal in Word could ask Copilot, </w:t>
      </w:r>
      <w:r w:rsidRPr="00607E1B">
        <w:rPr>
          <w:i/>
          <w:iCs/>
          <w:lang w:val="en-IL"/>
        </w:rPr>
        <w:t>"Insert the pain points mentioned by the CTO in the last Gong call,"</w:t>
      </w:r>
      <w:r w:rsidRPr="00607E1B">
        <w:rPr>
          <w:lang w:val="en-IL"/>
        </w:rPr>
        <w:t xml:space="preserve"> and the system would retrieve that specific data point seamlessly.</w:t>
      </w:r>
      <w:r w:rsidRPr="00607E1B">
        <w:rPr>
          <w:vertAlign w:val="superscript"/>
          <w:lang w:val="en-IL"/>
        </w:rPr>
        <w:t>14</w:t>
      </w:r>
    </w:p>
    <w:p w14:paraId="677F6AF6" w14:textId="77777777" w:rsidR="00607E1B" w:rsidRPr="00607E1B" w:rsidRDefault="00607E1B" w:rsidP="00607E1B">
      <w:pPr>
        <w:numPr>
          <w:ilvl w:val="0"/>
          <w:numId w:val="6"/>
        </w:numPr>
        <w:rPr>
          <w:lang w:val="en-IL"/>
        </w:rPr>
      </w:pPr>
      <w:r w:rsidRPr="00607E1B">
        <w:rPr>
          <w:b/>
          <w:bCs/>
          <w:lang w:val="en-IL"/>
        </w:rPr>
        <w:t>Gong as a Client:</w:t>
      </w:r>
      <w:r w:rsidRPr="00607E1B">
        <w:rPr>
          <w:lang w:val="en-IL"/>
        </w:rPr>
        <w:t xml:space="preserve"> Conversely, Gong’s internal agents can act as "Clients," fetching data from external systems. The </w:t>
      </w:r>
      <w:r w:rsidRPr="00607E1B">
        <w:rPr>
          <w:b/>
          <w:bCs/>
          <w:lang w:val="en-IL"/>
        </w:rPr>
        <w:t>AI Deep Researcher</w:t>
      </w:r>
      <w:r w:rsidRPr="00607E1B">
        <w:rPr>
          <w:lang w:val="en-IL"/>
        </w:rPr>
        <w:t xml:space="preserve"> could pull usage data from a Snowflake data warehouse or support ticket history from Zendesk to provide a comprehensive view of account health.</w:t>
      </w:r>
    </w:p>
    <w:p w14:paraId="1E375262" w14:textId="77777777" w:rsidR="00607E1B" w:rsidRPr="00607E1B" w:rsidRDefault="00607E1B" w:rsidP="00607E1B">
      <w:pPr>
        <w:rPr>
          <w:b/>
          <w:bCs/>
          <w:lang w:val="en-IL"/>
        </w:rPr>
      </w:pPr>
      <w:r w:rsidRPr="00607E1B">
        <w:rPr>
          <w:b/>
          <w:bCs/>
          <w:lang w:val="en-IL"/>
        </w:rPr>
        <w:t>2.1.2 The Strategic Implications of MCP</w:t>
      </w:r>
    </w:p>
    <w:p w14:paraId="4B604C79" w14:textId="77777777" w:rsidR="00607E1B" w:rsidRPr="00607E1B" w:rsidRDefault="00607E1B" w:rsidP="00607E1B">
      <w:pPr>
        <w:rPr>
          <w:lang w:val="en-IL"/>
        </w:rPr>
      </w:pPr>
      <w:r w:rsidRPr="00607E1B">
        <w:rPr>
          <w:lang w:val="en-IL"/>
        </w:rPr>
        <w:t xml:space="preserve">By adopting this standard, Gong positions itself as the "Revenue Intelligence Layer" for the entire stack. It effectively says to Microsoft and Salesforce: </w:t>
      </w:r>
      <w:r w:rsidRPr="00607E1B">
        <w:rPr>
          <w:i/>
          <w:iCs/>
          <w:lang w:val="en-IL"/>
        </w:rPr>
        <w:t>"You own the interface (Teams/CRM), but we own the understanding of the conversation."</w:t>
      </w:r>
      <w:r w:rsidRPr="00607E1B">
        <w:rPr>
          <w:lang w:val="en-IL"/>
        </w:rPr>
        <w:t xml:space="preserve"> This is a defensive move to prevent users from abandoning Gong in favor of the native AI features of those platforms, ensuring that Gong remains the "source of truth" for conversational data even if the user interface is elsewhere.</w:t>
      </w:r>
    </w:p>
    <w:p w14:paraId="486293C0" w14:textId="77777777" w:rsidR="00607E1B" w:rsidRPr="00607E1B" w:rsidRDefault="00607E1B" w:rsidP="00607E1B">
      <w:pPr>
        <w:rPr>
          <w:b/>
          <w:bCs/>
          <w:lang w:val="en-IL"/>
        </w:rPr>
      </w:pPr>
      <w:r w:rsidRPr="00607E1B">
        <w:rPr>
          <w:b/>
          <w:bCs/>
          <w:lang w:val="en-IL"/>
        </w:rPr>
        <w:t>2.2 The Gong Collective: Expanding the Marketplace</w:t>
      </w:r>
    </w:p>
    <w:p w14:paraId="08CB05C5" w14:textId="77777777" w:rsidR="00607E1B" w:rsidRPr="00607E1B" w:rsidRDefault="00607E1B" w:rsidP="00607E1B">
      <w:pPr>
        <w:rPr>
          <w:lang w:val="en-IL"/>
        </w:rPr>
      </w:pPr>
      <w:r w:rsidRPr="00607E1B">
        <w:rPr>
          <w:lang w:val="en-IL"/>
        </w:rPr>
        <w:t xml:space="preserve">The </w:t>
      </w:r>
      <w:r w:rsidRPr="00607E1B">
        <w:rPr>
          <w:b/>
          <w:bCs/>
          <w:lang w:val="en-IL"/>
        </w:rPr>
        <w:t>Gong Collective</w:t>
      </w:r>
      <w:r w:rsidRPr="00607E1B">
        <w:rPr>
          <w:lang w:val="en-IL"/>
        </w:rPr>
        <w:t>—the company’s third-party app marketplace—has expanded to over 100 integrations, moving beyond simple data syncing to deep workflow embedding.</w:t>
      </w:r>
      <w:r w:rsidRPr="00607E1B">
        <w:rPr>
          <w:vertAlign w:val="superscript"/>
          <w:lang w:val="en-IL"/>
        </w:rPr>
        <w:t>15</w:t>
      </w:r>
    </w:p>
    <w:p w14:paraId="6FA901F3" w14:textId="77777777" w:rsidR="00607E1B" w:rsidRPr="00607E1B" w:rsidRDefault="00607E1B" w:rsidP="00607E1B">
      <w:pPr>
        <w:numPr>
          <w:ilvl w:val="0"/>
          <w:numId w:val="7"/>
        </w:numPr>
        <w:rPr>
          <w:lang w:val="en-IL"/>
        </w:rPr>
      </w:pPr>
      <w:r w:rsidRPr="00607E1B">
        <w:rPr>
          <w:b/>
          <w:bCs/>
          <w:lang w:val="en-IL"/>
        </w:rPr>
        <w:lastRenderedPageBreak/>
        <w:t>Product &amp; Engineering:</w:t>
      </w:r>
      <w:r w:rsidRPr="00607E1B">
        <w:rPr>
          <w:lang w:val="en-IL"/>
        </w:rPr>
        <w:t xml:space="preserve"> Integrations with tools like </w:t>
      </w:r>
      <w:r w:rsidRPr="00607E1B">
        <w:rPr>
          <w:b/>
          <w:bCs/>
          <w:lang w:val="en-IL"/>
        </w:rPr>
        <w:t>Joyn</w:t>
      </w:r>
      <w:r w:rsidRPr="00607E1B">
        <w:rPr>
          <w:lang w:val="en-IL"/>
        </w:rPr>
        <w:t xml:space="preserve">, </w:t>
      </w:r>
      <w:r w:rsidRPr="00607E1B">
        <w:rPr>
          <w:b/>
          <w:bCs/>
          <w:lang w:val="en-IL"/>
        </w:rPr>
        <w:t>Edgedive</w:t>
      </w:r>
      <w:r w:rsidRPr="00607E1B">
        <w:rPr>
          <w:lang w:val="en-IL"/>
        </w:rPr>
        <w:t xml:space="preserve">, and </w:t>
      </w:r>
      <w:r w:rsidRPr="00607E1B">
        <w:rPr>
          <w:b/>
          <w:bCs/>
          <w:lang w:val="en-IL"/>
        </w:rPr>
        <w:t>Productboard</w:t>
      </w:r>
      <w:r w:rsidRPr="00607E1B">
        <w:rPr>
          <w:lang w:val="en-IL"/>
        </w:rPr>
        <w:t xml:space="preserve"> allow product teams to tap into the "Voice of the Customer" without needing direct access to sales calls. These apps use Gong’s API to identify feature requests and bug reports in conversations and route them directly to </w:t>
      </w:r>
      <w:r w:rsidRPr="00607E1B">
        <w:rPr>
          <w:b/>
          <w:bCs/>
          <w:lang w:val="en-IL"/>
        </w:rPr>
        <w:t>Jira</w:t>
      </w:r>
      <w:r w:rsidRPr="00607E1B">
        <w:rPr>
          <w:lang w:val="en-IL"/>
        </w:rPr>
        <w:t xml:space="preserve"> or </w:t>
      </w:r>
      <w:r w:rsidRPr="00607E1B">
        <w:rPr>
          <w:b/>
          <w:bCs/>
          <w:lang w:val="en-IL"/>
        </w:rPr>
        <w:t>Linear</w:t>
      </w:r>
      <w:r w:rsidRPr="00607E1B">
        <w:rPr>
          <w:lang w:val="en-IL"/>
        </w:rPr>
        <w:t xml:space="preserve"> tickets. This cements Gong’s value across the R&amp;D function, making it harder to rip out.</w:t>
      </w:r>
      <w:r w:rsidRPr="00607E1B">
        <w:rPr>
          <w:vertAlign w:val="superscript"/>
          <w:lang w:val="en-IL"/>
        </w:rPr>
        <w:t>16</w:t>
      </w:r>
    </w:p>
    <w:p w14:paraId="41BCA7A3" w14:textId="77777777" w:rsidR="00607E1B" w:rsidRPr="00607E1B" w:rsidRDefault="00607E1B" w:rsidP="00607E1B">
      <w:pPr>
        <w:numPr>
          <w:ilvl w:val="0"/>
          <w:numId w:val="7"/>
        </w:numPr>
        <w:rPr>
          <w:lang w:val="en-IL"/>
        </w:rPr>
      </w:pPr>
      <w:r w:rsidRPr="00607E1B">
        <w:rPr>
          <w:b/>
          <w:bCs/>
          <w:lang w:val="en-IL"/>
        </w:rPr>
        <w:t>Collaboration:</w:t>
      </w:r>
      <w:r w:rsidRPr="00607E1B">
        <w:rPr>
          <w:lang w:val="en-IL"/>
        </w:rPr>
        <w:t xml:space="preserve"> The integration with </w:t>
      </w:r>
      <w:r w:rsidRPr="00607E1B">
        <w:rPr>
          <w:b/>
          <w:bCs/>
          <w:lang w:val="en-IL"/>
        </w:rPr>
        <w:t>Slack</w:t>
      </w:r>
      <w:r w:rsidRPr="00607E1B">
        <w:rPr>
          <w:lang w:val="en-IL"/>
        </w:rPr>
        <w:t xml:space="preserve"> and </w:t>
      </w:r>
      <w:r w:rsidRPr="00607E1B">
        <w:rPr>
          <w:b/>
          <w:bCs/>
          <w:lang w:val="en-IL"/>
        </w:rPr>
        <w:t>Momentum</w:t>
      </w:r>
      <w:r w:rsidRPr="00607E1B">
        <w:rPr>
          <w:lang w:val="en-IL"/>
        </w:rPr>
        <w:t xml:space="preserve"> facilitates "Deal Rooms." When a deal stage changes or a risk signal is detected (e.g., a negative sentiment pricing discussion), Gong pushes an alert to a dedicated Slack channel. Teams can then discuss strategy in the thread, and the summary of that internal discussion can be pushed back into the Gong timeline, creating a unified record of both external and internal deal activity.</w:t>
      </w:r>
      <w:r w:rsidRPr="00607E1B">
        <w:rPr>
          <w:vertAlign w:val="superscript"/>
          <w:lang w:val="en-IL"/>
        </w:rPr>
        <w:t>15</w:t>
      </w:r>
    </w:p>
    <w:p w14:paraId="7D77E277" w14:textId="77777777" w:rsidR="00607E1B" w:rsidRPr="00607E1B" w:rsidRDefault="00607E1B" w:rsidP="00607E1B">
      <w:pPr>
        <w:rPr>
          <w:b/>
          <w:bCs/>
          <w:lang w:val="en-IL"/>
        </w:rPr>
      </w:pPr>
      <w:r w:rsidRPr="00607E1B">
        <w:rPr>
          <w:b/>
          <w:bCs/>
          <w:lang w:val="en-IL"/>
        </w:rPr>
        <w:t>2.3 Regulatory Compliance: The EU AI Act and ISO 42001</w:t>
      </w:r>
    </w:p>
    <w:p w14:paraId="7B37EFA7" w14:textId="77777777" w:rsidR="00607E1B" w:rsidRPr="00607E1B" w:rsidRDefault="00607E1B" w:rsidP="00607E1B">
      <w:pPr>
        <w:rPr>
          <w:lang w:val="en-IL"/>
        </w:rPr>
      </w:pPr>
      <w:r w:rsidRPr="00607E1B">
        <w:rPr>
          <w:lang w:val="en-IL"/>
        </w:rPr>
        <w:t xml:space="preserve">As AI systems become more autonomous, they attract greater regulatory scrutiny. In 2026, the </w:t>
      </w:r>
      <w:r w:rsidRPr="00607E1B">
        <w:rPr>
          <w:b/>
          <w:bCs/>
          <w:lang w:val="en-IL"/>
        </w:rPr>
        <w:t>EU AI Act</w:t>
      </w:r>
      <w:r w:rsidRPr="00607E1B">
        <w:rPr>
          <w:lang w:val="en-IL"/>
        </w:rPr>
        <w:t xml:space="preserve"> is the dominant regulatory framework, with full compliance for high-risk systems required by August 2026.</w:t>
      </w:r>
      <w:r w:rsidRPr="00607E1B">
        <w:rPr>
          <w:vertAlign w:val="superscript"/>
          <w:lang w:val="en-IL"/>
        </w:rPr>
        <w:t>18</w:t>
      </w:r>
    </w:p>
    <w:p w14:paraId="2BF1E6C2" w14:textId="77777777" w:rsidR="00607E1B" w:rsidRPr="00607E1B" w:rsidRDefault="00607E1B" w:rsidP="00607E1B">
      <w:pPr>
        <w:rPr>
          <w:b/>
          <w:bCs/>
          <w:lang w:val="en-IL"/>
        </w:rPr>
      </w:pPr>
      <w:r w:rsidRPr="00607E1B">
        <w:rPr>
          <w:b/>
          <w:bCs/>
          <w:lang w:val="en-IL"/>
        </w:rPr>
        <w:t>2.3.1 Navigating the "High Risk" Designation</w:t>
      </w:r>
    </w:p>
    <w:p w14:paraId="7A2E7B83" w14:textId="77777777" w:rsidR="00607E1B" w:rsidRPr="00607E1B" w:rsidRDefault="00607E1B" w:rsidP="00607E1B">
      <w:pPr>
        <w:rPr>
          <w:lang w:val="en-IL"/>
        </w:rPr>
      </w:pPr>
      <w:r w:rsidRPr="00607E1B">
        <w:rPr>
          <w:lang w:val="en-IL"/>
        </w:rPr>
        <w:t>While most sales intelligence tools are not classified as "High Risk" (unlike AI used for hiring or credit scoring), the transparency requirements apply broadly. Gong has taken a proactive stance to turn compliance into a competitive moat.</w:t>
      </w:r>
    </w:p>
    <w:p w14:paraId="64454507" w14:textId="77777777" w:rsidR="00607E1B" w:rsidRPr="00607E1B" w:rsidRDefault="00607E1B" w:rsidP="00607E1B">
      <w:pPr>
        <w:numPr>
          <w:ilvl w:val="0"/>
          <w:numId w:val="8"/>
        </w:numPr>
        <w:rPr>
          <w:lang w:val="en-IL"/>
        </w:rPr>
      </w:pPr>
      <w:r w:rsidRPr="00607E1B">
        <w:rPr>
          <w:b/>
          <w:bCs/>
          <w:lang w:val="en-IL"/>
        </w:rPr>
        <w:t>ISO 42001 Certification:</w:t>
      </w:r>
      <w:r w:rsidRPr="00607E1B">
        <w:rPr>
          <w:lang w:val="en-IL"/>
        </w:rPr>
        <w:t xml:space="preserve"> In June 2025, Gong achieved </w:t>
      </w:r>
      <w:r w:rsidRPr="00607E1B">
        <w:rPr>
          <w:b/>
          <w:bCs/>
          <w:lang w:val="en-IL"/>
        </w:rPr>
        <w:t>ISO 42001</w:t>
      </w:r>
      <w:r w:rsidRPr="00607E1B">
        <w:rPr>
          <w:lang w:val="en-IL"/>
        </w:rPr>
        <w:t xml:space="preserve"> certification, the global standard for Artificial Intelligence Management Systems (AIMS). This certification validates that Gong has rigorous governance processes for how its models are developed, tested, and monitored for bias.</w:t>
      </w:r>
      <w:r w:rsidRPr="00607E1B">
        <w:rPr>
          <w:vertAlign w:val="superscript"/>
          <w:lang w:val="en-IL"/>
        </w:rPr>
        <w:t>20</w:t>
      </w:r>
    </w:p>
    <w:p w14:paraId="507601DF" w14:textId="77777777" w:rsidR="00607E1B" w:rsidRPr="00607E1B" w:rsidRDefault="00607E1B" w:rsidP="00607E1B">
      <w:pPr>
        <w:numPr>
          <w:ilvl w:val="0"/>
          <w:numId w:val="8"/>
        </w:numPr>
        <w:rPr>
          <w:lang w:val="en-IL"/>
        </w:rPr>
      </w:pPr>
      <w:r w:rsidRPr="00607E1B">
        <w:rPr>
          <w:b/>
          <w:bCs/>
          <w:lang w:val="en-IL"/>
        </w:rPr>
        <w:t>Transparency &amp; Model Cards:</w:t>
      </w:r>
      <w:r w:rsidRPr="00607E1B">
        <w:rPr>
          <w:lang w:val="en-IL"/>
        </w:rPr>
        <w:t xml:space="preserve"> Gong publishes "Transparency Cards" (similar to Model Cards) that disclose the nature of its AI models, the data used for training, and the limitations of the system. This level of disclosure is designed to satisfy the procurement and legal teams of large enterprises, who are increasingly risk-averse regarding "black box" AI.</w:t>
      </w:r>
      <w:r w:rsidRPr="00607E1B">
        <w:rPr>
          <w:vertAlign w:val="superscript"/>
          <w:lang w:val="en-IL"/>
        </w:rPr>
        <w:t>22</w:t>
      </w:r>
    </w:p>
    <w:p w14:paraId="5A32AA2B" w14:textId="77777777" w:rsidR="00607E1B" w:rsidRPr="00607E1B" w:rsidRDefault="00607E1B" w:rsidP="00607E1B">
      <w:pPr>
        <w:rPr>
          <w:b/>
          <w:bCs/>
          <w:lang w:val="en-IL"/>
        </w:rPr>
      </w:pPr>
      <w:r w:rsidRPr="00607E1B">
        <w:rPr>
          <w:b/>
          <w:bCs/>
          <w:lang w:val="en-IL"/>
        </w:rPr>
        <w:t>2.3.2 Data Privacy and Training</w:t>
      </w:r>
    </w:p>
    <w:p w14:paraId="64B70B83" w14:textId="77777777" w:rsidR="00607E1B" w:rsidRPr="00607E1B" w:rsidRDefault="00607E1B" w:rsidP="00607E1B">
      <w:pPr>
        <w:rPr>
          <w:lang w:val="en-IL"/>
        </w:rPr>
      </w:pPr>
      <w:r w:rsidRPr="00607E1B">
        <w:rPr>
          <w:lang w:val="en-IL"/>
        </w:rPr>
        <w:t xml:space="preserve">A critical concern for enterprises is whether their data is used to train models that might benefit competitors. Gong’s policy is explicit: </w:t>
      </w:r>
      <w:r w:rsidRPr="00607E1B">
        <w:rPr>
          <w:i/>
          <w:iCs/>
          <w:lang w:val="en-IL"/>
        </w:rPr>
        <w:t>Customer data is never used to train public generative models</w:t>
      </w:r>
      <w:r w:rsidRPr="00607E1B">
        <w:rPr>
          <w:lang w:val="en-IL"/>
        </w:rPr>
        <w:t xml:space="preserve"> (like the base models of OpenAI). It is used to tune Gong’s proprietary, domain-specific models, but with strict tenant isolation and opt-out capabilities. This distinction is vital for winning contracts in regulated industries like finance and healthcare.</w:t>
      </w:r>
      <w:r w:rsidRPr="00607E1B">
        <w:rPr>
          <w:vertAlign w:val="superscript"/>
          <w:lang w:val="en-IL"/>
        </w:rPr>
        <w:t>20</w:t>
      </w:r>
    </w:p>
    <w:p w14:paraId="5D417CE6" w14:textId="77777777" w:rsidR="00607E1B" w:rsidRPr="00607E1B" w:rsidRDefault="00607E1B" w:rsidP="00607E1B">
      <w:pPr>
        <w:rPr>
          <w:lang w:val="en-IL"/>
        </w:rPr>
      </w:pPr>
      <w:r w:rsidRPr="00607E1B">
        <w:rPr>
          <w:lang w:val="en-IL"/>
        </w:rPr>
        <w:lastRenderedPageBreak/>
        <w:pict w14:anchorId="614DC72C">
          <v:rect id="_x0000_i1069" style="width:0;height:1.5pt" o:hralign="center" o:hrstd="t" o:hrnoshade="t" o:hr="t" fillcolor="gray" stroked="f"/>
        </w:pict>
      </w:r>
    </w:p>
    <w:p w14:paraId="34617B5E" w14:textId="77777777" w:rsidR="00607E1B" w:rsidRPr="00607E1B" w:rsidRDefault="00607E1B" w:rsidP="00607E1B">
      <w:pPr>
        <w:rPr>
          <w:b/>
          <w:bCs/>
          <w:lang w:val="en-IL"/>
        </w:rPr>
      </w:pPr>
      <w:r w:rsidRPr="00607E1B">
        <w:rPr>
          <w:b/>
          <w:bCs/>
          <w:lang w:val="en-IL"/>
        </w:rPr>
        <w:t>3. Financials &amp; Market Dominance: The Valuation Correction and Growth Reality</w:t>
      </w:r>
    </w:p>
    <w:p w14:paraId="1AC689A3" w14:textId="77777777" w:rsidR="00607E1B" w:rsidRPr="00607E1B" w:rsidRDefault="00607E1B" w:rsidP="00607E1B">
      <w:pPr>
        <w:rPr>
          <w:lang w:val="en-IL"/>
        </w:rPr>
      </w:pPr>
      <w:r w:rsidRPr="00607E1B">
        <w:rPr>
          <w:lang w:val="en-IL"/>
        </w:rPr>
        <w:t>The financial narrative of Gong in 2026 is one of maturation and recalibration. The company has successfully scaled to meaningful revenue but faces the challenge of sustaining high growth in a saturated and budget-constrained market.</w:t>
      </w:r>
    </w:p>
    <w:p w14:paraId="4D9AE670" w14:textId="77777777" w:rsidR="00607E1B" w:rsidRPr="00607E1B" w:rsidRDefault="00607E1B" w:rsidP="00607E1B">
      <w:pPr>
        <w:rPr>
          <w:b/>
          <w:bCs/>
          <w:lang w:val="en-IL"/>
        </w:rPr>
      </w:pPr>
      <w:r w:rsidRPr="00607E1B">
        <w:rPr>
          <w:b/>
          <w:bCs/>
          <w:lang w:val="en-IL"/>
        </w:rPr>
        <w:t>3.1 Valuation Dynamics: The $4.5 Billion Reality</w:t>
      </w:r>
    </w:p>
    <w:p w14:paraId="4A8747AE" w14:textId="77777777" w:rsidR="00607E1B" w:rsidRPr="00607E1B" w:rsidRDefault="00607E1B" w:rsidP="00607E1B">
      <w:pPr>
        <w:rPr>
          <w:lang w:val="en-IL"/>
        </w:rPr>
      </w:pPr>
      <w:r w:rsidRPr="00607E1B">
        <w:rPr>
          <w:lang w:val="en-IL"/>
        </w:rPr>
        <w:t>The most stark data point in Gong’s 2026 financial profile is its valuation correction.</w:t>
      </w:r>
    </w:p>
    <w:p w14:paraId="42D5B4C1" w14:textId="77777777" w:rsidR="00607E1B" w:rsidRPr="00607E1B" w:rsidRDefault="00607E1B" w:rsidP="00607E1B">
      <w:pPr>
        <w:numPr>
          <w:ilvl w:val="0"/>
          <w:numId w:val="9"/>
        </w:numPr>
        <w:rPr>
          <w:lang w:val="en-IL"/>
        </w:rPr>
      </w:pPr>
      <w:r w:rsidRPr="00607E1B">
        <w:rPr>
          <w:b/>
          <w:bCs/>
          <w:lang w:val="en-IL"/>
        </w:rPr>
        <w:t>Peak vs. Present:</w:t>
      </w:r>
      <w:r w:rsidRPr="00607E1B">
        <w:rPr>
          <w:lang w:val="en-IL"/>
        </w:rPr>
        <w:t xml:space="preserve"> In 2021, Gong raised $250 million at a </w:t>
      </w:r>
      <w:r w:rsidRPr="00607E1B">
        <w:rPr>
          <w:b/>
          <w:bCs/>
          <w:lang w:val="en-IL"/>
        </w:rPr>
        <w:t>$7.25 billion</w:t>
      </w:r>
      <w:r w:rsidRPr="00607E1B">
        <w:rPr>
          <w:lang w:val="en-IL"/>
        </w:rPr>
        <w:t xml:space="preserve"> valuation. By late 2025 and early 2026, secondary market transactions and internal repricing placed the valuation at approximately </w:t>
      </w:r>
      <w:r w:rsidRPr="00607E1B">
        <w:rPr>
          <w:b/>
          <w:bCs/>
          <w:lang w:val="en-IL"/>
        </w:rPr>
        <w:t>$4.5 billion</w:t>
      </w:r>
      <w:r w:rsidRPr="00607E1B">
        <w:rPr>
          <w:lang w:val="en-IL"/>
        </w:rPr>
        <w:t>.</w:t>
      </w:r>
      <w:r w:rsidRPr="00607E1B">
        <w:rPr>
          <w:vertAlign w:val="superscript"/>
          <w:lang w:val="en-IL"/>
        </w:rPr>
        <w:t>1</w:t>
      </w:r>
    </w:p>
    <w:p w14:paraId="1B842216" w14:textId="77777777" w:rsidR="00607E1B" w:rsidRPr="00607E1B" w:rsidRDefault="00607E1B" w:rsidP="00607E1B">
      <w:pPr>
        <w:numPr>
          <w:ilvl w:val="0"/>
          <w:numId w:val="9"/>
        </w:numPr>
        <w:rPr>
          <w:lang w:val="en-IL"/>
        </w:rPr>
      </w:pPr>
      <w:r w:rsidRPr="00607E1B">
        <w:rPr>
          <w:b/>
          <w:bCs/>
          <w:lang w:val="en-IL"/>
        </w:rPr>
        <w:t>Context of Correction:</w:t>
      </w:r>
      <w:r w:rsidRPr="00607E1B">
        <w:rPr>
          <w:lang w:val="en-IL"/>
        </w:rPr>
        <w:t xml:space="preserve"> This 38% decline is not unique to Gong; it mirrors the broader SaaS sector correction where revenue multiples compressed from 50x-100x ARR to more rational 10x-15x levels. However, it signals that the market no longer views Gong as a "hyper-growth" anomaly but as a maturing enterprise software company.</w:t>
      </w:r>
    </w:p>
    <w:p w14:paraId="371C74E4" w14:textId="77777777" w:rsidR="00607E1B" w:rsidRPr="00607E1B" w:rsidRDefault="00607E1B" w:rsidP="00607E1B">
      <w:pPr>
        <w:rPr>
          <w:b/>
          <w:bCs/>
          <w:lang w:val="en-IL"/>
        </w:rPr>
      </w:pPr>
      <w:r w:rsidRPr="00607E1B">
        <w:rPr>
          <w:b/>
          <w:bCs/>
          <w:lang w:val="en-IL"/>
        </w:rPr>
        <w:t>3.2 Revenue Growth and IPO Outlook</w:t>
      </w:r>
    </w:p>
    <w:p w14:paraId="59BD32EE" w14:textId="77777777" w:rsidR="00607E1B" w:rsidRPr="00607E1B" w:rsidRDefault="00607E1B" w:rsidP="00607E1B">
      <w:pPr>
        <w:numPr>
          <w:ilvl w:val="0"/>
          <w:numId w:val="10"/>
        </w:numPr>
        <w:rPr>
          <w:lang w:val="en-IL"/>
        </w:rPr>
      </w:pPr>
      <w:r w:rsidRPr="00607E1B">
        <w:rPr>
          <w:b/>
          <w:bCs/>
          <w:lang w:val="en-IL"/>
        </w:rPr>
        <w:t>ARR Milestones:</w:t>
      </w:r>
      <w:r w:rsidRPr="00607E1B">
        <w:rPr>
          <w:lang w:val="en-IL"/>
        </w:rPr>
        <w:t xml:space="preserve"> Gong surpassed </w:t>
      </w:r>
      <w:r w:rsidRPr="00607E1B">
        <w:rPr>
          <w:b/>
          <w:bCs/>
          <w:lang w:val="en-IL"/>
        </w:rPr>
        <w:t>$300 million in ARR</w:t>
      </w:r>
      <w:r w:rsidRPr="00607E1B">
        <w:rPr>
          <w:lang w:val="en-IL"/>
        </w:rPr>
        <w:t xml:space="preserve"> by early 2025.</w:t>
      </w:r>
      <w:r w:rsidRPr="00607E1B">
        <w:rPr>
          <w:vertAlign w:val="superscript"/>
          <w:lang w:val="en-IL"/>
        </w:rPr>
        <w:t>1</w:t>
      </w:r>
      <w:r w:rsidRPr="00607E1B">
        <w:rPr>
          <w:lang w:val="en-IL"/>
        </w:rPr>
        <w:t xml:space="preserve"> This scale places it firmly in the "IPO-ready" category.</w:t>
      </w:r>
    </w:p>
    <w:p w14:paraId="4A57C813" w14:textId="77777777" w:rsidR="00607E1B" w:rsidRPr="00607E1B" w:rsidRDefault="00607E1B" w:rsidP="00607E1B">
      <w:pPr>
        <w:numPr>
          <w:ilvl w:val="0"/>
          <w:numId w:val="10"/>
        </w:numPr>
        <w:rPr>
          <w:lang w:val="en-IL"/>
        </w:rPr>
      </w:pPr>
      <w:r w:rsidRPr="00607E1B">
        <w:rPr>
          <w:b/>
          <w:bCs/>
          <w:lang w:val="en-IL"/>
        </w:rPr>
        <w:t>Growth Deceleration:</w:t>
      </w:r>
      <w:r w:rsidRPr="00607E1B">
        <w:rPr>
          <w:lang w:val="en-IL"/>
        </w:rPr>
        <w:t xml:space="preserve"> The "State of Revenue AI 2026" report indicates that average revenue growth across the sector slowed to </w:t>
      </w:r>
      <w:r w:rsidRPr="00607E1B">
        <w:rPr>
          <w:b/>
          <w:bCs/>
          <w:lang w:val="en-IL"/>
        </w:rPr>
        <w:t>16%</w:t>
      </w:r>
      <w:r w:rsidRPr="00607E1B">
        <w:rPr>
          <w:lang w:val="en-IL"/>
        </w:rPr>
        <w:t xml:space="preserve"> in 2025.</w:t>
      </w:r>
      <w:r w:rsidRPr="00607E1B">
        <w:rPr>
          <w:vertAlign w:val="superscript"/>
          <w:lang w:val="en-IL"/>
        </w:rPr>
        <w:t>3</w:t>
      </w:r>
      <w:r w:rsidRPr="00607E1B">
        <w:rPr>
          <w:lang w:val="en-IL"/>
        </w:rPr>
        <w:t xml:space="preserve"> While Gong likely outperforms this average, the days of doubling revenue annually (100% YoY growth) are over. The focus has shifted to "efficient growth"—balancing revenue expansion with profitability and cash flow.</w:t>
      </w:r>
    </w:p>
    <w:p w14:paraId="24A36529" w14:textId="77777777" w:rsidR="00607E1B" w:rsidRPr="00607E1B" w:rsidRDefault="00607E1B" w:rsidP="00607E1B">
      <w:pPr>
        <w:numPr>
          <w:ilvl w:val="0"/>
          <w:numId w:val="10"/>
        </w:numPr>
        <w:rPr>
          <w:lang w:val="en-IL"/>
        </w:rPr>
      </w:pPr>
      <w:r w:rsidRPr="00607E1B">
        <w:rPr>
          <w:b/>
          <w:bCs/>
          <w:lang w:val="en-IL"/>
        </w:rPr>
        <w:t>The "Rule of 40":</w:t>
      </w:r>
      <w:r w:rsidRPr="00607E1B">
        <w:rPr>
          <w:lang w:val="en-IL"/>
        </w:rPr>
        <w:t xml:space="preserve"> For a successful IPO in 2026, investors demand adherence to the Rule of 40 (Growth Rate + Profit Margin &gt; 40%). Gong’s delayed IPO suggests management is optimizing this ratio, likely by cutting burn and focusing on upselling existing enterprise customers rather than expensive new logo acquisition.</w:t>
      </w:r>
      <w:r w:rsidRPr="00607E1B">
        <w:rPr>
          <w:vertAlign w:val="superscript"/>
          <w:lang w:val="en-IL"/>
        </w:rPr>
        <w:t>24</w:t>
      </w:r>
    </w:p>
    <w:p w14:paraId="2B6C8AB8" w14:textId="77777777" w:rsidR="00607E1B" w:rsidRPr="00607E1B" w:rsidRDefault="00607E1B" w:rsidP="00607E1B">
      <w:pPr>
        <w:rPr>
          <w:b/>
          <w:bCs/>
          <w:lang w:val="en-IL"/>
        </w:rPr>
      </w:pPr>
      <w:r w:rsidRPr="00607E1B">
        <w:rPr>
          <w:b/>
          <w:bCs/>
          <w:lang w:val="en-IL"/>
        </w:rPr>
        <w:t>3.3 Competitive Market Share and Churn</w:t>
      </w:r>
    </w:p>
    <w:p w14:paraId="7E1290DA" w14:textId="77777777" w:rsidR="00607E1B" w:rsidRPr="00607E1B" w:rsidRDefault="00607E1B" w:rsidP="00607E1B">
      <w:pPr>
        <w:rPr>
          <w:lang w:val="en-IL"/>
        </w:rPr>
      </w:pPr>
      <w:r w:rsidRPr="00607E1B">
        <w:rPr>
          <w:lang w:val="en-IL"/>
        </w:rPr>
        <w:t>Gong maintains the leading market share in the "Revenue Action Orchestration" category, but it is a leaky bucket at the lower end of the market.</w:t>
      </w:r>
    </w:p>
    <w:p w14:paraId="294BFD7F" w14:textId="77777777" w:rsidR="00607E1B" w:rsidRPr="00607E1B" w:rsidRDefault="00607E1B" w:rsidP="00607E1B">
      <w:pPr>
        <w:numPr>
          <w:ilvl w:val="0"/>
          <w:numId w:val="11"/>
        </w:numPr>
        <w:rPr>
          <w:lang w:val="en-IL"/>
        </w:rPr>
      </w:pPr>
      <w:r w:rsidRPr="00607E1B">
        <w:rPr>
          <w:b/>
          <w:bCs/>
          <w:lang w:val="en-IL"/>
        </w:rPr>
        <w:t>Enterprise Stickiness:</w:t>
      </w:r>
      <w:r w:rsidRPr="00607E1B">
        <w:rPr>
          <w:lang w:val="en-IL"/>
        </w:rPr>
        <w:t xml:space="preserve"> In the enterprise segment (Fortune 500), Gong is sticky. The integration depth, compliance certifications, and "Revenue OS" positioning make it hard to displace.</w:t>
      </w:r>
    </w:p>
    <w:p w14:paraId="6348C62E" w14:textId="77777777" w:rsidR="00607E1B" w:rsidRPr="00607E1B" w:rsidRDefault="00607E1B" w:rsidP="00607E1B">
      <w:pPr>
        <w:numPr>
          <w:ilvl w:val="0"/>
          <w:numId w:val="11"/>
        </w:numPr>
        <w:rPr>
          <w:lang w:val="en-IL"/>
        </w:rPr>
      </w:pPr>
      <w:r w:rsidRPr="00607E1B">
        <w:rPr>
          <w:b/>
          <w:bCs/>
          <w:lang w:val="en-IL"/>
        </w:rPr>
        <w:lastRenderedPageBreak/>
        <w:t>Mid-Market Churn:</w:t>
      </w:r>
      <w:r w:rsidRPr="00607E1B">
        <w:rPr>
          <w:lang w:val="en-IL"/>
        </w:rPr>
        <w:t xml:space="preserve"> In the SMB and Mid-Market, churn is a visible threat. Competitors like </w:t>
      </w:r>
      <w:r w:rsidRPr="00607E1B">
        <w:rPr>
          <w:b/>
          <w:bCs/>
          <w:lang w:val="en-IL"/>
        </w:rPr>
        <w:t>ZoomInfo (Chorus)</w:t>
      </w:r>
      <w:r w:rsidRPr="00607E1B">
        <w:rPr>
          <w:lang w:val="en-IL"/>
        </w:rPr>
        <w:t xml:space="preserve"> leverage bundling to undercut Gong. A company already paying $50,000 for ZoomInfo data can often add Chorus for a fraction of the cost of a standalone Gong contract.</w:t>
      </w:r>
      <w:r w:rsidRPr="00607E1B">
        <w:rPr>
          <w:vertAlign w:val="superscript"/>
          <w:lang w:val="en-IL"/>
        </w:rPr>
        <w:t>4</w:t>
      </w:r>
    </w:p>
    <w:p w14:paraId="79E7B2C4" w14:textId="77777777" w:rsidR="00607E1B" w:rsidRPr="00607E1B" w:rsidRDefault="00607E1B" w:rsidP="00607E1B">
      <w:pPr>
        <w:numPr>
          <w:ilvl w:val="0"/>
          <w:numId w:val="11"/>
        </w:numPr>
        <w:rPr>
          <w:lang w:val="en-IL"/>
        </w:rPr>
      </w:pPr>
      <w:r w:rsidRPr="00607E1B">
        <w:rPr>
          <w:b/>
          <w:bCs/>
          <w:lang w:val="en-IL"/>
        </w:rPr>
        <w:t>Downsizing:</w:t>
      </w:r>
      <w:r w:rsidRPr="00607E1B">
        <w:rPr>
          <w:lang w:val="en-IL"/>
        </w:rPr>
        <w:t xml:space="preserve"> "Downsizing" news indicates that while companies aren't fully ripping out Gong, they are optimizing license counts. Instead of giving a license to every rep, they may restrict it to AEs, while SDRs use cheaper tools. This "seat compression" is a major headwind for Gong’s per-user pricing model.</w:t>
      </w:r>
      <w:r w:rsidRPr="00607E1B">
        <w:rPr>
          <w:vertAlign w:val="superscript"/>
          <w:lang w:val="en-IL"/>
        </w:rPr>
        <w:t>5</w:t>
      </w:r>
    </w:p>
    <w:p w14:paraId="48C20429" w14:textId="77777777" w:rsidR="00607E1B" w:rsidRPr="00607E1B" w:rsidRDefault="00607E1B" w:rsidP="00607E1B">
      <w:pPr>
        <w:rPr>
          <w:b/>
          <w:bCs/>
          <w:lang w:val="en-IL"/>
        </w:rPr>
      </w:pPr>
      <w:r w:rsidRPr="00607E1B">
        <w:rPr>
          <w:b/>
          <w:bCs/>
          <w:lang w:val="en-IL"/>
        </w:rPr>
        <w:t>3.4 Pricing Analysis: The "Gong Tax"</w:t>
      </w:r>
    </w:p>
    <w:p w14:paraId="56267594" w14:textId="77777777" w:rsidR="00607E1B" w:rsidRPr="00607E1B" w:rsidRDefault="00607E1B" w:rsidP="00607E1B">
      <w:pPr>
        <w:rPr>
          <w:lang w:val="en-IL"/>
        </w:rPr>
      </w:pPr>
      <w:r w:rsidRPr="00607E1B">
        <w:rPr>
          <w:lang w:val="en-IL"/>
        </w:rPr>
        <w:t>Gong’s pricing strategy is a double-edged sword. It is positioned as a premium product, but this invites undercutters.</w:t>
      </w:r>
    </w:p>
    <w:p w14:paraId="1C79A30F" w14:textId="77777777" w:rsidR="00607E1B" w:rsidRPr="00607E1B" w:rsidRDefault="00607E1B" w:rsidP="00607E1B">
      <w:pPr>
        <w:numPr>
          <w:ilvl w:val="0"/>
          <w:numId w:val="12"/>
        </w:numPr>
        <w:rPr>
          <w:lang w:val="en-IL"/>
        </w:rPr>
      </w:pPr>
      <w:r w:rsidRPr="00607E1B">
        <w:rPr>
          <w:b/>
          <w:bCs/>
          <w:lang w:val="en-IL"/>
        </w:rPr>
        <w:t>Pricing Structure:</w:t>
      </w:r>
      <w:r w:rsidRPr="00607E1B">
        <w:rPr>
          <w:lang w:val="en-IL"/>
        </w:rPr>
        <w:t xml:space="preserve"> The typical cost involves a </w:t>
      </w:r>
      <w:r w:rsidRPr="00607E1B">
        <w:rPr>
          <w:b/>
          <w:bCs/>
          <w:lang w:val="en-IL"/>
        </w:rPr>
        <w:t>Platform Fee</w:t>
      </w:r>
      <w:r w:rsidRPr="00607E1B">
        <w:rPr>
          <w:lang w:val="en-IL"/>
        </w:rPr>
        <w:t xml:space="preserve"> (ranging from $5k to $50k) plus a per-user license fee of </w:t>
      </w:r>
      <w:r w:rsidRPr="00607E1B">
        <w:rPr>
          <w:b/>
          <w:bCs/>
          <w:lang w:val="en-IL"/>
        </w:rPr>
        <w:t>$1,200 to $1,600 per year</w:t>
      </w:r>
      <w:r w:rsidRPr="00607E1B">
        <w:rPr>
          <w:lang w:val="en-IL"/>
        </w:rPr>
        <w:t>.</w:t>
      </w:r>
      <w:r w:rsidRPr="00607E1B">
        <w:rPr>
          <w:vertAlign w:val="superscript"/>
          <w:lang w:val="en-IL"/>
        </w:rPr>
        <w:t>5</w:t>
      </w:r>
    </w:p>
    <w:p w14:paraId="01712655" w14:textId="77777777" w:rsidR="00607E1B" w:rsidRPr="00607E1B" w:rsidRDefault="00607E1B" w:rsidP="00607E1B">
      <w:pPr>
        <w:numPr>
          <w:ilvl w:val="0"/>
          <w:numId w:val="12"/>
        </w:numPr>
        <w:rPr>
          <w:lang w:val="en-IL"/>
        </w:rPr>
      </w:pPr>
      <w:r w:rsidRPr="00607E1B">
        <w:rPr>
          <w:b/>
          <w:bCs/>
          <w:lang w:val="en-IL"/>
        </w:rPr>
        <w:t>The "Seat Tax":</w:t>
      </w:r>
      <w:r w:rsidRPr="00607E1B">
        <w:rPr>
          <w:lang w:val="en-IL"/>
        </w:rPr>
        <w:t xml:space="preserve"> Buyers frequently complain about the "Seat Tax." For a small team of 10, the effective cost per user can skyrocket to over $200/month due to the platform fee floor. This makes Gong economically unviable for early-stage startups, who flock to alternatives like </w:t>
      </w:r>
      <w:r w:rsidRPr="00607E1B">
        <w:rPr>
          <w:b/>
          <w:bCs/>
          <w:lang w:val="en-IL"/>
        </w:rPr>
        <w:t>tldv</w:t>
      </w:r>
      <w:r w:rsidRPr="00607E1B">
        <w:rPr>
          <w:lang w:val="en-IL"/>
        </w:rPr>
        <w:t xml:space="preserve"> or </w:t>
      </w:r>
      <w:r w:rsidRPr="00607E1B">
        <w:rPr>
          <w:b/>
          <w:bCs/>
          <w:lang w:val="en-IL"/>
        </w:rPr>
        <w:t>Fireflies</w:t>
      </w:r>
      <w:r w:rsidRPr="00607E1B">
        <w:rPr>
          <w:lang w:val="en-IL"/>
        </w:rPr>
        <w:t>.</w:t>
      </w:r>
      <w:r w:rsidRPr="00607E1B">
        <w:rPr>
          <w:vertAlign w:val="superscript"/>
          <w:lang w:val="en-IL"/>
        </w:rPr>
        <w:t>26</w:t>
      </w:r>
    </w:p>
    <w:p w14:paraId="6CD840FA" w14:textId="77777777" w:rsidR="00607E1B" w:rsidRPr="00607E1B" w:rsidRDefault="00607E1B" w:rsidP="00607E1B">
      <w:pPr>
        <w:rPr>
          <w:lang w:val="en-IL"/>
        </w:rPr>
      </w:pPr>
      <w:r w:rsidRPr="00607E1B">
        <w:rPr>
          <w:lang w:val="en-IL"/>
        </w:rPr>
        <w:pict w14:anchorId="7FDEC00B">
          <v:rect id="_x0000_i1070" style="width:0;height:1.5pt" o:hralign="center" o:hrstd="t" o:hrnoshade="t" o:hr="t" fillcolor="gray" stroked="f"/>
        </w:pict>
      </w:r>
    </w:p>
    <w:p w14:paraId="3F419635" w14:textId="77777777" w:rsidR="00607E1B" w:rsidRPr="00607E1B" w:rsidRDefault="00607E1B" w:rsidP="00607E1B">
      <w:pPr>
        <w:rPr>
          <w:b/>
          <w:bCs/>
          <w:lang w:val="en-IL"/>
        </w:rPr>
      </w:pPr>
      <w:r w:rsidRPr="00607E1B">
        <w:rPr>
          <w:b/>
          <w:bCs/>
          <w:lang w:val="en-IL"/>
        </w:rPr>
        <w:t>4. The "Wrapper" &amp; User Experience: Persona Expansion</w:t>
      </w:r>
    </w:p>
    <w:p w14:paraId="522C371C" w14:textId="77777777" w:rsidR="00607E1B" w:rsidRPr="00607E1B" w:rsidRDefault="00607E1B" w:rsidP="00607E1B">
      <w:pPr>
        <w:rPr>
          <w:lang w:val="en-IL"/>
        </w:rPr>
      </w:pPr>
      <w:r w:rsidRPr="00607E1B">
        <w:rPr>
          <w:lang w:val="en-IL"/>
        </w:rPr>
        <w:t>To combat seat compression and justify its platform fees, Gong has aggressively expanded its utility beyond the sales department. The 2026 "Wrapper"—the user interface and experience—is designed to serve a multi-persona audience, effectively taxing the entire revenue organization rather than just the sales team.</w:t>
      </w:r>
    </w:p>
    <w:p w14:paraId="054B0E6F" w14:textId="77777777" w:rsidR="00607E1B" w:rsidRPr="00607E1B" w:rsidRDefault="00607E1B" w:rsidP="00607E1B">
      <w:pPr>
        <w:rPr>
          <w:b/>
          <w:bCs/>
          <w:lang w:val="en-IL"/>
        </w:rPr>
      </w:pPr>
      <w:r w:rsidRPr="00607E1B">
        <w:rPr>
          <w:b/>
          <w:bCs/>
          <w:lang w:val="en-IL"/>
        </w:rPr>
        <w:t>4.1 The Multi-Persona Strategy</w:t>
      </w:r>
    </w:p>
    <w:p w14:paraId="2B7562F6" w14:textId="77777777" w:rsidR="00607E1B" w:rsidRPr="00607E1B" w:rsidRDefault="00607E1B" w:rsidP="00607E1B">
      <w:pPr>
        <w:rPr>
          <w:b/>
          <w:bCs/>
          <w:lang w:val="en-IL"/>
        </w:rPr>
      </w:pPr>
      <w:r w:rsidRPr="00607E1B">
        <w:rPr>
          <w:b/>
          <w:bCs/>
          <w:lang w:val="en-IL"/>
        </w:rPr>
        <w:t>4.1.1 Product Managers: The "Voice of Reality"</w:t>
      </w:r>
    </w:p>
    <w:p w14:paraId="51623867" w14:textId="77777777" w:rsidR="00607E1B" w:rsidRPr="00607E1B" w:rsidRDefault="00607E1B" w:rsidP="00607E1B">
      <w:pPr>
        <w:rPr>
          <w:lang w:val="en-IL"/>
        </w:rPr>
      </w:pPr>
      <w:r w:rsidRPr="00607E1B">
        <w:rPr>
          <w:lang w:val="en-IL"/>
        </w:rPr>
        <w:t>For Product Managers (PMs), Gong has transformed from a curiosity to a primary research tool.</w:t>
      </w:r>
    </w:p>
    <w:p w14:paraId="401ABABC" w14:textId="77777777" w:rsidR="00607E1B" w:rsidRPr="00607E1B" w:rsidRDefault="00607E1B" w:rsidP="00607E1B">
      <w:pPr>
        <w:numPr>
          <w:ilvl w:val="0"/>
          <w:numId w:val="13"/>
        </w:numPr>
        <w:rPr>
          <w:lang w:val="en-IL"/>
        </w:rPr>
      </w:pPr>
      <w:r w:rsidRPr="00607E1B">
        <w:rPr>
          <w:b/>
          <w:bCs/>
          <w:lang w:val="en-IL"/>
        </w:rPr>
        <w:t>Feature Request Extraction:</w:t>
      </w:r>
      <w:r w:rsidRPr="00607E1B">
        <w:rPr>
          <w:lang w:val="en-IL"/>
        </w:rPr>
        <w:t xml:space="preserve"> Integration with </w:t>
      </w:r>
      <w:r w:rsidRPr="00607E1B">
        <w:rPr>
          <w:b/>
          <w:bCs/>
          <w:lang w:val="en-IL"/>
        </w:rPr>
        <w:t>Productboard</w:t>
      </w:r>
      <w:r w:rsidRPr="00607E1B">
        <w:rPr>
          <w:lang w:val="en-IL"/>
        </w:rPr>
        <w:t xml:space="preserve"> and </w:t>
      </w:r>
      <w:r w:rsidRPr="00607E1B">
        <w:rPr>
          <w:b/>
          <w:bCs/>
          <w:lang w:val="en-IL"/>
        </w:rPr>
        <w:t>Jira</w:t>
      </w:r>
      <w:r w:rsidRPr="00607E1B">
        <w:rPr>
          <w:lang w:val="en-IL"/>
        </w:rPr>
        <w:t xml:space="preserve"> allows PMs to see the "revenue impact" of feature requests. Instead of prioritizing based on intuition, a PM can see that "Feature X" was mentioned in 50 closed-lost deals worth $2M in pipeline.</w:t>
      </w:r>
    </w:p>
    <w:p w14:paraId="5C7A86AD" w14:textId="77777777" w:rsidR="00607E1B" w:rsidRPr="00607E1B" w:rsidRDefault="00607E1B" w:rsidP="00607E1B">
      <w:pPr>
        <w:numPr>
          <w:ilvl w:val="0"/>
          <w:numId w:val="13"/>
        </w:numPr>
        <w:rPr>
          <w:lang w:val="en-IL"/>
        </w:rPr>
      </w:pPr>
      <w:r w:rsidRPr="00607E1B">
        <w:rPr>
          <w:b/>
          <w:bCs/>
          <w:lang w:val="en-IL"/>
        </w:rPr>
        <w:t>Market Feedback:</w:t>
      </w:r>
      <w:r w:rsidRPr="00607E1B">
        <w:rPr>
          <w:lang w:val="en-IL"/>
        </w:rPr>
        <w:t xml:space="preserve"> The </w:t>
      </w:r>
      <w:r w:rsidRPr="00607E1B">
        <w:rPr>
          <w:b/>
          <w:bCs/>
          <w:lang w:val="en-IL"/>
        </w:rPr>
        <w:t>AI Theme Spotter</w:t>
      </w:r>
      <w:r w:rsidRPr="00607E1B">
        <w:rPr>
          <w:lang w:val="en-IL"/>
        </w:rPr>
        <w:t xml:space="preserve"> allows PMs to track sentiment around new launches. If a new UI is released, the PM can track the keyword "new interface" and analyze whether the sentiment is positive or negative across thousands of calls instantly.</w:t>
      </w:r>
      <w:r w:rsidRPr="00607E1B">
        <w:rPr>
          <w:vertAlign w:val="superscript"/>
          <w:lang w:val="en-IL"/>
        </w:rPr>
        <w:t>9</w:t>
      </w:r>
    </w:p>
    <w:p w14:paraId="638D8685" w14:textId="77777777" w:rsidR="00607E1B" w:rsidRPr="00607E1B" w:rsidRDefault="00607E1B" w:rsidP="00607E1B">
      <w:pPr>
        <w:rPr>
          <w:b/>
          <w:bCs/>
          <w:lang w:val="en-IL"/>
        </w:rPr>
      </w:pPr>
      <w:r w:rsidRPr="00607E1B">
        <w:rPr>
          <w:b/>
          <w:bCs/>
          <w:lang w:val="en-IL"/>
        </w:rPr>
        <w:lastRenderedPageBreak/>
        <w:t>4.1.2 Marketing: Validating the Message</w:t>
      </w:r>
    </w:p>
    <w:p w14:paraId="476E76D4" w14:textId="77777777" w:rsidR="00607E1B" w:rsidRPr="00607E1B" w:rsidRDefault="00607E1B" w:rsidP="00607E1B">
      <w:pPr>
        <w:rPr>
          <w:lang w:val="en-IL"/>
        </w:rPr>
      </w:pPr>
      <w:r w:rsidRPr="00607E1B">
        <w:rPr>
          <w:lang w:val="en-IL"/>
        </w:rPr>
        <w:t>For Marketers, Gong provides the feedback loop that has always been missing.</w:t>
      </w:r>
    </w:p>
    <w:p w14:paraId="73D18D09" w14:textId="77777777" w:rsidR="00607E1B" w:rsidRPr="00607E1B" w:rsidRDefault="00607E1B" w:rsidP="00607E1B">
      <w:pPr>
        <w:numPr>
          <w:ilvl w:val="0"/>
          <w:numId w:val="14"/>
        </w:numPr>
        <w:rPr>
          <w:lang w:val="en-IL"/>
        </w:rPr>
      </w:pPr>
      <w:r w:rsidRPr="00607E1B">
        <w:rPr>
          <w:b/>
          <w:bCs/>
          <w:lang w:val="en-IL"/>
        </w:rPr>
        <w:t>Message Resonance:</w:t>
      </w:r>
      <w:r w:rsidRPr="00607E1B">
        <w:rPr>
          <w:lang w:val="en-IL"/>
        </w:rPr>
        <w:t xml:space="preserve"> Marketers use </w:t>
      </w:r>
      <w:r w:rsidRPr="00607E1B">
        <w:rPr>
          <w:b/>
          <w:bCs/>
          <w:lang w:val="en-IL"/>
        </w:rPr>
        <w:t>AI Ask Anything</w:t>
      </w:r>
      <w:r w:rsidRPr="00607E1B">
        <w:rPr>
          <w:lang w:val="en-IL"/>
        </w:rPr>
        <w:t xml:space="preserve"> to query: </w:t>
      </w:r>
      <w:r w:rsidRPr="00607E1B">
        <w:rPr>
          <w:i/>
          <w:iCs/>
          <w:lang w:val="en-IL"/>
        </w:rPr>
        <w:t>"Are reps using the new 'Security First' slide deck, and how are prospects reacting to it?"</w:t>
      </w:r>
      <w:r w:rsidRPr="00607E1B">
        <w:rPr>
          <w:lang w:val="en-IL"/>
        </w:rPr>
        <w:t xml:space="preserve"> This validates whether enablement materials are actually landing in the field.</w:t>
      </w:r>
    </w:p>
    <w:p w14:paraId="491C934C" w14:textId="77777777" w:rsidR="00607E1B" w:rsidRPr="00607E1B" w:rsidRDefault="00607E1B" w:rsidP="00607E1B">
      <w:pPr>
        <w:numPr>
          <w:ilvl w:val="0"/>
          <w:numId w:val="14"/>
        </w:numPr>
        <w:rPr>
          <w:lang w:val="en-IL"/>
        </w:rPr>
      </w:pPr>
      <w:r w:rsidRPr="00607E1B">
        <w:rPr>
          <w:b/>
          <w:bCs/>
          <w:lang w:val="en-IL"/>
        </w:rPr>
        <w:t>Competitor Intelligence:</w:t>
      </w:r>
      <w:r w:rsidRPr="00607E1B">
        <w:rPr>
          <w:lang w:val="en-IL"/>
        </w:rPr>
        <w:t xml:space="preserve"> Marketing teams use Gong to track competitor mentions in real-time, allowing them to adjust battlecards and positioning based on what competitors are </w:t>
      </w:r>
      <w:r w:rsidRPr="00607E1B">
        <w:rPr>
          <w:i/>
          <w:iCs/>
          <w:lang w:val="en-IL"/>
        </w:rPr>
        <w:t>actually</w:t>
      </w:r>
      <w:r w:rsidRPr="00607E1B">
        <w:rPr>
          <w:lang w:val="en-IL"/>
        </w:rPr>
        <w:t xml:space="preserve"> saying to prospects, rather than just what is on their websites.</w:t>
      </w:r>
      <w:r w:rsidRPr="00607E1B">
        <w:rPr>
          <w:vertAlign w:val="superscript"/>
          <w:lang w:val="en-IL"/>
        </w:rPr>
        <w:t>27</w:t>
      </w:r>
    </w:p>
    <w:p w14:paraId="684B9C5B" w14:textId="77777777" w:rsidR="00607E1B" w:rsidRPr="00607E1B" w:rsidRDefault="00607E1B" w:rsidP="00607E1B">
      <w:pPr>
        <w:rPr>
          <w:b/>
          <w:bCs/>
          <w:lang w:val="en-IL"/>
        </w:rPr>
      </w:pPr>
      <w:r w:rsidRPr="00607E1B">
        <w:rPr>
          <w:b/>
          <w:bCs/>
          <w:lang w:val="en-IL"/>
        </w:rPr>
        <w:t>4.1.3 Customer Success: Predicting the Renewal</w:t>
      </w:r>
    </w:p>
    <w:p w14:paraId="37BA2F6B" w14:textId="77777777" w:rsidR="00607E1B" w:rsidRPr="00607E1B" w:rsidRDefault="00607E1B" w:rsidP="00607E1B">
      <w:pPr>
        <w:rPr>
          <w:lang w:val="en-IL"/>
        </w:rPr>
      </w:pPr>
      <w:r w:rsidRPr="00607E1B">
        <w:rPr>
          <w:lang w:val="en-IL"/>
        </w:rPr>
        <w:t xml:space="preserve">For Customer Success Managers (CSMs), Gong has introduced </w:t>
      </w:r>
      <w:r w:rsidRPr="00607E1B">
        <w:rPr>
          <w:b/>
          <w:bCs/>
          <w:lang w:val="en-IL"/>
        </w:rPr>
        <w:t>Account Boards</w:t>
      </w:r>
      <w:r w:rsidRPr="00607E1B">
        <w:rPr>
          <w:lang w:val="en-IL"/>
        </w:rPr>
        <w:t xml:space="preserve"> tailored to the post-sales lifecycle.</w:t>
      </w:r>
    </w:p>
    <w:p w14:paraId="7CB9E5F9" w14:textId="77777777" w:rsidR="00607E1B" w:rsidRPr="00607E1B" w:rsidRDefault="00607E1B" w:rsidP="00607E1B">
      <w:pPr>
        <w:numPr>
          <w:ilvl w:val="0"/>
          <w:numId w:val="15"/>
        </w:numPr>
        <w:rPr>
          <w:lang w:val="en-IL"/>
        </w:rPr>
      </w:pPr>
      <w:r w:rsidRPr="00607E1B">
        <w:rPr>
          <w:b/>
          <w:bCs/>
          <w:lang w:val="en-IL"/>
        </w:rPr>
        <w:t>Churn Signals:</w:t>
      </w:r>
      <w:r w:rsidRPr="00607E1B">
        <w:rPr>
          <w:lang w:val="en-IL"/>
        </w:rPr>
        <w:t xml:space="preserve"> The system monitors for "silence" (lack of email response) or "sentiment drops" in check-in calls. It creates a "Health Score" based on interaction quality, not just product usage data.</w:t>
      </w:r>
    </w:p>
    <w:p w14:paraId="02B873F4" w14:textId="77777777" w:rsidR="00607E1B" w:rsidRPr="00607E1B" w:rsidRDefault="00607E1B" w:rsidP="00607E1B">
      <w:pPr>
        <w:numPr>
          <w:ilvl w:val="0"/>
          <w:numId w:val="15"/>
        </w:numPr>
        <w:rPr>
          <w:lang w:val="en-IL"/>
        </w:rPr>
      </w:pPr>
      <w:r w:rsidRPr="00607E1B">
        <w:rPr>
          <w:b/>
          <w:bCs/>
          <w:lang w:val="en-IL"/>
        </w:rPr>
        <w:t>Handover Context:</w:t>
      </w:r>
      <w:r w:rsidRPr="00607E1B">
        <w:rPr>
          <w:lang w:val="en-IL"/>
        </w:rPr>
        <w:t xml:space="preserve"> The </w:t>
      </w:r>
      <w:r w:rsidRPr="00607E1B">
        <w:rPr>
          <w:b/>
          <w:bCs/>
          <w:lang w:val="en-IL"/>
        </w:rPr>
        <w:t>AI Briefer</w:t>
      </w:r>
      <w:r w:rsidRPr="00607E1B">
        <w:rPr>
          <w:lang w:val="en-IL"/>
        </w:rPr>
        <w:t xml:space="preserve"> automatically generates a summary of the entire sales cycle for the CSM upon deal close, eliminating the need for the AE to write manual handover notes. This ensures the CSM knows the client's goals and pain points from Day 1.</w:t>
      </w:r>
      <w:r w:rsidRPr="00607E1B">
        <w:rPr>
          <w:vertAlign w:val="superscript"/>
          <w:lang w:val="en-IL"/>
        </w:rPr>
        <w:t>9</w:t>
      </w:r>
    </w:p>
    <w:p w14:paraId="7944F9BB" w14:textId="77777777" w:rsidR="00607E1B" w:rsidRPr="00607E1B" w:rsidRDefault="00607E1B" w:rsidP="00607E1B">
      <w:pPr>
        <w:rPr>
          <w:b/>
          <w:bCs/>
          <w:lang w:val="en-IL"/>
        </w:rPr>
      </w:pPr>
      <w:r w:rsidRPr="00607E1B">
        <w:rPr>
          <w:b/>
          <w:bCs/>
          <w:lang w:val="en-IL"/>
        </w:rPr>
        <w:t>4.2 Mobile Experience: The "Field" Application</w:t>
      </w:r>
    </w:p>
    <w:p w14:paraId="662D6D93" w14:textId="77777777" w:rsidR="00607E1B" w:rsidRPr="00607E1B" w:rsidRDefault="00607E1B" w:rsidP="00607E1B">
      <w:pPr>
        <w:rPr>
          <w:lang w:val="en-IL"/>
        </w:rPr>
      </w:pPr>
      <w:r w:rsidRPr="00607E1B">
        <w:rPr>
          <w:lang w:val="en-IL"/>
        </w:rPr>
        <w:t>The 2026 mobile app has been redesigned to support the "hybrid" seller who is constantly moving between Zoom and the physical world.</w:t>
      </w:r>
    </w:p>
    <w:p w14:paraId="77D18DDF" w14:textId="77777777" w:rsidR="00607E1B" w:rsidRPr="00607E1B" w:rsidRDefault="00607E1B" w:rsidP="00607E1B">
      <w:pPr>
        <w:numPr>
          <w:ilvl w:val="0"/>
          <w:numId w:val="16"/>
        </w:numPr>
        <w:rPr>
          <w:lang w:val="en-IL"/>
        </w:rPr>
      </w:pPr>
      <w:r w:rsidRPr="00607E1B">
        <w:rPr>
          <w:b/>
          <w:bCs/>
          <w:lang w:val="en-IL"/>
        </w:rPr>
        <w:t>Gong Connect Dialer:</w:t>
      </w:r>
      <w:r w:rsidRPr="00607E1B">
        <w:rPr>
          <w:lang w:val="en-IL"/>
        </w:rPr>
        <w:t xml:space="preserve"> A fully integrated VoIP dialer within the app allows reps to make calls from their business number on their mobile device. These calls are recorded, transcribed, and analyzed just like web conferences. This captures a massive amount of "dark data" that previously existed only on personal cell phones.</w:t>
      </w:r>
      <w:r w:rsidRPr="00607E1B">
        <w:rPr>
          <w:vertAlign w:val="superscript"/>
          <w:lang w:val="en-IL"/>
        </w:rPr>
        <w:t>28</w:t>
      </w:r>
    </w:p>
    <w:p w14:paraId="3D3C8C50" w14:textId="77777777" w:rsidR="00607E1B" w:rsidRPr="00607E1B" w:rsidRDefault="00607E1B" w:rsidP="00607E1B">
      <w:pPr>
        <w:numPr>
          <w:ilvl w:val="0"/>
          <w:numId w:val="16"/>
        </w:numPr>
        <w:rPr>
          <w:lang w:val="en-IL"/>
        </w:rPr>
      </w:pPr>
      <w:r w:rsidRPr="00607E1B">
        <w:rPr>
          <w:b/>
          <w:bCs/>
          <w:lang w:val="en-IL"/>
        </w:rPr>
        <w:t>Micro-Workflows:</w:t>
      </w:r>
      <w:r w:rsidRPr="00607E1B">
        <w:rPr>
          <w:lang w:val="en-IL"/>
        </w:rPr>
        <w:t xml:space="preserve"> The UI emphasizes quick actions: reviewing a 2-minute </w:t>
      </w:r>
      <w:r w:rsidRPr="00607E1B">
        <w:rPr>
          <w:b/>
          <w:bCs/>
          <w:lang w:val="en-IL"/>
        </w:rPr>
        <w:t>AI Brief</w:t>
      </w:r>
      <w:r w:rsidRPr="00607E1B">
        <w:rPr>
          <w:lang w:val="en-IL"/>
        </w:rPr>
        <w:t xml:space="preserve"> of the account history while walking into a meeting, or dictating post-meeting notes that the </w:t>
      </w:r>
      <w:r w:rsidRPr="00607E1B">
        <w:rPr>
          <w:b/>
          <w:bCs/>
          <w:lang w:val="en-IL"/>
        </w:rPr>
        <w:t>AI Tasker</w:t>
      </w:r>
      <w:r w:rsidRPr="00607E1B">
        <w:rPr>
          <w:lang w:val="en-IL"/>
        </w:rPr>
        <w:t xml:space="preserve"> parses into CRM updates.</w:t>
      </w:r>
    </w:p>
    <w:p w14:paraId="56DFACE8" w14:textId="77777777" w:rsidR="00607E1B" w:rsidRPr="00607E1B" w:rsidRDefault="00607E1B" w:rsidP="00607E1B">
      <w:pPr>
        <w:rPr>
          <w:lang w:val="en-IL"/>
        </w:rPr>
      </w:pPr>
      <w:r w:rsidRPr="00607E1B">
        <w:rPr>
          <w:lang w:val="en-IL"/>
        </w:rPr>
        <w:pict w14:anchorId="1F7A56C4">
          <v:rect id="_x0000_i1071" style="width:0;height:1.5pt" o:hralign="center" o:hrstd="t" o:hrnoshade="t" o:hr="t" fillcolor="gray" stroked="f"/>
        </w:pict>
      </w:r>
    </w:p>
    <w:p w14:paraId="5DF923EF" w14:textId="77777777" w:rsidR="00607E1B" w:rsidRPr="00607E1B" w:rsidRDefault="00607E1B" w:rsidP="00607E1B">
      <w:pPr>
        <w:rPr>
          <w:b/>
          <w:bCs/>
          <w:lang w:val="en-IL"/>
        </w:rPr>
      </w:pPr>
      <w:r w:rsidRPr="00607E1B">
        <w:rPr>
          <w:b/>
          <w:bCs/>
          <w:lang w:val="en-IL"/>
        </w:rPr>
        <w:t>5. Vulnerabilities (The "Kill Chain")</w:t>
      </w:r>
    </w:p>
    <w:p w14:paraId="39E477FE" w14:textId="77777777" w:rsidR="00607E1B" w:rsidRPr="00607E1B" w:rsidRDefault="00607E1B" w:rsidP="00607E1B">
      <w:pPr>
        <w:rPr>
          <w:lang w:val="en-IL"/>
        </w:rPr>
      </w:pPr>
      <w:r w:rsidRPr="00607E1B">
        <w:rPr>
          <w:lang w:val="en-IL"/>
        </w:rPr>
        <w:lastRenderedPageBreak/>
        <w:t>Despite its market leadership, Gong faces a convergence of threats that could erode its dominance. This "Kill Chain" identifies the specific mechanisms by which Gong could lose its footing.</w:t>
      </w:r>
    </w:p>
    <w:p w14:paraId="0CDC21E5" w14:textId="77777777" w:rsidR="00607E1B" w:rsidRPr="00607E1B" w:rsidRDefault="00607E1B" w:rsidP="00607E1B">
      <w:pPr>
        <w:rPr>
          <w:b/>
          <w:bCs/>
          <w:lang w:val="en-IL"/>
        </w:rPr>
      </w:pPr>
      <w:r w:rsidRPr="00607E1B">
        <w:rPr>
          <w:b/>
          <w:bCs/>
          <w:lang w:val="en-IL"/>
        </w:rPr>
        <w:t>5.1 The "Good Enough" Threat: Microsoft &amp; Salesforce</w:t>
      </w:r>
    </w:p>
    <w:p w14:paraId="740D00C4" w14:textId="77777777" w:rsidR="00607E1B" w:rsidRPr="00607E1B" w:rsidRDefault="00607E1B" w:rsidP="00607E1B">
      <w:pPr>
        <w:rPr>
          <w:lang w:val="en-IL"/>
        </w:rPr>
      </w:pPr>
      <w:r w:rsidRPr="00607E1B">
        <w:rPr>
          <w:lang w:val="en-IL"/>
        </w:rPr>
        <w:t>The most existential threat to Gong is the "feature-ization" of revenue intelligence by the platforms that host the work.</w:t>
      </w:r>
    </w:p>
    <w:p w14:paraId="31E35059" w14:textId="77777777" w:rsidR="00607E1B" w:rsidRPr="00607E1B" w:rsidRDefault="00607E1B" w:rsidP="00607E1B">
      <w:pPr>
        <w:numPr>
          <w:ilvl w:val="0"/>
          <w:numId w:val="17"/>
        </w:numPr>
        <w:rPr>
          <w:lang w:val="en-IL"/>
        </w:rPr>
      </w:pPr>
      <w:r w:rsidRPr="00607E1B">
        <w:rPr>
          <w:b/>
          <w:bCs/>
          <w:lang w:val="en-IL"/>
        </w:rPr>
        <w:t>Microsoft Copilot:</w:t>
      </w:r>
      <w:r w:rsidRPr="00607E1B">
        <w:rPr>
          <w:lang w:val="en-IL"/>
        </w:rPr>
        <w:t xml:space="preserve"> Microsoft has embedded meeting summaries, sentiment analysis, and email drafting directly into </w:t>
      </w:r>
      <w:r w:rsidRPr="00607E1B">
        <w:rPr>
          <w:b/>
          <w:bCs/>
          <w:lang w:val="en-IL"/>
        </w:rPr>
        <w:t>Teams</w:t>
      </w:r>
      <w:r w:rsidRPr="00607E1B">
        <w:rPr>
          <w:lang w:val="en-IL"/>
        </w:rPr>
        <w:t xml:space="preserve"> and </w:t>
      </w:r>
      <w:r w:rsidRPr="00607E1B">
        <w:rPr>
          <w:b/>
          <w:bCs/>
          <w:lang w:val="en-IL"/>
        </w:rPr>
        <w:t>Outlook</w:t>
      </w:r>
      <w:r w:rsidRPr="00607E1B">
        <w:rPr>
          <w:lang w:val="en-IL"/>
        </w:rPr>
        <w:t>. For a CFO looking to cut costs, paying for Copilot (often part of an E5 license) renders a separate Gong license redundant for the average user. While Gong argues its insights are deeper, for many users, Copilot is "good enough".</w:t>
      </w:r>
      <w:r w:rsidRPr="00607E1B">
        <w:rPr>
          <w:vertAlign w:val="superscript"/>
          <w:lang w:val="en-IL"/>
        </w:rPr>
        <w:t>30</w:t>
      </w:r>
    </w:p>
    <w:p w14:paraId="788E2498" w14:textId="77777777" w:rsidR="00607E1B" w:rsidRPr="00607E1B" w:rsidRDefault="00607E1B" w:rsidP="00607E1B">
      <w:pPr>
        <w:numPr>
          <w:ilvl w:val="0"/>
          <w:numId w:val="17"/>
        </w:numPr>
        <w:rPr>
          <w:lang w:val="en-IL"/>
        </w:rPr>
      </w:pPr>
      <w:r w:rsidRPr="00607E1B">
        <w:rPr>
          <w:b/>
          <w:bCs/>
          <w:lang w:val="en-IL"/>
        </w:rPr>
        <w:t>Salesforce Agentforce:</w:t>
      </w:r>
      <w:r w:rsidRPr="00607E1B">
        <w:rPr>
          <w:lang w:val="en-IL"/>
        </w:rPr>
        <w:t xml:space="preserve"> Salesforce’s </w:t>
      </w:r>
      <w:r w:rsidRPr="00607E1B">
        <w:rPr>
          <w:b/>
          <w:bCs/>
          <w:lang w:val="en-IL"/>
        </w:rPr>
        <w:t>Einstein Call Coaching</w:t>
      </w:r>
      <w:r w:rsidRPr="00607E1B">
        <w:rPr>
          <w:lang w:val="en-IL"/>
        </w:rPr>
        <w:t xml:space="preserve"> and </w:t>
      </w:r>
      <w:r w:rsidRPr="00607E1B">
        <w:rPr>
          <w:b/>
          <w:bCs/>
          <w:lang w:val="en-IL"/>
        </w:rPr>
        <w:t>Agentforce</w:t>
      </w:r>
      <w:r w:rsidRPr="00607E1B">
        <w:rPr>
          <w:lang w:val="en-IL"/>
        </w:rPr>
        <w:t xml:space="preserve"> offer similar capabilities native to the CRM. The integration friction is zero, and the data never leaves the Salesforce trust boundary. As these native tools improve, the justification for an external "Revenue OS" weakens.</w:t>
      </w:r>
    </w:p>
    <w:p w14:paraId="001ED941" w14:textId="77777777" w:rsidR="00607E1B" w:rsidRPr="00607E1B" w:rsidRDefault="00607E1B" w:rsidP="00607E1B">
      <w:pPr>
        <w:rPr>
          <w:b/>
          <w:bCs/>
          <w:lang w:val="en-IL"/>
        </w:rPr>
      </w:pPr>
      <w:r w:rsidRPr="00607E1B">
        <w:rPr>
          <w:b/>
          <w:bCs/>
          <w:lang w:val="en-IL"/>
        </w:rPr>
        <w:t>5.2 The "Complexity" Burden</w:t>
      </w:r>
    </w:p>
    <w:p w14:paraId="3A8133CF" w14:textId="77777777" w:rsidR="00607E1B" w:rsidRPr="00607E1B" w:rsidRDefault="00607E1B" w:rsidP="00607E1B">
      <w:pPr>
        <w:rPr>
          <w:lang w:val="en-IL"/>
        </w:rPr>
      </w:pPr>
      <w:r w:rsidRPr="00607E1B">
        <w:rPr>
          <w:lang w:val="en-IL"/>
        </w:rPr>
        <w:t xml:space="preserve">Gong has become a complex enterprise platform. Setting up </w:t>
      </w:r>
      <w:r w:rsidRPr="00607E1B">
        <w:rPr>
          <w:b/>
          <w:bCs/>
          <w:lang w:val="en-IL"/>
        </w:rPr>
        <w:t>Smart Trackers</w:t>
      </w:r>
      <w:r w:rsidRPr="00607E1B">
        <w:rPr>
          <w:lang w:val="en-IL"/>
        </w:rPr>
        <w:t xml:space="preserve">, configuring </w:t>
      </w:r>
      <w:r w:rsidRPr="00607E1B">
        <w:rPr>
          <w:b/>
          <w:bCs/>
          <w:lang w:val="en-IL"/>
        </w:rPr>
        <w:t>Scorecards</w:t>
      </w:r>
      <w:r w:rsidRPr="00607E1B">
        <w:rPr>
          <w:lang w:val="en-IL"/>
        </w:rPr>
        <w:t xml:space="preserve">, and managing </w:t>
      </w:r>
      <w:r w:rsidRPr="00607E1B">
        <w:rPr>
          <w:b/>
          <w:bCs/>
          <w:lang w:val="en-IL"/>
        </w:rPr>
        <w:t>Orchestrate</w:t>
      </w:r>
      <w:r w:rsidRPr="00607E1B">
        <w:rPr>
          <w:lang w:val="en-IL"/>
        </w:rPr>
        <w:t xml:space="preserve"> playbooks requires significant operational overhead.</w:t>
      </w:r>
    </w:p>
    <w:p w14:paraId="09AD5197" w14:textId="77777777" w:rsidR="00607E1B" w:rsidRPr="00607E1B" w:rsidRDefault="00607E1B" w:rsidP="00607E1B">
      <w:pPr>
        <w:numPr>
          <w:ilvl w:val="0"/>
          <w:numId w:val="18"/>
        </w:numPr>
        <w:rPr>
          <w:lang w:val="en-IL"/>
        </w:rPr>
      </w:pPr>
      <w:r w:rsidRPr="00607E1B">
        <w:rPr>
          <w:b/>
          <w:bCs/>
          <w:lang w:val="en-IL"/>
        </w:rPr>
        <w:t>The RevOps Bottleneck:</w:t>
      </w:r>
      <w:r w:rsidRPr="00607E1B">
        <w:rPr>
          <w:lang w:val="en-IL"/>
        </w:rPr>
        <w:t xml:space="preserve"> Small teams often lack the dedicated RevOps resources to manage this complexity. This leads to a scenario where Gong is used merely as a "call recorder"—a use case that can be satisfied by tools costing 1/10th the price.</w:t>
      </w:r>
    </w:p>
    <w:p w14:paraId="591FB0FF" w14:textId="77777777" w:rsidR="00607E1B" w:rsidRPr="00607E1B" w:rsidRDefault="00607E1B" w:rsidP="00607E1B">
      <w:pPr>
        <w:numPr>
          <w:ilvl w:val="0"/>
          <w:numId w:val="18"/>
        </w:numPr>
        <w:rPr>
          <w:lang w:val="en-IL"/>
        </w:rPr>
      </w:pPr>
      <w:r w:rsidRPr="00607E1B">
        <w:rPr>
          <w:b/>
          <w:bCs/>
          <w:lang w:val="en-IL"/>
        </w:rPr>
        <w:t>User Fatigue:</w:t>
      </w:r>
      <w:r w:rsidRPr="00607E1B">
        <w:rPr>
          <w:lang w:val="en-IL"/>
        </w:rPr>
        <w:t xml:space="preserve"> Reps are overwhelmed by "insights." If the system flags too many risks or suggests too many actions, it becomes noise. The challenge for Gong is to remain a </w:t>
      </w:r>
      <w:r w:rsidRPr="00607E1B">
        <w:rPr>
          <w:i/>
          <w:iCs/>
          <w:lang w:val="en-IL"/>
        </w:rPr>
        <w:t>helper</w:t>
      </w:r>
      <w:r w:rsidRPr="00607E1B">
        <w:rPr>
          <w:lang w:val="en-IL"/>
        </w:rPr>
        <w:t xml:space="preserve">, not a </w:t>
      </w:r>
      <w:r w:rsidRPr="00607E1B">
        <w:rPr>
          <w:i/>
          <w:iCs/>
          <w:lang w:val="en-IL"/>
        </w:rPr>
        <w:t>nagger</w:t>
      </w:r>
      <w:r w:rsidRPr="00607E1B">
        <w:rPr>
          <w:lang w:val="en-IL"/>
        </w:rPr>
        <w:t>.</w:t>
      </w:r>
      <w:r w:rsidRPr="00607E1B">
        <w:rPr>
          <w:vertAlign w:val="superscript"/>
          <w:lang w:val="en-IL"/>
        </w:rPr>
        <w:t>32</w:t>
      </w:r>
    </w:p>
    <w:p w14:paraId="2FD607BF" w14:textId="77777777" w:rsidR="00607E1B" w:rsidRPr="00607E1B" w:rsidRDefault="00607E1B" w:rsidP="00607E1B">
      <w:pPr>
        <w:rPr>
          <w:b/>
          <w:bCs/>
          <w:lang w:val="en-IL"/>
        </w:rPr>
      </w:pPr>
      <w:r w:rsidRPr="00607E1B">
        <w:rPr>
          <w:b/>
          <w:bCs/>
          <w:lang w:val="en-IL"/>
        </w:rPr>
        <w:t>5.3 Commoditization of Intelligence</w:t>
      </w:r>
    </w:p>
    <w:p w14:paraId="40F3ED73" w14:textId="77777777" w:rsidR="00607E1B" w:rsidRPr="00607E1B" w:rsidRDefault="00607E1B" w:rsidP="00607E1B">
      <w:pPr>
        <w:rPr>
          <w:lang w:val="en-IL"/>
        </w:rPr>
      </w:pPr>
      <w:r w:rsidRPr="00607E1B">
        <w:rPr>
          <w:lang w:val="en-IL"/>
        </w:rPr>
        <w:t>The core technology of transcription and summarization has been commoditized.</w:t>
      </w:r>
    </w:p>
    <w:p w14:paraId="68E91E0E" w14:textId="77777777" w:rsidR="00607E1B" w:rsidRPr="00607E1B" w:rsidRDefault="00607E1B" w:rsidP="00607E1B">
      <w:pPr>
        <w:numPr>
          <w:ilvl w:val="0"/>
          <w:numId w:val="19"/>
        </w:numPr>
        <w:rPr>
          <w:lang w:val="en-IL"/>
        </w:rPr>
      </w:pPr>
      <w:r w:rsidRPr="00607E1B">
        <w:rPr>
          <w:b/>
          <w:bCs/>
          <w:lang w:val="en-IL"/>
        </w:rPr>
        <w:t>The "Wrapper" Attack:</w:t>
      </w:r>
      <w:r w:rsidRPr="00607E1B">
        <w:rPr>
          <w:lang w:val="en-IL"/>
        </w:rPr>
        <w:t xml:space="preserve"> Startups like </w:t>
      </w:r>
      <w:r w:rsidRPr="00607E1B">
        <w:rPr>
          <w:b/>
          <w:bCs/>
          <w:lang w:val="en-IL"/>
        </w:rPr>
        <w:t>tldv</w:t>
      </w:r>
      <w:r w:rsidRPr="00607E1B">
        <w:rPr>
          <w:lang w:val="en-IL"/>
        </w:rPr>
        <w:t xml:space="preserve">, </w:t>
      </w:r>
      <w:r w:rsidRPr="00607E1B">
        <w:rPr>
          <w:b/>
          <w:bCs/>
          <w:lang w:val="en-IL"/>
        </w:rPr>
        <w:t>Fireflies</w:t>
      </w:r>
      <w:r w:rsidRPr="00607E1B">
        <w:rPr>
          <w:lang w:val="en-IL"/>
        </w:rPr>
        <w:t xml:space="preserve">, and </w:t>
      </w:r>
      <w:r w:rsidRPr="00607E1B">
        <w:rPr>
          <w:b/>
          <w:bCs/>
          <w:lang w:val="en-IL"/>
        </w:rPr>
        <w:t>Otter</w:t>
      </w:r>
      <w:r w:rsidRPr="00607E1B">
        <w:rPr>
          <w:lang w:val="en-IL"/>
        </w:rPr>
        <w:t xml:space="preserve"> leverage cheap, powerful APIs (like OpenAI's Whisper and GPT-4o) to offer near-parity on transcription and summarization. They compete on price and simplicity, stripping away the enterprise bloat to offer a clean, fast experience for individual users and small teams.</w:t>
      </w:r>
      <w:r w:rsidRPr="00607E1B">
        <w:rPr>
          <w:vertAlign w:val="superscript"/>
          <w:lang w:val="en-IL"/>
        </w:rPr>
        <w:t>4</w:t>
      </w:r>
    </w:p>
    <w:p w14:paraId="5232F1A7" w14:textId="77777777" w:rsidR="00607E1B" w:rsidRPr="00607E1B" w:rsidRDefault="00607E1B" w:rsidP="00607E1B">
      <w:pPr>
        <w:rPr>
          <w:b/>
          <w:bCs/>
          <w:lang w:val="en-IL"/>
        </w:rPr>
      </w:pPr>
      <w:r w:rsidRPr="00607E1B">
        <w:rPr>
          <w:b/>
          <w:bCs/>
          <w:lang w:val="en-IL"/>
        </w:rPr>
        <w:t>5.4 Data Trust and the "Black Box"</w:t>
      </w:r>
    </w:p>
    <w:p w14:paraId="076D6319" w14:textId="77777777" w:rsidR="00607E1B" w:rsidRPr="00607E1B" w:rsidRDefault="00607E1B" w:rsidP="00607E1B">
      <w:pPr>
        <w:rPr>
          <w:lang w:val="en-IL"/>
        </w:rPr>
      </w:pPr>
      <w:r w:rsidRPr="00607E1B">
        <w:rPr>
          <w:lang w:val="en-IL"/>
        </w:rPr>
        <w:lastRenderedPageBreak/>
        <w:t>While Gong has invested in ISO certifications, the cultural barrier to "Autonomous Agents" remains high.</w:t>
      </w:r>
    </w:p>
    <w:p w14:paraId="0A7F57E1" w14:textId="77777777" w:rsidR="00607E1B" w:rsidRPr="00607E1B" w:rsidRDefault="00607E1B" w:rsidP="00607E1B">
      <w:pPr>
        <w:numPr>
          <w:ilvl w:val="0"/>
          <w:numId w:val="20"/>
        </w:numPr>
        <w:rPr>
          <w:lang w:val="en-IL"/>
        </w:rPr>
      </w:pPr>
      <w:r w:rsidRPr="00607E1B">
        <w:rPr>
          <w:b/>
          <w:bCs/>
          <w:lang w:val="en-IL"/>
        </w:rPr>
        <w:t>Trusting the Write-Back:</w:t>
      </w:r>
      <w:r w:rsidRPr="00607E1B">
        <w:rPr>
          <w:lang w:val="en-IL"/>
        </w:rPr>
        <w:t xml:space="preserve"> Many Sales Ops leaders are terrified of letting an AI agent autonomously update their Salesforce database. A few "hallucinated" updates (e.g., changing a deal stage based on a misunderstood joke) could corrupt the forecast and destroy trust in the system. Adoption of these autonomous features may be slower than Gong anticipates due to this "trust gap."</w:t>
      </w:r>
    </w:p>
    <w:p w14:paraId="525B0324" w14:textId="77777777" w:rsidR="00607E1B" w:rsidRPr="00607E1B" w:rsidRDefault="00607E1B" w:rsidP="00607E1B">
      <w:pPr>
        <w:rPr>
          <w:lang w:val="en-IL"/>
        </w:rPr>
      </w:pPr>
      <w:r w:rsidRPr="00607E1B">
        <w:rPr>
          <w:lang w:val="en-IL"/>
        </w:rPr>
        <w:pict w14:anchorId="335F5EEB">
          <v:rect id="_x0000_i1072" style="width:0;height:1.5pt" o:hralign="center" o:hrstd="t" o:hrnoshade="t" o:hr="t" fillcolor="gray" stroked="f"/>
        </w:pict>
      </w:r>
    </w:p>
    <w:p w14:paraId="089462F5" w14:textId="77777777" w:rsidR="00607E1B" w:rsidRPr="00607E1B" w:rsidRDefault="00607E1B" w:rsidP="00607E1B">
      <w:pPr>
        <w:rPr>
          <w:b/>
          <w:bCs/>
          <w:lang w:val="en-IL"/>
        </w:rPr>
      </w:pPr>
      <w:r w:rsidRPr="00607E1B">
        <w:rPr>
          <w:b/>
          <w:bCs/>
          <w:lang w:val="en-IL"/>
        </w:rPr>
        <w:t>6. Strategic Recommendations and Future Outlook</w:t>
      </w:r>
    </w:p>
    <w:p w14:paraId="3FA5138A" w14:textId="77777777" w:rsidR="00607E1B" w:rsidRPr="00607E1B" w:rsidRDefault="00607E1B" w:rsidP="00607E1B">
      <w:pPr>
        <w:rPr>
          <w:b/>
          <w:bCs/>
          <w:lang w:val="en-IL"/>
        </w:rPr>
      </w:pPr>
      <w:r w:rsidRPr="00607E1B">
        <w:rPr>
          <w:b/>
          <w:bCs/>
          <w:lang w:val="en-IL"/>
        </w:rPr>
        <w:t>6.1 The Verdict: A Critical Juncture</w:t>
      </w:r>
    </w:p>
    <w:p w14:paraId="3AEB7A5D" w14:textId="77777777" w:rsidR="00607E1B" w:rsidRPr="00607E1B" w:rsidRDefault="00607E1B" w:rsidP="00607E1B">
      <w:pPr>
        <w:rPr>
          <w:lang w:val="en-IL"/>
        </w:rPr>
      </w:pPr>
      <w:r w:rsidRPr="00607E1B">
        <w:rPr>
          <w:lang w:val="en-IL"/>
        </w:rPr>
        <w:t>Gong.io in 2026 is a formidable entity—the "Ferrari" of the category. It possesses the best data, the deepest features, and the strongest brand. However, it is driving on a road that is becoming increasingly crowded with "good enough" sedans (Microsoft/Salesforce) and nimble motorcycles (Agile AI wrappers).</w:t>
      </w:r>
    </w:p>
    <w:p w14:paraId="76C20478" w14:textId="77777777" w:rsidR="00607E1B" w:rsidRPr="00607E1B" w:rsidRDefault="00607E1B" w:rsidP="00607E1B">
      <w:pPr>
        <w:rPr>
          <w:b/>
          <w:bCs/>
          <w:lang w:val="en-IL"/>
        </w:rPr>
      </w:pPr>
      <w:r w:rsidRPr="00607E1B">
        <w:rPr>
          <w:b/>
          <w:bCs/>
          <w:lang w:val="en-IL"/>
        </w:rPr>
        <w:t>6.2 Strategic Imperatives for Gong</w:t>
      </w:r>
    </w:p>
    <w:p w14:paraId="0C3262C3" w14:textId="77777777" w:rsidR="00607E1B" w:rsidRPr="00607E1B" w:rsidRDefault="00607E1B" w:rsidP="00607E1B">
      <w:pPr>
        <w:numPr>
          <w:ilvl w:val="0"/>
          <w:numId w:val="21"/>
        </w:numPr>
        <w:rPr>
          <w:lang w:val="en-IL"/>
        </w:rPr>
      </w:pPr>
      <w:r w:rsidRPr="00607E1B">
        <w:rPr>
          <w:b/>
          <w:bCs/>
          <w:lang w:val="en-IL"/>
        </w:rPr>
        <w:t>Defend the Enterprise:</w:t>
      </w:r>
      <w:r w:rsidRPr="00607E1B">
        <w:rPr>
          <w:lang w:val="en-IL"/>
        </w:rPr>
        <w:t xml:space="preserve"> Gong must continue to lean into its "Revenue OS" positioning for large enterprises. The compliance moats (ISO 42001), the depth of the Revenue Graph, and the complex orchestration features are its best defense against Microsoft. It must prove that "Generalist AI" cannot run a complex sales organization.</w:t>
      </w:r>
    </w:p>
    <w:p w14:paraId="04038D5D" w14:textId="77777777" w:rsidR="00607E1B" w:rsidRPr="00607E1B" w:rsidRDefault="00607E1B" w:rsidP="00607E1B">
      <w:pPr>
        <w:numPr>
          <w:ilvl w:val="0"/>
          <w:numId w:val="21"/>
        </w:numPr>
        <w:rPr>
          <w:lang w:val="en-IL"/>
        </w:rPr>
      </w:pPr>
      <w:r w:rsidRPr="00607E1B">
        <w:rPr>
          <w:b/>
          <w:bCs/>
          <w:lang w:val="en-IL"/>
        </w:rPr>
        <w:t>Fix the Pricing Model:</w:t>
      </w:r>
      <w:r w:rsidRPr="00607E1B">
        <w:rPr>
          <w:lang w:val="en-IL"/>
        </w:rPr>
        <w:t xml:space="preserve"> The "Seat Tax" is unsustainable in the mid-market. Gong may need to pivot to a "Usage-Based" or "Outcome-Based" pricing model (e.g., pricing based on deals managed or revenue influenced) to align cost with value and reduce churn risk.</w:t>
      </w:r>
    </w:p>
    <w:p w14:paraId="1752D6F2" w14:textId="77777777" w:rsidR="00607E1B" w:rsidRPr="00607E1B" w:rsidRDefault="00607E1B" w:rsidP="00607E1B">
      <w:pPr>
        <w:numPr>
          <w:ilvl w:val="0"/>
          <w:numId w:val="21"/>
        </w:numPr>
        <w:rPr>
          <w:lang w:val="en-IL"/>
        </w:rPr>
      </w:pPr>
      <w:r w:rsidRPr="00607E1B">
        <w:rPr>
          <w:b/>
          <w:bCs/>
          <w:lang w:val="en-IL"/>
        </w:rPr>
        <w:t>Win the Platform War:</w:t>
      </w:r>
      <w:r w:rsidRPr="00607E1B">
        <w:rPr>
          <w:lang w:val="en-IL"/>
        </w:rPr>
        <w:t xml:space="preserve"> The </w:t>
      </w:r>
      <w:r w:rsidRPr="00607E1B">
        <w:rPr>
          <w:b/>
          <w:bCs/>
          <w:lang w:val="en-IL"/>
        </w:rPr>
        <w:t>MCP</w:t>
      </w:r>
      <w:r w:rsidRPr="00607E1B">
        <w:rPr>
          <w:lang w:val="en-IL"/>
        </w:rPr>
        <w:t xml:space="preserve"> strategy is the right move. Gong must aggressively build out its ecosystem, making itself the indispensable "intelligence layer" that powers </w:t>
      </w:r>
      <w:r w:rsidRPr="00607E1B">
        <w:rPr>
          <w:i/>
          <w:iCs/>
          <w:lang w:val="en-IL"/>
        </w:rPr>
        <w:t>other</w:t>
      </w:r>
      <w:r w:rsidRPr="00607E1B">
        <w:rPr>
          <w:lang w:val="en-IL"/>
        </w:rPr>
        <w:t xml:space="preserve"> apps. If Gong becomes the underlying data source for the entire tech stack, it becomes unkillable.</w:t>
      </w:r>
    </w:p>
    <w:p w14:paraId="600CB131" w14:textId="77777777" w:rsidR="00607E1B" w:rsidRPr="00607E1B" w:rsidRDefault="00607E1B" w:rsidP="00607E1B">
      <w:pPr>
        <w:rPr>
          <w:b/>
          <w:bCs/>
          <w:lang w:val="en-IL"/>
        </w:rPr>
      </w:pPr>
      <w:r w:rsidRPr="00607E1B">
        <w:rPr>
          <w:b/>
          <w:bCs/>
          <w:lang w:val="en-IL"/>
        </w:rPr>
        <w:t>6.3 Recommendation for Enterprise Buyers</w:t>
      </w:r>
    </w:p>
    <w:p w14:paraId="61F6963E" w14:textId="77777777" w:rsidR="00607E1B" w:rsidRPr="00607E1B" w:rsidRDefault="00607E1B" w:rsidP="00607E1B">
      <w:pPr>
        <w:rPr>
          <w:lang w:val="en-IL"/>
        </w:rPr>
      </w:pPr>
      <w:r w:rsidRPr="00607E1B">
        <w:rPr>
          <w:lang w:val="en-IL"/>
        </w:rPr>
        <w:t xml:space="preserve">For enterprise buyers in 2026, Gong remains the gold standard </w:t>
      </w:r>
      <w:r w:rsidRPr="00607E1B">
        <w:rPr>
          <w:i/>
          <w:iCs/>
          <w:lang w:val="en-IL"/>
        </w:rPr>
        <w:t>if</w:t>
      </w:r>
      <w:r w:rsidRPr="00607E1B">
        <w:rPr>
          <w:lang w:val="en-IL"/>
        </w:rPr>
        <w:t xml:space="preserve"> you have the operational maturity to utilize its advanced features. If your organization can leverage </w:t>
      </w:r>
      <w:r w:rsidRPr="00607E1B">
        <w:rPr>
          <w:b/>
          <w:bCs/>
          <w:lang w:val="en-IL"/>
        </w:rPr>
        <w:t>Orchestrate</w:t>
      </w:r>
      <w:r w:rsidRPr="00607E1B">
        <w:rPr>
          <w:lang w:val="en-IL"/>
        </w:rPr>
        <w:t xml:space="preserve"> to enforce methodology and </w:t>
      </w:r>
      <w:r w:rsidRPr="00607E1B">
        <w:rPr>
          <w:b/>
          <w:bCs/>
          <w:lang w:val="en-IL"/>
        </w:rPr>
        <w:t>Data Extractor</w:t>
      </w:r>
      <w:r w:rsidRPr="00607E1B">
        <w:rPr>
          <w:lang w:val="en-IL"/>
        </w:rPr>
        <w:t xml:space="preserve"> to automate CRM hygiene, the high price tag is justified by the ROI of efficiency and win-rate improvement. However, for smaller teams or those simply seeking call recording and summary, the market now </w:t>
      </w:r>
      <w:r w:rsidRPr="00607E1B">
        <w:rPr>
          <w:lang w:val="en-IL"/>
        </w:rPr>
        <w:lastRenderedPageBreak/>
        <w:t>offers high-quality alternatives at a fraction of the cost. The decision is no longer "Gong or nothing"; it is a calculation of "Complexity vs. Value."</w:t>
      </w:r>
    </w:p>
    <w:p w14:paraId="4BEEA283" w14:textId="77777777" w:rsidR="00607E1B" w:rsidRPr="00607E1B" w:rsidRDefault="00607E1B" w:rsidP="00607E1B">
      <w:pPr>
        <w:rPr>
          <w:lang w:val="en-IL"/>
        </w:rPr>
      </w:pPr>
      <w:r w:rsidRPr="00607E1B">
        <w:rPr>
          <w:lang w:val="en-IL"/>
        </w:rPr>
        <w:pict w14:anchorId="6CC91C4F">
          <v:rect id="_x0000_i1073" style="width:0;height:1.5pt" o:hralign="center" o:hrstd="t" o:hrnoshade="t" o:hr="t" fillcolor="gray" stroked="f"/>
        </w:pict>
      </w:r>
    </w:p>
    <w:tbl>
      <w:tblPr>
        <w:tblW w:w="0" w:type="auto"/>
        <w:tblCellSpacing w:w="15" w:type="dxa"/>
        <w:tblCellMar>
          <w:left w:w="0" w:type="dxa"/>
          <w:right w:w="0" w:type="dxa"/>
        </w:tblCellMar>
        <w:tblLook w:val="04A0" w:firstRow="1" w:lastRow="0" w:firstColumn="1" w:lastColumn="0" w:noHBand="0" w:noVBand="1"/>
      </w:tblPr>
      <w:tblGrid>
        <w:gridCol w:w="1880"/>
        <w:gridCol w:w="4218"/>
        <w:gridCol w:w="2912"/>
      </w:tblGrid>
      <w:tr w:rsidR="00607E1B" w:rsidRPr="00607E1B" w14:paraId="60DBF68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D5B33" w14:textId="77777777" w:rsidR="00607E1B" w:rsidRPr="00607E1B" w:rsidRDefault="00607E1B" w:rsidP="00607E1B">
            <w:pPr>
              <w:rPr>
                <w:lang w:val="en-IL"/>
              </w:rPr>
            </w:pPr>
            <w:r w:rsidRPr="00607E1B">
              <w:rPr>
                <w:b/>
                <w:bCs/>
                <w:lang w:val="en-IL"/>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084AC" w14:textId="77777777" w:rsidR="00607E1B" w:rsidRPr="00607E1B" w:rsidRDefault="00607E1B" w:rsidP="00607E1B">
            <w:pPr>
              <w:rPr>
                <w:lang w:val="en-IL"/>
              </w:rPr>
            </w:pPr>
            <w:r w:rsidRPr="00607E1B">
              <w:rPr>
                <w:b/>
                <w:bCs/>
                <w:lang w:val="en-IL"/>
              </w:rPr>
              <w:t>Gong.io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EAFD2" w14:textId="77777777" w:rsidR="00607E1B" w:rsidRPr="00607E1B" w:rsidRDefault="00607E1B" w:rsidP="00607E1B">
            <w:pPr>
              <w:rPr>
                <w:lang w:val="en-IL"/>
              </w:rPr>
            </w:pPr>
            <w:r w:rsidRPr="00607E1B">
              <w:rPr>
                <w:b/>
                <w:bCs/>
                <w:lang w:val="en-IL"/>
              </w:rPr>
              <w:t>Market Context</w:t>
            </w:r>
          </w:p>
        </w:tc>
      </w:tr>
      <w:tr w:rsidR="00607E1B" w:rsidRPr="00607E1B" w14:paraId="7EBFE3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CD6BB" w14:textId="77777777" w:rsidR="00607E1B" w:rsidRPr="00607E1B" w:rsidRDefault="00607E1B" w:rsidP="00607E1B">
            <w:pPr>
              <w:rPr>
                <w:lang w:val="en-IL"/>
              </w:rPr>
            </w:pPr>
            <w:r w:rsidRPr="00607E1B">
              <w:rPr>
                <w:b/>
                <w:bCs/>
                <w:lang w:val="en-IL"/>
              </w:rPr>
              <w:t>Valuation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6A74A" w14:textId="77777777" w:rsidR="00607E1B" w:rsidRPr="00607E1B" w:rsidRDefault="00607E1B" w:rsidP="00607E1B">
            <w:pPr>
              <w:rPr>
                <w:lang w:val="en-IL"/>
              </w:rPr>
            </w:pPr>
            <w:r w:rsidRPr="00607E1B">
              <w:rPr>
                <w:lang w:val="en-IL"/>
              </w:rPr>
              <w:t>~$4.5 Billion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C9653" w14:textId="77777777" w:rsidR="00607E1B" w:rsidRPr="00607E1B" w:rsidRDefault="00607E1B" w:rsidP="00607E1B">
            <w:pPr>
              <w:rPr>
                <w:lang w:val="en-IL"/>
              </w:rPr>
            </w:pPr>
            <w:r w:rsidRPr="00607E1B">
              <w:rPr>
                <w:lang w:val="en-IL"/>
              </w:rPr>
              <w:t>Down from $7.25B peak</w:t>
            </w:r>
          </w:p>
        </w:tc>
      </w:tr>
      <w:tr w:rsidR="00607E1B" w:rsidRPr="00607E1B" w14:paraId="677593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B9E01" w14:textId="77777777" w:rsidR="00607E1B" w:rsidRPr="00607E1B" w:rsidRDefault="00607E1B" w:rsidP="00607E1B">
            <w:pPr>
              <w:rPr>
                <w:lang w:val="en-IL"/>
              </w:rPr>
            </w:pPr>
            <w:r w:rsidRPr="00607E1B">
              <w:rPr>
                <w:b/>
                <w:bCs/>
                <w:lang w:val="en-IL"/>
              </w:rPr>
              <w:t>ARR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93FB0" w14:textId="77777777" w:rsidR="00607E1B" w:rsidRPr="00607E1B" w:rsidRDefault="00607E1B" w:rsidP="00607E1B">
            <w:pPr>
              <w:rPr>
                <w:lang w:val="en-IL"/>
              </w:rPr>
            </w:pPr>
            <w:r w:rsidRPr="00607E1B">
              <w:rPr>
                <w:lang w:val="en-IL"/>
              </w:rPr>
              <w:t>&gt;$300 Million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D2D0A" w14:textId="77777777" w:rsidR="00607E1B" w:rsidRPr="00607E1B" w:rsidRDefault="00607E1B" w:rsidP="00607E1B">
            <w:pPr>
              <w:rPr>
                <w:lang w:val="en-IL"/>
              </w:rPr>
            </w:pPr>
            <w:r w:rsidRPr="00607E1B">
              <w:rPr>
                <w:lang w:val="en-IL"/>
              </w:rPr>
              <w:t>Growing ~20-25% (est.)</w:t>
            </w:r>
          </w:p>
        </w:tc>
      </w:tr>
      <w:tr w:rsidR="00607E1B" w:rsidRPr="00607E1B" w14:paraId="458273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7D265" w14:textId="77777777" w:rsidR="00607E1B" w:rsidRPr="00607E1B" w:rsidRDefault="00607E1B" w:rsidP="00607E1B">
            <w:pPr>
              <w:rPr>
                <w:lang w:val="en-IL"/>
              </w:rPr>
            </w:pPr>
            <w:r w:rsidRPr="00607E1B">
              <w:rPr>
                <w:b/>
                <w:bCs/>
                <w:lang w:val="en-IL"/>
              </w:rPr>
              <w:t>Primary Moat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F3F7D" w14:textId="77777777" w:rsidR="00607E1B" w:rsidRPr="00607E1B" w:rsidRDefault="00607E1B" w:rsidP="00607E1B">
            <w:pPr>
              <w:rPr>
                <w:lang w:val="en-IL"/>
              </w:rPr>
            </w:pPr>
            <w:r w:rsidRPr="00607E1B">
              <w:rPr>
                <w:lang w:val="en-IL"/>
              </w:rPr>
              <w:t>Revenue Graph &amp; Agentic Workflow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36D3C" w14:textId="77777777" w:rsidR="00607E1B" w:rsidRPr="00607E1B" w:rsidRDefault="00607E1B" w:rsidP="00607E1B">
            <w:pPr>
              <w:rPr>
                <w:lang w:val="en-IL"/>
              </w:rPr>
            </w:pPr>
            <w:r w:rsidRPr="00607E1B">
              <w:rPr>
                <w:lang w:val="en-IL"/>
              </w:rPr>
              <w:t>Domain-Specific Data</w:t>
            </w:r>
          </w:p>
        </w:tc>
      </w:tr>
      <w:tr w:rsidR="00607E1B" w:rsidRPr="00607E1B" w14:paraId="2CA8DD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66932" w14:textId="77777777" w:rsidR="00607E1B" w:rsidRPr="00607E1B" w:rsidRDefault="00607E1B" w:rsidP="00607E1B">
            <w:pPr>
              <w:rPr>
                <w:lang w:val="en-IL"/>
              </w:rPr>
            </w:pPr>
            <w:r w:rsidRPr="00607E1B">
              <w:rPr>
                <w:b/>
                <w:bCs/>
                <w:lang w:val="en-IL"/>
              </w:rPr>
              <w:t>Key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E870B" w14:textId="77777777" w:rsidR="00607E1B" w:rsidRPr="00607E1B" w:rsidRDefault="00607E1B" w:rsidP="00607E1B">
            <w:pPr>
              <w:rPr>
                <w:lang w:val="en-IL"/>
              </w:rPr>
            </w:pPr>
            <w:r w:rsidRPr="00607E1B">
              <w:rPr>
                <w:lang w:val="en-IL"/>
              </w:rPr>
              <w:t>Platform Commoditization (Microsoft)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F8FB5" w14:textId="77777777" w:rsidR="00607E1B" w:rsidRPr="00607E1B" w:rsidRDefault="00607E1B" w:rsidP="00607E1B">
            <w:pPr>
              <w:rPr>
                <w:lang w:val="en-IL"/>
              </w:rPr>
            </w:pPr>
            <w:r w:rsidRPr="00607E1B">
              <w:rPr>
                <w:lang w:val="en-IL"/>
              </w:rPr>
              <w:t>"Good Enough" Native AI</w:t>
            </w:r>
          </w:p>
        </w:tc>
      </w:tr>
      <w:tr w:rsidR="00607E1B" w:rsidRPr="00607E1B" w14:paraId="49BFA2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36FCA" w14:textId="77777777" w:rsidR="00607E1B" w:rsidRPr="00607E1B" w:rsidRDefault="00607E1B" w:rsidP="00607E1B">
            <w:pPr>
              <w:rPr>
                <w:lang w:val="en-IL"/>
              </w:rPr>
            </w:pPr>
            <w:r w:rsidRPr="00607E1B">
              <w:rPr>
                <w:b/>
                <w:bCs/>
                <w:lang w:val="en-IL"/>
              </w:rPr>
              <w:t>Compliance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47EF7" w14:textId="77777777" w:rsidR="00607E1B" w:rsidRPr="00607E1B" w:rsidRDefault="00607E1B" w:rsidP="00607E1B">
            <w:pPr>
              <w:rPr>
                <w:lang w:val="en-IL"/>
              </w:rPr>
            </w:pPr>
            <w:r w:rsidRPr="00607E1B">
              <w:rPr>
                <w:lang w:val="en-IL"/>
              </w:rPr>
              <w:t>ISO 42001, SOC2, EU AI Act Ready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77065" w14:textId="77777777" w:rsidR="00607E1B" w:rsidRPr="00607E1B" w:rsidRDefault="00607E1B" w:rsidP="00607E1B">
            <w:pPr>
              <w:rPr>
                <w:lang w:val="en-IL"/>
              </w:rPr>
            </w:pPr>
            <w:r w:rsidRPr="00607E1B">
              <w:rPr>
                <w:lang w:val="en-IL"/>
              </w:rPr>
              <w:t>Leader in AI Governance</w:t>
            </w:r>
          </w:p>
        </w:tc>
      </w:tr>
      <w:tr w:rsidR="00607E1B" w:rsidRPr="00607E1B" w14:paraId="6C63FC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84CAF" w14:textId="77777777" w:rsidR="00607E1B" w:rsidRPr="00607E1B" w:rsidRDefault="00607E1B" w:rsidP="00607E1B">
            <w:pPr>
              <w:rPr>
                <w:lang w:val="en-IL"/>
              </w:rPr>
            </w:pPr>
            <w:r w:rsidRPr="00607E1B">
              <w:rPr>
                <w:b/>
                <w:bCs/>
                <w:lang w:val="en-IL"/>
              </w:rPr>
              <w:t>Pricing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2BF13" w14:textId="77777777" w:rsidR="00607E1B" w:rsidRPr="00607E1B" w:rsidRDefault="00607E1B" w:rsidP="00607E1B">
            <w:pPr>
              <w:rPr>
                <w:lang w:val="en-IL"/>
              </w:rPr>
            </w:pPr>
            <w:r w:rsidRPr="00607E1B">
              <w:rPr>
                <w:lang w:val="en-IL"/>
              </w:rPr>
              <w:t>Premium ($1.2k-$1.6k/user/yr)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90C26" w14:textId="77777777" w:rsidR="00607E1B" w:rsidRPr="00607E1B" w:rsidRDefault="00607E1B" w:rsidP="00607E1B">
            <w:pPr>
              <w:rPr>
                <w:lang w:val="en-IL"/>
              </w:rPr>
            </w:pPr>
            <w:r w:rsidRPr="00607E1B">
              <w:rPr>
                <w:lang w:val="en-IL"/>
              </w:rPr>
              <w:t>High end of market</w:t>
            </w:r>
          </w:p>
        </w:tc>
      </w:tr>
    </w:tbl>
    <w:p w14:paraId="52D0F333" w14:textId="77777777" w:rsidR="00607E1B" w:rsidRPr="00607E1B" w:rsidRDefault="00607E1B" w:rsidP="00607E1B">
      <w:pPr>
        <w:rPr>
          <w:lang w:val="en-IL"/>
        </w:rPr>
      </w:pPr>
      <w:r w:rsidRPr="00607E1B">
        <w:rPr>
          <w:vertAlign w:val="superscript"/>
          <w:lang w:val="en-IL"/>
        </w:rPr>
        <w:t>1</w:t>
      </w:r>
    </w:p>
    <w:p w14:paraId="350EBE2D" w14:textId="77777777" w:rsidR="00607E1B" w:rsidRPr="00607E1B" w:rsidRDefault="00607E1B" w:rsidP="00607E1B">
      <w:pPr>
        <w:rPr>
          <w:lang w:val="en-IL"/>
        </w:rPr>
      </w:pPr>
      <w:r w:rsidRPr="00607E1B">
        <w:rPr>
          <w:lang w:val="en-IL"/>
        </w:rPr>
        <w:t>Report Author: Senior Enterprise Software Analyst</w:t>
      </w:r>
    </w:p>
    <w:p w14:paraId="11A2853D" w14:textId="77777777" w:rsidR="00607E1B" w:rsidRPr="00607E1B" w:rsidRDefault="00607E1B" w:rsidP="00607E1B">
      <w:pPr>
        <w:rPr>
          <w:lang w:val="en-IL"/>
        </w:rPr>
      </w:pPr>
      <w:r w:rsidRPr="00607E1B">
        <w:rPr>
          <w:lang w:val="en-IL"/>
        </w:rPr>
        <w:t>Date: January 20, 2026</w:t>
      </w:r>
    </w:p>
    <w:p w14:paraId="7E376156" w14:textId="77777777" w:rsidR="00E772A0" w:rsidRDefault="00E772A0"/>
    <w:sectPr w:rsidR="00E77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1BAC"/>
    <w:multiLevelType w:val="multilevel"/>
    <w:tmpl w:val="82C0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E179F"/>
    <w:multiLevelType w:val="multilevel"/>
    <w:tmpl w:val="AAB8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25ADA"/>
    <w:multiLevelType w:val="multilevel"/>
    <w:tmpl w:val="59A8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62A5C"/>
    <w:multiLevelType w:val="multilevel"/>
    <w:tmpl w:val="8D92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0A1074"/>
    <w:multiLevelType w:val="multilevel"/>
    <w:tmpl w:val="C2DA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F7701"/>
    <w:multiLevelType w:val="multilevel"/>
    <w:tmpl w:val="8734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9529D"/>
    <w:multiLevelType w:val="multilevel"/>
    <w:tmpl w:val="5044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473D6"/>
    <w:multiLevelType w:val="multilevel"/>
    <w:tmpl w:val="3E3C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D1808"/>
    <w:multiLevelType w:val="multilevel"/>
    <w:tmpl w:val="2100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42D62"/>
    <w:multiLevelType w:val="multilevel"/>
    <w:tmpl w:val="6A20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84A01"/>
    <w:multiLevelType w:val="multilevel"/>
    <w:tmpl w:val="994C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EC291C"/>
    <w:multiLevelType w:val="multilevel"/>
    <w:tmpl w:val="9FD2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0342F"/>
    <w:multiLevelType w:val="multilevel"/>
    <w:tmpl w:val="6870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B4287"/>
    <w:multiLevelType w:val="multilevel"/>
    <w:tmpl w:val="DA3A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42E76"/>
    <w:multiLevelType w:val="multilevel"/>
    <w:tmpl w:val="375A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081FDD"/>
    <w:multiLevelType w:val="multilevel"/>
    <w:tmpl w:val="467C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41141C"/>
    <w:multiLevelType w:val="multilevel"/>
    <w:tmpl w:val="2FE4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AE3E5E"/>
    <w:multiLevelType w:val="multilevel"/>
    <w:tmpl w:val="CD1A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B617E7"/>
    <w:multiLevelType w:val="multilevel"/>
    <w:tmpl w:val="4404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703D9A"/>
    <w:multiLevelType w:val="multilevel"/>
    <w:tmpl w:val="1746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3E534B"/>
    <w:multiLevelType w:val="multilevel"/>
    <w:tmpl w:val="7108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562669">
    <w:abstractNumId w:val="8"/>
  </w:num>
  <w:num w:numId="2" w16cid:durableId="627399274">
    <w:abstractNumId w:val="15"/>
  </w:num>
  <w:num w:numId="3" w16cid:durableId="945230997">
    <w:abstractNumId w:val="17"/>
  </w:num>
  <w:num w:numId="4" w16cid:durableId="43647474">
    <w:abstractNumId w:val="9"/>
  </w:num>
  <w:num w:numId="5" w16cid:durableId="948202266">
    <w:abstractNumId w:val="10"/>
  </w:num>
  <w:num w:numId="6" w16cid:durableId="695039151">
    <w:abstractNumId w:val="2"/>
  </w:num>
  <w:num w:numId="7" w16cid:durableId="1398673832">
    <w:abstractNumId w:val="4"/>
  </w:num>
  <w:num w:numId="8" w16cid:durableId="1739404468">
    <w:abstractNumId w:val="20"/>
  </w:num>
  <w:num w:numId="9" w16cid:durableId="1385907645">
    <w:abstractNumId w:val="5"/>
  </w:num>
  <w:num w:numId="10" w16cid:durableId="1174145833">
    <w:abstractNumId w:val="6"/>
  </w:num>
  <w:num w:numId="11" w16cid:durableId="1213662110">
    <w:abstractNumId w:val="13"/>
  </w:num>
  <w:num w:numId="12" w16cid:durableId="1671713116">
    <w:abstractNumId w:val="16"/>
  </w:num>
  <w:num w:numId="13" w16cid:durableId="1510481005">
    <w:abstractNumId w:val="19"/>
  </w:num>
  <w:num w:numId="14" w16cid:durableId="1679578587">
    <w:abstractNumId w:val="12"/>
  </w:num>
  <w:num w:numId="15" w16cid:durableId="1013995654">
    <w:abstractNumId w:val="18"/>
  </w:num>
  <w:num w:numId="16" w16cid:durableId="253050009">
    <w:abstractNumId w:val="14"/>
  </w:num>
  <w:num w:numId="17" w16cid:durableId="1867328708">
    <w:abstractNumId w:val="0"/>
  </w:num>
  <w:num w:numId="18" w16cid:durableId="1386639172">
    <w:abstractNumId w:val="1"/>
  </w:num>
  <w:num w:numId="19" w16cid:durableId="1886982909">
    <w:abstractNumId w:val="11"/>
  </w:num>
  <w:num w:numId="20" w16cid:durableId="325323630">
    <w:abstractNumId w:val="7"/>
  </w:num>
  <w:num w:numId="21" w16cid:durableId="1888564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E1B"/>
    <w:rsid w:val="001A284B"/>
    <w:rsid w:val="00304A86"/>
    <w:rsid w:val="00607E1B"/>
    <w:rsid w:val="00951813"/>
    <w:rsid w:val="00AB4018"/>
    <w:rsid w:val="00B86A74"/>
    <w:rsid w:val="00E26984"/>
    <w:rsid w:val="00E772A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DCB7A"/>
  <w15:chartTrackingRefBased/>
  <w15:docId w15:val="{9E6FF047-A4D9-4AD4-A2E1-01E5DC2B9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E1B"/>
    <w:rPr>
      <w:rFonts w:eastAsiaTheme="majorEastAsia" w:cstheme="majorBidi"/>
      <w:color w:val="272727" w:themeColor="text1" w:themeTint="D8"/>
    </w:rPr>
  </w:style>
  <w:style w:type="paragraph" w:styleId="Title">
    <w:name w:val="Title"/>
    <w:basedOn w:val="Normal"/>
    <w:next w:val="Normal"/>
    <w:link w:val="TitleChar"/>
    <w:uiPriority w:val="10"/>
    <w:qFormat/>
    <w:rsid w:val="00607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E1B"/>
    <w:pPr>
      <w:spacing w:before="160"/>
      <w:jc w:val="center"/>
    </w:pPr>
    <w:rPr>
      <w:i/>
      <w:iCs/>
      <w:color w:val="404040" w:themeColor="text1" w:themeTint="BF"/>
    </w:rPr>
  </w:style>
  <w:style w:type="character" w:customStyle="1" w:styleId="QuoteChar">
    <w:name w:val="Quote Char"/>
    <w:basedOn w:val="DefaultParagraphFont"/>
    <w:link w:val="Quote"/>
    <w:uiPriority w:val="29"/>
    <w:rsid w:val="00607E1B"/>
    <w:rPr>
      <w:i/>
      <w:iCs/>
      <w:color w:val="404040" w:themeColor="text1" w:themeTint="BF"/>
    </w:rPr>
  </w:style>
  <w:style w:type="paragraph" w:styleId="ListParagraph">
    <w:name w:val="List Paragraph"/>
    <w:basedOn w:val="Normal"/>
    <w:uiPriority w:val="34"/>
    <w:qFormat/>
    <w:rsid w:val="00607E1B"/>
    <w:pPr>
      <w:ind w:left="720"/>
      <w:contextualSpacing/>
    </w:pPr>
  </w:style>
  <w:style w:type="character" w:styleId="IntenseEmphasis">
    <w:name w:val="Intense Emphasis"/>
    <w:basedOn w:val="DefaultParagraphFont"/>
    <w:uiPriority w:val="21"/>
    <w:qFormat/>
    <w:rsid w:val="00607E1B"/>
    <w:rPr>
      <w:i/>
      <w:iCs/>
      <w:color w:val="0F4761" w:themeColor="accent1" w:themeShade="BF"/>
    </w:rPr>
  </w:style>
  <w:style w:type="paragraph" w:styleId="IntenseQuote">
    <w:name w:val="Intense Quote"/>
    <w:basedOn w:val="Normal"/>
    <w:next w:val="Normal"/>
    <w:link w:val="IntenseQuoteChar"/>
    <w:uiPriority w:val="30"/>
    <w:qFormat/>
    <w:rsid w:val="00607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E1B"/>
    <w:rPr>
      <w:i/>
      <w:iCs/>
      <w:color w:val="0F4761" w:themeColor="accent1" w:themeShade="BF"/>
    </w:rPr>
  </w:style>
  <w:style w:type="character" w:styleId="IntenseReference">
    <w:name w:val="Intense Reference"/>
    <w:basedOn w:val="DefaultParagraphFont"/>
    <w:uiPriority w:val="32"/>
    <w:qFormat/>
    <w:rsid w:val="00607E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4061</Words>
  <Characters>22819</Characters>
  <Application>Microsoft Office Word</Application>
  <DocSecurity>0</DocSecurity>
  <Lines>419</Lines>
  <Paragraphs>143</Paragraphs>
  <ScaleCrop>false</ScaleCrop>
  <Company/>
  <LinksUpToDate>false</LinksUpToDate>
  <CharactersWithSpaces>26760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Erez Gartsman</dc:creator>
  <cp:keywords/>
  <dc:description/>
  <cp:lastModifiedBy>Erez Gartsman</cp:lastModifiedBy>
  <cp:revision>2</cp:revision>
  <dcterms:created xsi:type="dcterms:W3CDTF">2026-01-20T11:34:00Z</dcterms:created>
  <dcterms:modified xsi:type="dcterms:W3CDTF">2026-01-20T11:35:00Z</dcterms:modified>
</cp:coreProperties>
</file>