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57364" w14:textId="2D90745C" w:rsidR="00E772A0" w:rsidRDefault="00033A7D">
      <w:r w:rsidRPr="00033A7D">
        <w:t xml:space="preserve">The Multilingual Service Revolution: A Strategic Analysis of Wonderful’s Agentic AI Platform (2025-2026)The global enterprise landscape in 2025 is defined by a fundamental shift in customer interaction paradigms, moving away from reactive support models toward proactive, agentic autonomous systems. At the center of this transition is Wonderful, a Tel Aviv-headquartered startup that has rapidly emerged as a dominant force in automating high-stakes customer service.1 Founded in early 2025 by Bar Winkler and Roey Lalazar, the company has successfully challenged the traditional Business Process Outsourcing (BPO) model by delivering AI agents that move beyond simple linguistic translation to achieve deep cultural and operational integration.2 With a total of $134 million in funding—including a high-profile $100 million Series A led by Index Ventures—Wonderful has demonstrated a unique capability to navigate the "AI deserts" of non-English speaking markets, achieving an 80% resolution rate in complex sectors such as healthcare and telecommunications.1 This report provides an exhaustive deep-dive into the technical, strategic, and financial dimensions of Wonderful’s platform, evaluating its "Local-First" methodology, voice pipeline architecture, and the systemic vulnerabilities inherent in high-stakes AI automation.The Genesis of the Local-First StrategyThe prevailing methodology for AI expansion among Silicon Valley firms has historically been "English-first," where models are trained on massive English datasets and later localized via translation layers.2 Wonderful’s foundational hypothesis suggests that this approach creates significant performance gaps in non-English markets due to a lack of cultural nuance, idiomatic understanding, and regulatory alignment.2 In markets like Israel, the Middle East, and Eastern Europe, the digital footprint of local languages is disproportionately small; for instance, Hebrew accounts for only 0.5% of online content compared to English at over 52%.6 This scarcity of training data often results in generic AI models that struggle with gender agreement, dialects, and the subtle "politeness registers" essential for high-trust industries.6Wonderful’s "Local-First" strategy addresses these "AI deserts" by building agents that are "local by design".2 Rather than treating localization as a post-processing step, the company treats every country as a distinct vertical market.8 This involves the deployment of on-the-ground, full-stack country teams—including local CTOs and "agentic engineers"—who are embedded within the customer’s specific environment to integrate AI agents directly into local legacy systems such as national billing platforms, CRM databases, and ticketing workflows.2 This model enables Wonderful to achieve high resolution rates by ensuring that agents possess the "institutional knowledge" required to handle complex tasks like resolving billing disputes or diagnosing connectivity issues in a way that feels native to the local market.2Market Expansion and Leadership ExecutionThe speed of Wonderful’s execution is a critical factor in its market valuation. Within less than a year of its founding, the company expanded into 30 countries, including Italy, Switzerland, the Netherlands, Greece, Poland, Romania, and the United Arab Emirates.3 This rapid rollout is supported by a workforce of 120 employees, with a core development team of 40 engineers in Israel and the remainder </w:t>
      </w:r>
      <w:r w:rsidRPr="00033A7D">
        <w:lastRenderedPageBreak/>
        <w:t xml:space="preserve">distributed across local go-to-market and implementation functions.1Key Expansion MilestonesTimelineStrategic FocusSeed Round RaisingJuly 2025Initial product development and stealth launch in IsraelEuropean/ME ExpansionQ3-Q4 2025Entry into 30 countries; focus on Italy, Greece, RomaniaSeries A FundingNov 2025$100M round to accelerate global "Local-First" hiringGerman/DACH LaunchLate 2025Entry into Germany, Austria, and the NordicsAPAC/LATAM PhaseEarly 2026Planned expansion into Asia-Pacific and South America3The leadership duo of Bar Winkler (CEO) and Roey Lalazar (CTO) combines deep expertise in AI with the pragmatic discipline of cybersecurity and enterprise software.2 Their approach prioritizes "velocity over perfection" in the early stages, yet maintains a rigorous focus on enterprise-grade stability.2 This balance has allowed Wonderful to move from concept to global scale at a speed that has disrupted traditional enterprise software deployment cycles, which typically range from 6 to 12 months for similar integrations.10Technical Depth of the Voice Pipeline ArchitectureThe technical core of Wonderful’s platform is its proprietary voice pipeline, which is engineered to overcome the "latency tax" associated with standard cascaded AI architectures.14 Traditionally, voice AI systems relied on three discrete steps: Automatic Speech Recognition (ASR), followed by Large Language Model (LLM) inference, and finally Text-to-Speech (TTS) synthesis.14 In early 2024 models, this sequential "hop" between different service providers—such as Deepgram for ASR, OpenAI for LLM, and ElevenLabs for TTS—created a cumulative latency of 1,500ms to 3,000ms.14 In human conversation, a delay exceeding 500ms is perceived as a break in flow, leading to "barge-in" failures where the user begins speaking again just as the bot responds.14Unified Multimodal Processing and Low LatencyWonderful has pioneered a shift toward native multimodal models and "proprietary controllable AI" to achieve sub-300ms reaction times.16 By managing the entire infrastructure from acoustic engineering to response generation, the platform eliminates the inter-service latency inherent in "wrapper" models.14 This allows the AI to handle real-time conversational dynamics such as pauses, self-corrections, and complex customizations.18A critical component of this pipeline is its ability to detect non-linguistic cues. Wonderful’s agents can pick up on a caller’s age, gender, and emotional tone, adjusting their prosody (the rhythm and melody of speech) accordingly to maintain empathy.3 For instance, in a healthcare context, an agent might adopt a softer, more reassuring tone when it detects vulnerability or stress in a patient’s voice.19Technical Components of the Low-Latency EngineTechnical ComponentFunctionalityImpact on InteractionIntent ParsingConverts open-ended voice input into structured objectsEnables handling of multi-part, complex instructionsVoice Activity Detection (VAD)Detects speech starts/stops in noisy environmentsReduces false triggers and improves hands-free usageDynamic Plugin ActivationPreloads UI or data modules based on predicted intentDecreases perceived delay during task executionAcoustic EngineeringFilters background noise and manages various accentsEnsures 98.86% transcription accuracy in ideal conditionsPersistent </w:t>
      </w:r>
      <w:r w:rsidRPr="00033A7D">
        <w:lastRenderedPageBreak/>
        <w:t xml:space="preserve">Context MemoryMaintains session state across voice, chat, and emailAllows for seamless omnichannel follow-ups17The "controllable AI" aspect is a strategic moat against the unpredictability of general-purpose LLMs.16 While models like GPT-4o have reduced their own API costs and improved function-calling, they still pose risks of hallucination and off-brand responses.14 Wonderful’s architecture allows developers to set deterministic "Conversational Pathways," where the AI follows specific logic nodes at each step of the interaction, effectively preventing it from "guessing" or deviating from corporate policy.16Enterprise Integrations and Agentic WorkflowsAn 80% resolution rate in complex industries is only possible if the AI agent is not merely a conversational interface but a fully integrated part of the enterprise workflow.2 Wonderful achieves this through "Agentic AI"—systems that can autonomously plan tasks, break them into subtasks, and execute actions across a company’s technology stack.26Integration with Telecom and Billing InfrastructureIn the telecommunications sector, Wonderful has partnered with industry giants like Amdocs to move beyond activity-based support toward outcome-based service.28 Traditionally, 60% of calls to telecom contact centers are billing-related, driving significant churn and costing operators millions in "goodwill credits" to resolve disputes.30 Wonderful’s integration with Amdocs' "amAIz" suite and TMF620 APIs allows its agents to perform real-time billing QA.30By utilizing a "Real-Time Billing" (RTB) engine, Wonderful’s agents can detect anomalies as they occur, resolving billing errors before the customer receives their statement.30 This proactive resolution has been shown to reduce billing-related calls by 80% and churn by 35%.30 The technical bridge for these integrations is often the Model Context Protocol (MCP), a standardized framework that allows AI agents to "talk" to legacy databases and ERP systems like Salesforce or Microsoft Dynamics 365 without requiring bespoke point-to-point coding for every new client.29Healthcare Industry Implementations: Maccabi Healthcare Case StudyThe healthcare sector requires the highest level of trust and regulatory compliance.19 Maccabi Healthcare, an Israeli HMO serving over 2.3 million members, replaced its legacy IVR and unsophisticated mobile portals with Wonderful’s agentic platform.35 The challenge was a thirty-year backlog of technical debt and diversified databases that created fragmented patient experiences.36The Wonderful implementation focused on four primary healthcare use cases:Emergency Guidance: Delivering immediate protection guidelines and real-time medical center information.35Appointment Orchestration: Enabling end-to-end booking through voice and chat, integrated directly with doctor calendars.35Postnatal Care: Deploying dedicated clinical assistance agents to support new mothers.35Operational Transformation: Shifting paper-based processes, such as "fit notes" and prescription fulfillment, to fully digital, AI-managed workflows.36Maccabi MetricPre-Wonderful AIPost-Wonderful AIUser Rating1-2 Stars (Legacy App)4-5 Stars (AI-Enabled App)Call Resolution SpeedBaseline3x FasterFirst Call ResolutionLimited/IVR-basedHigh/Majority ResolvedInteractions HandledN/A240,000 in first 6 weeksCustomer SentimentFragmented15%+ Increase in </w:t>
      </w:r>
      <w:r w:rsidRPr="00033A7D">
        <w:lastRenderedPageBreak/>
        <w:t xml:space="preserve">Happiness35This healthcare implementation demonstrates the efficacy of the "Agentic" model: the AI does not just answer the question "When is my appointment?"; it identifies the need for an appointment, checks availability across multiple medical centers, books the slot, and sends a confirmation with a Zoom link or directions, all while maintaining strict adherence to HIPAA-like data policies.19Financial Modeling and BPO DisruptionWonderful’s value proposition is rooted in a massive cost-arbitrage opportunity that threatens the traditional BPO industry.14 The fully loaded cost of a human customer service agent in the United States ranges from $0.80 to $1.10 per minute, while offshore agents in markets like the Philippines or India cost between $0.35 and $0.50 per minute.14 In contrast, Wonderful’s AI agents operate at a cost of $0.08 to $0.20 per minute—representing an 80-90% reduction in operational expenditure.14Comparative Cost and Efficiency MetricsCost MetricHuman Agent (US)Human Agent (Offshore)Wonderful AI AgentCost Per Minute$0.80 - $1.10$0.35 - $0.50$0.08 - $0.25Cost Per Interaction$5.00 - $15.00$3.00 - $6.00$0.25 - $2.00Training/Onboarding4-12 Weeks4-8 WeeksInstant (Knowledge Injection)ScalabilityLinear (Hiring)Linear (Hiring)Elastic (Server Load)AvailabilityShift-based (8h)24/7 (via shifts)24/7 (Always-on)14For high-volume enterprises, the ROI of Wonderful’s platform is often realized within 3 to 9 months, compared to the 12-24 months typical for traditional human workforce expansions.14 This fiscal efficiency is a primary driver behind the company’s Series A valuation and its rapid adoption by telecommunications and banking giants, where even a 1% reduction in support costs translates to millions in bottom-line savings.14The Local Deployment Strategy: Romania and Germany RoadmapWonderful’s expansion strategy is not merely digital; it is operational and territorial.2 The company’s opening of its second international office in Bucharest, Romania, reflects its commitment to deep localization in the Eastern Romance market.7Romania as an Engineering and BPO HubRomania has emerged as an AI powerhouse in Europe due to its senior engineering culture and regulatory alignment with the EU.41 Wonderful’s Romanian operations are led by Lucia Stoicescu, formerly the CEO of Mindit.io, who brings 20 years of IT management experience to the firm.10 The Romanian team focuses on:Linguistic Precision: Mastering the nuances of Romanian, such as postposed definite articles and polite registers that automated translation tools often miss.7Sector Verticalization: Collaborating with Romania’s largest banks and utilities to benchmark the "Agentic AI" platform for the local language.7BPO Modernization: Leveraging Romania's status as a major BPO destination to transition traditional service jobs into high-value AI-management roles.7Germany and Central Europe Expansion (2025-2026)Following the Romanian launch, Wonderful is targeting the DACH region (Germany, Austria, Switzerland) in late 2025.3 This expansion is particularly challenging due to Germany’s stringent data sovereignty laws and the complexity of German industrial support workflows.2 To succeed here, Wonderful is utilizing "AI Factories"—EU-supported supercomputing hubs—to ensure that data processing remains within national borders while meeting the performance </w:t>
      </w:r>
      <w:r w:rsidRPr="00033A7D">
        <w:lastRenderedPageBreak/>
        <w:t xml:space="preserve">demands of German enterprises.44 The growth in Central Europe and the CIS region is being coordinated by Bogdan Putinică, ensuring that cultural contexts across the Adriatics and Baltics are respected during deployment.10Vulnerabilities and Systemic Risks in High-Stakes AIWhile the benefits of Wonderful’s platform are significant, the deployment of AI in high-stakes environments like healthcare and telecommunications introduces critical vulnerabilities.27The "Silent Failure" Risk in HealthcareThe most profound threat in healthcare AI is not a dramatic system crash but a "silent failure"—hidden errors that grow rapidly across a hospital network.45 A single inaccurate medical algorithm could misdiagnose thousands of patients before the error is detected, turning an isolated clinical mistake into a systemic crisis.45Key failure points identified in recent research include:Data Poisoning: Tampered or biased datasets subtly disrupting future diagnoses, particularly for demographic groups underrepresented in training data.45Algorithmic Transparency: The "black box" nature of many AI models prevents clinicians from understanding why a certain recommendation was made, forcing them to either trust unverified output or ignore potentially life-saving insights.34Re-identification Risks: Advanced pattern analysis can sometimes re-identify individuals in supposedly "de-identified" or anonymous datasets, creating significant HIPAA and GDPR compliance gaps.34Telecommunications and Financial VulnerabilitiesIn the telecom and banking sectors, vulnerabilities often manifest as security flaws in AI output or data leaks.45 A Cybernews review of S&amp;P 500 companies found 149 potential security weaknesses among healthcare and pharmaceutical companies using AI, ranking it among the top three most vulnerable sectors.45 For Wonderful, the risk lies in its deep integration; if an AI agent has the authority to process refunds or update account details, a compromise of the agent’s logic could lead to massive financial fraud or unauthorized medical claims.45Mitigation and Governance StrategiesTo address these risks, Wonderful implements a dedicated AI governance layer.19 This includes:Supervisory Guardrails: Real-time monitoring systems that halt processing if a confidence threshold drops or if sensitive information (like patient names or SSNs) is detected in a query to a foundational model.19Traceable Audit Trails: Logging every AI query and response, linking them to specific timestamps and users to ensure accountability in the event of a clinical or financial incident.45Automated Data Stripping: Utilizing technology to automatically remove PHI (Protected Health Information) from any input before it passes through the AI system.45Competitive Landscape and Strategy SynthesisWonderful occupies the premium tier of the AI service platform market, distinguishing itself from "wrapper" startups that simply provide a frontend for OpenAI or Anthropic models.49 While some praise platforms like Air.ai or Bland.ai for their ease of use, they are often criticized for high latency (up to 10 seconds), inconsistent call quality, and a lack of HIPAA/SOC2 compliance.25Competitive Benchmarking (2025)PlatformCore Value PropositionPrimary WeaknessWonderful AI"Local-First" agentic resolution for global enterpriseHigher implementation cost/complexityBland.aiFast, programmable voice </w:t>
      </w:r>
      <w:r w:rsidRPr="00033A7D">
        <w:lastRenderedPageBreak/>
        <w:t>agents for developersRequires significant coding expertise; hidden feesAir.aiHigh-volume sales and viral marketing successStability issues; reported poor customer supportLindyNo-code "AI Employees" for SMB productivityNot as stable for high-volume enterprise phone callsRetell AITransparent pricing and ultra-low latency for supportNo drag-and-drop builder; billing complexity2The strategic moat for Wonderful is its "Local-First" wrapper—the combination of deep system integration and cultural fluency.2 While foundational model providers (OpenAI, Google) will continue to commoditize the "intelligence" layer, the "deployment" layer—ensuring the AI works in Romanian, understands Bezeq’s billing logic, and respects Maccabi’s clinical protocols—remains a specialized service that is difficult to replicate at scale.2Future Outlook: The Agentic Revolution of 2026By early 2026, Gartner projects that agentic AI will autonomously resolve 80% of all customer service issues.26 Wonderful is positioned to lead this shift, moving beyond its initial focus on customer support into broader enterprise operations such as employee training, regulatory compliance, and sales enablement.3 The company's expansion into APAC and South America will test its "Local-First" hypothesis on a truly global scale, requiring it to master the vast cultural and regulatory diversity of markets like Japan, Brazil, and Indonesia.3In conclusion, Wonderful’s success is a testament to the fact that in the era of artificial intelligence, localized depth often trumps generic global scale.2 By treating language and culture as fundamental technical requirements rather than secondary features, the company has unlocked the potential for AI to operate in the most high-stakes, high-trust environments in the world. However, as these systems become more autonomous, the industry must remain vigilant against the "silent failures" that could undermine the very trust these systems are designed to build. The future of enterprise AI will be defined by the successful orchestration of advanced neural models, deep legacy integrations, and a relentless focus on local context.</w:t>
      </w:r>
    </w:p>
    <w:sectPr w:rsidR="00E772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A7D"/>
    <w:rsid w:val="00033A7D"/>
    <w:rsid w:val="003F6737"/>
    <w:rsid w:val="00951813"/>
    <w:rsid w:val="00AB4018"/>
    <w:rsid w:val="00B86A74"/>
    <w:rsid w:val="00E26984"/>
    <w:rsid w:val="00E772A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F908D"/>
  <w15:chartTrackingRefBased/>
  <w15:docId w15:val="{A65D7993-302B-4ABD-8DD2-23564FB83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A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A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A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A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A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A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A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A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A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A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A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A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A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A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A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A7D"/>
    <w:rPr>
      <w:rFonts w:eastAsiaTheme="majorEastAsia" w:cstheme="majorBidi"/>
      <w:color w:val="272727" w:themeColor="text1" w:themeTint="D8"/>
    </w:rPr>
  </w:style>
  <w:style w:type="paragraph" w:styleId="Title">
    <w:name w:val="Title"/>
    <w:basedOn w:val="Normal"/>
    <w:next w:val="Normal"/>
    <w:link w:val="TitleChar"/>
    <w:uiPriority w:val="10"/>
    <w:qFormat/>
    <w:rsid w:val="00033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A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A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A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A7D"/>
    <w:pPr>
      <w:spacing w:before="160"/>
      <w:jc w:val="center"/>
    </w:pPr>
    <w:rPr>
      <w:i/>
      <w:iCs/>
      <w:color w:val="404040" w:themeColor="text1" w:themeTint="BF"/>
    </w:rPr>
  </w:style>
  <w:style w:type="character" w:customStyle="1" w:styleId="QuoteChar">
    <w:name w:val="Quote Char"/>
    <w:basedOn w:val="DefaultParagraphFont"/>
    <w:link w:val="Quote"/>
    <w:uiPriority w:val="29"/>
    <w:rsid w:val="00033A7D"/>
    <w:rPr>
      <w:i/>
      <w:iCs/>
      <w:color w:val="404040" w:themeColor="text1" w:themeTint="BF"/>
    </w:rPr>
  </w:style>
  <w:style w:type="paragraph" w:styleId="ListParagraph">
    <w:name w:val="List Paragraph"/>
    <w:basedOn w:val="Normal"/>
    <w:uiPriority w:val="34"/>
    <w:qFormat/>
    <w:rsid w:val="00033A7D"/>
    <w:pPr>
      <w:ind w:left="720"/>
      <w:contextualSpacing/>
    </w:pPr>
  </w:style>
  <w:style w:type="character" w:styleId="IntenseEmphasis">
    <w:name w:val="Intense Emphasis"/>
    <w:basedOn w:val="DefaultParagraphFont"/>
    <w:uiPriority w:val="21"/>
    <w:qFormat/>
    <w:rsid w:val="00033A7D"/>
    <w:rPr>
      <w:i/>
      <w:iCs/>
      <w:color w:val="0F4761" w:themeColor="accent1" w:themeShade="BF"/>
    </w:rPr>
  </w:style>
  <w:style w:type="paragraph" w:styleId="IntenseQuote">
    <w:name w:val="Intense Quote"/>
    <w:basedOn w:val="Normal"/>
    <w:next w:val="Normal"/>
    <w:link w:val="IntenseQuoteChar"/>
    <w:uiPriority w:val="30"/>
    <w:qFormat/>
    <w:rsid w:val="00033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A7D"/>
    <w:rPr>
      <w:i/>
      <w:iCs/>
      <w:color w:val="0F4761" w:themeColor="accent1" w:themeShade="BF"/>
    </w:rPr>
  </w:style>
  <w:style w:type="character" w:styleId="IntenseReference">
    <w:name w:val="Intense Reference"/>
    <w:basedOn w:val="DefaultParagraphFont"/>
    <w:uiPriority w:val="32"/>
    <w:qFormat/>
    <w:rsid w:val="00033A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2848</Words>
  <Characters>16238</Characters>
  <Application>Microsoft Office Word</Application>
  <DocSecurity>0</DocSecurity>
  <Lines>135</Lines>
  <Paragraphs>38</Paragraphs>
  <ScaleCrop>false</ScaleCrop>
  <Company/>
  <LinksUpToDate>false</LinksUpToDate>
  <CharactersWithSpaces>19048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Erez Gartzman</dc:creator>
  <cp:keywords/>
  <dc:description/>
  <cp:lastModifiedBy>Erez Gartsman</cp:lastModifiedBy>
  <cp:revision>1</cp:revision>
  <dcterms:created xsi:type="dcterms:W3CDTF">2026-01-20T11:08:00Z</dcterms:created>
  <dcterms:modified xsi:type="dcterms:W3CDTF">2026-01-20T11:08:00Z</dcterms:modified>
</cp:coreProperties>
</file>