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In Youth is Pleasure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Denton Welch.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Stories of Breece D'J Pancake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Breece D'J Pancake.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Book of Why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Judea Pearl and Dana Mackenzie.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Grand Babylon Hotel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Arnold Bennett.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Civilizations [Civilisations]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présences [Presences]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Caroline Bongrand.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“Ihre Mikrowelle [Your Microwave]”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Philipp Schönthaler,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He Who Laughs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The Short Story Project, 2021.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“Claus Peymann kauft sich eine Hose und geht mit mir essen [Claus Peymann Buys Himself a Pair of Pants and Joins Me for Lunch]”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Thomas Bernhard,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Hava Lehaba 00021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Poetry Place, 2023.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Dämmern der Welt [The Twilight World]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Werner Herzog.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Babel,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Zehn Millionen Kinder [School for Barbarians]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Erika Mann.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Ostende [Ostend]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Volker Weidermann.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primas [Cousins]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Aurora Venturini.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  <dc:identifier/>
  <dc:language/>
</cp:coreProperties>
</file>