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1DCC" w14:textId="2FCE9FFE" w:rsidR="006F16FD" w:rsidRDefault="006F16FD"/>
    <w:p w14:paraId="77724FDA" w14:textId="454235CE" w:rsidR="006F16FD" w:rsidRPr="006F16FD" w:rsidRDefault="006F16FD" w:rsidP="006F16FD">
      <w:pPr>
        <w:jc w:val="center"/>
        <w:rPr>
          <w:b/>
          <w:bCs/>
          <w:sz w:val="56"/>
          <w:szCs w:val="56"/>
        </w:rPr>
      </w:pPr>
      <w:r w:rsidRPr="006F16FD">
        <w:rPr>
          <w:b/>
          <w:bCs/>
          <w:sz w:val="56"/>
          <w:szCs w:val="56"/>
        </w:rPr>
        <w:t xml:space="preserve">The Onion Fractal </w:t>
      </w:r>
      <w:r>
        <w:rPr>
          <w:b/>
          <w:bCs/>
          <w:sz w:val="56"/>
          <w:szCs w:val="56"/>
        </w:rPr>
        <w:t>Theory</w:t>
      </w:r>
    </w:p>
    <w:p w14:paraId="6150538E" w14:textId="6F7FDC7A" w:rsidR="006F16FD" w:rsidRDefault="006F16FD">
      <w:r>
        <w:rPr>
          <w:noProof/>
        </w:rPr>
        <w:drawing>
          <wp:anchor distT="0" distB="0" distL="114300" distR="114300" simplePos="0" relativeHeight="251660800" behindDoc="0" locked="0" layoutInCell="1" allowOverlap="1" wp14:anchorId="62493395" wp14:editId="0740CE93">
            <wp:simplePos x="0" y="0"/>
            <wp:positionH relativeFrom="column">
              <wp:posOffset>1368591</wp:posOffset>
            </wp:positionH>
            <wp:positionV relativeFrom="paragraph">
              <wp:posOffset>117116</wp:posOffset>
            </wp:positionV>
            <wp:extent cx="3290984" cy="3059095"/>
            <wp:effectExtent l="19050" t="19050" r="24130" b="273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AFAFB"/>
                        </a:clrFrom>
                        <a:clrTo>
                          <a:srgbClr val="FAFAF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984" cy="305909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ABC21" w14:textId="7EBB38D2" w:rsidR="006F16FD" w:rsidRDefault="006F16FD"/>
    <w:p w14:paraId="3CE32BBD" w14:textId="77777777" w:rsidR="006F16FD" w:rsidRDefault="006F16FD"/>
    <w:p w14:paraId="2FFDBC12" w14:textId="5438DE25" w:rsidR="006F16FD" w:rsidRDefault="006F16FD"/>
    <w:p w14:paraId="012F79B6" w14:textId="7D90B31F" w:rsidR="006F16FD" w:rsidRDefault="006F16FD"/>
    <w:p w14:paraId="2A7640AB" w14:textId="77777777" w:rsidR="006F16FD" w:rsidRDefault="006F16FD"/>
    <w:p w14:paraId="5EB46788" w14:textId="76C467C4" w:rsidR="006F16FD" w:rsidRDefault="006F16FD"/>
    <w:p w14:paraId="449559E3" w14:textId="77777777" w:rsidR="006F16FD" w:rsidRDefault="006F16FD"/>
    <w:p w14:paraId="64B4D38F" w14:textId="77777777" w:rsidR="006F16FD" w:rsidRDefault="006F16FD"/>
    <w:p w14:paraId="0D2E5E72" w14:textId="77777777" w:rsidR="006F16FD" w:rsidRDefault="006F16FD"/>
    <w:p w14:paraId="16A11C76" w14:textId="77777777" w:rsidR="006F16FD" w:rsidRDefault="006F16FD"/>
    <w:p w14:paraId="548D4B6D" w14:textId="77777777" w:rsidR="006F16FD" w:rsidRPr="006F16FD" w:rsidRDefault="006F16FD" w:rsidP="006F16FD">
      <w:pPr>
        <w:spacing w:before="100" w:beforeAutospacing="1" w:after="0" w:line="360" w:lineRule="auto"/>
        <w:outlineLvl w:val="2"/>
        <w:rPr>
          <w:rFonts w:ascii="Cambria" w:eastAsia="Times New Roman" w:hAnsi="Cambria" w:cs="Times New Roman"/>
          <w:b/>
          <w:bCs/>
          <w:lang w:bidi="he-IL"/>
        </w:rPr>
      </w:pPr>
      <w:r w:rsidRPr="006F16FD">
        <w:rPr>
          <w:rFonts w:ascii="Cambria" w:eastAsia="Times New Roman" w:hAnsi="Cambria" w:cs="Times New Roman"/>
          <w:b/>
          <w:bCs/>
          <w:lang w:bidi="he-IL"/>
        </w:rPr>
        <w:t xml:space="preserve">Explanation of the Onion Fractal Flow </w:t>
      </w:r>
    </w:p>
    <w:p w14:paraId="4B936E49" w14:textId="77777777" w:rsidR="006F16FD" w:rsidRPr="006F16FD" w:rsidRDefault="006F16FD" w:rsidP="006F16FD">
      <w:pPr>
        <w:spacing w:after="100" w:afterAutospacing="1" w:line="360" w:lineRule="auto"/>
        <w:rPr>
          <w:rFonts w:ascii="Cambria" w:eastAsia="Times New Roman" w:hAnsi="Cambria" w:cs="Times New Roman"/>
          <w:lang w:bidi="he-IL"/>
        </w:rPr>
      </w:pPr>
      <w:r w:rsidRPr="006F16FD">
        <w:rPr>
          <w:rFonts w:ascii="Cambria" w:eastAsia="Times New Roman" w:hAnsi="Cambria" w:cs="Times New Roman"/>
          <w:lang w:bidi="he-IL"/>
        </w:rPr>
        <w:t xml:space="preserve">The </w:t>
      </w:r>
      <w:r w:rsidRPr="006F16FD">
        <w:rPr>
          <w:rFonts w:ascii="Cambria" w:eastAsia="Times New Roman" w:hAnsi="Cambria" w:cs="Times New Roman"/>
          <w:i/>
          <w:iCs/>
          <w:lang w:bidi="he-IL"/>
        </w:rPr>
        <w:t>Onion Fractal Flow</w:t>
      </w:r>
      <w:r w:rsidRPr="006F16FD">
        <w:rPr>
          <w:rFonts w:ascii="Cambria" w:eastAsia="Times New Roman" w:hAnsi="Cambria" w:cs="Times New Roman"/>
          <w:lang w:bidi="he-IL"/>
        </w:rPr>
        <w:t xml:space="preserve"> diagram represents the ontological structure of reality as modeled in the Noēsis system, where each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event</w:t>
      </w:r>
      <w:r w:rsidRPr="006F16FD">
        <w:rPr>
          <w:rFonts w:ascii="Cambria" w:eastAsia="Times New Roman" w:hAnsi="Cambria" w:cs="Times New Roman"/>
          <w:lang w:bidi="he-IL"/>
        </w:rPr>
        <w:t xml:space="preserve"> or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mode</w:t>
      </w:r>
      <w:r w:rsidRPr="006F16FD">
        <w:rPr>
          <w:rFonts w:ascii="Cambria" w:eastAsia="Times New Roman" w:hAnsi="Cambria" w:cs="Times New Roman"/>
          <w:lang w:bidi="he-IL"/>
        </w:rPr>
        <w:t xml:space="preserve"> is embedded within a multi-layered, recursive structure of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causes</w:t>
      </w:r>
      <w:r w:rsidRPr="006F16FD">
        <w:rPr>
          <w:rFonts w:ascii="Cambria" w:eastAsia="Times New Roman" w:hAnsi="Cambria" w:cs="Times New Roman"/>
          <w:lang w:bidi="he-IL"/>
        </w:rPr>
        <w:t xml:space="preserve"> and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ideas</w:t>
      </w:r>
      <w:r w:rsidRPr="006F16FD">
        <w:rPr>
          <w:rFonts w:ascii="Cambria" w:eastAsia="Times New Roman" w:hAnsi="Cambria" w:cs="Times New Roman"/>
          <w:lang w:bidi="he-IL"/>
        </w:rPr>
        <w:t xml:space="preserve">. At the center of the onion lies the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originating event</w:t>
      </w:r>
      <w:r w:rsidRPr="006F16FD">
        <w:rPr>
          <w:rFonts w:ascii="Cambria" w:eastAsia="Times New Roman" w:hAnsi="Cambria" w:cs="Times New Roman"/>
          <w:lang w:bidi="he-IL"/>
        </w:rPr>
        <w:t xml:space="preserve">—a singular mode of God/Substance expressing itself in the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order and connection of things</w:t>
      </w:r>
      <w:r w:rsidRPr="006F16FD">
        <w:rPr>
          <w:rFonts w:ascii="Cambria" w:eastAsia="Times New Roman" w:hAnsi="Cambria" w:cs="Times New Roman"/>
          <w:lang w:bidi="he-IL"/>
        </w:rPr>
        <w:t xml:space="preserve">. Each surrounding layer reflects either a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causal antecedent</w:t>
      </w:r>
      <w:r w:rsidRPr="006F16FD">
        <w:rPr>
          <w:rFonts w:ascii="Cambria" w:eastAsia="Times New Roman" w:hAnsi="Cambria" w:cs="Times New Roman"/>
          <w:lang w:bidi="he-IL"/>
        </w:rPr>
        <w:t xml:space="preserve"> (moving inward) or an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ideational echo</w:t>
      </w:r>
      <w:r w:rsidRPr="006F16FD">
        <w:rPr>
          <w:rFonts w:ascii="Cambria" w:eastAsia="Times New Roman" w:hAnsi="Cambria" w:cs="Times New Roman"/>
          <w:lang w:bidi="he-IL"/>
        </w:rPr>
        <w:t xml:space="preserve"> (moving outward), forming a dual recursion. These layers represent increasing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distance from the adequate cause</w:t>
      </w:r>
      <w:r w:rsidRPr="006F16FD">
        <w:rPr>
          <w:rFonts w:ascii="Cambria" w:eastAsia="Times New Roman" w:hAnsi="Cambria" w:cs="Times New Roman"/>
          <w:lang w:bidi="he-IL"/>
        </w:rPr>
        <w:t xml:space="preserve">, yet simultaneously hold potential for increased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ideational clarity</w:t>
      </w:r>
      <w:r w:rsidRPr="006F16FD">
        <w:rPr>
          <w:rFonts w:ascii="Cambria" w:eastAsia="Times New Roman" w:hAnsi="Cambria" w:cs="Times New Roman"/>
          <w:lang w:bidi="he-IL"/>
        </w:rPr>
        <w:t xml:space="preserve"> when viewed as part of the whole. The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vertical arrows</w:t>
      </w:r>
      <w:r w:rsidRPr="006F16FD">
        <w:rPr>
          <w:rFonts w:ascii="Cambria" w:eastAsia="Times New Roman" w:hAnsi="Cambria" w:cs="Times New Roman"/>
          <w:lang w:bidi="he-IL"/>
        </w:rPr>
        <w:t xml:space="preserve"> symbolize reflective traversal—either backward through chains of necessity or outward through nested ideas-of-ideas.</w:t>
      </w:r>
    </w:p>
    <w:p w14:paraId="1358E671" w14:textId="672A7662" w:rsidR="006F16FD" w:rsidRPr="006F16FD" w:rsidRDefault="006F16FD" w:rsidP="006F16FD">
      <w:pPr>
        <w:spacing w:before="100" w:beforeAutospacing="1" w:after="100" w:afterAutospacing="1" w:line="360" w:lineRule="auto"/>
        <w:rPr>
          <w:rFonts w:ascii="Cambria" w:eastAsia="Times New Roman" w:hAnsi="Cambria" w:cs="Times New Roman"/>
          <w:lang w:bidi="he-IL"/>
        </w:rPr>
      </w:pPr>
      <w:r w:rsidRPr="006F16FD">
        <w:rPr>
          <w:rFonts w:ascii="Cambria" w:eastAsia="Times New Roman" w:hAnsi="Cambria" w:cs="Times New Roman"/>
          <w:lang w:bidi="he-IL"/>
        </w:rPr>
        <w:t xml:space="preserve">This scheme is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conceptual</w:t>
      </w:r>
      <w:r w:rsidRPr="006F16FD">
        <w:rPr>
          <w:rFonts w:ascii="Cambria" w:eastAsia="Times New Roman" w:hAnsi="Cambria" w:cs="Times New Roman"/>
          <w:lang w:bidi="he-IL"/>
        </w:rPr>
        <w:t xml:space="preserve">, not a literal or spatial representation. We do not claim that the metaphysical structure </w:t>
      </w:r>
      <w:r w:rsidRPr="006F16FD">
        <w:rPr>
          <w:rFonts w:ascii="Cambria" w:eastAsia="Times New Roman" w:hAnsi="Cambria" w:cs="Times New Roman"/>
          <w:i/>
          <w:iCs/>
          <w:lang w:bidi="he-IL"/>
        </w:rPr>
        <w:t>looks</w:t>
      </w:r>
      <w:r w:rsidRPr="006F16FD">
        <w:rPr>
          <w:rFonts w:ascii="Cambria" w:eastAsia="Times New Roman" w:hAnsi="Cambria" w:cs="Times New Roman"/>
          <w:lang w:bidi="he-IL"/>
        </w:rPr>
        <w:t xml:space="preserve"> like an onion; rather, the onion metaphor serves to illustrate the recursive, layered nature of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adequate understanding</w:t>
      </w:r>
      <w:r w:rsidRPr="006F16FD">
        <w:rPr>
          <w:rFonts w:ascii="Cambria" w:eastAsia="Times New Roman" w:hAnsi="Cambria" w:cs="Times New Roman"/>
          <w:lang w:bidi="he-IL"/>
        </w:rPr>
        <w:t xml:space="preserve">. Adequacy (ΔA) is maximized when the agent can perceive both paths simultaneously—grasping the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local necessity</w:t>
      </w:r>
      <w:r w:rsidRPr="006F16FD">
        <w:rPr>
          <w:rFonts w:ascii="Cambria" w:eastAsia="Times New Roman" w:hAnsi="Cambria" w:cs="Times New Roman"/>
          <w:lang w:bidi="he-IL"/>
        </w:rPr>
        <w:t xml:space="preserve"> and the </w:t>
      </w:r>
      <w:r w:rsidRPr="006F16FD">
        <w:rPr>
          <w:rFonts w:ascii="Cambria" w:eastAsia="Times New Roman" w:hAnsi="Cambria" w:cs="Times New Roman"/>
          <w:b/>
          <w:bCs/>
          <w:lang w:bidi="he-IL"/>
        </w:rPr>
        <w:t>universal pattern</w:t>
      </w:r>
      <w:r w:rsidRPr="006F16FD">
        <w:rPr>
          <w:rFonts w:ascii="Cambria" w:eastAsia="Times New Roman" w:hAnsi="Cambria" w:cs="Times New Roman"/>
          <w:lang w:bidi="he-IL"/>
        </w:rPr>
        <w:t xml:space="preserve"> together. The onion structure is thus not a static map, but a dynamic, living flow of recursive knowing—where cognition becomes ontology, and reflection becomes participation in divine order.</w:t>
      </w:r>
    </w:p>
    <w:sectPr w:rsidR="006F16FD" w:rsidRPr="006F16FD" w:rsidSect="006F16FD">
      <w:pgSz w:w="12240" w:h="15840"/>
      <w:pgMar w:top="810" w:right="1530" w:bottom="117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27312">
    <w:abstractNumId w:val="8"/>
  </w:num>
  <w:num w:numId="2" w16cid:durableId="1819567576">
    <w:abstractNumId w:val="6"/>
  </w:num>
  <w:num w:numId="3" w16cid:durableId="1363169395">
    <w:abstractNumId w:val="5"/>
  </w:num>
  <w:num w:numId="4" w16cid:durableId="1526603109">
    <w:abstractNumId w:val="4"/>
  </w:num>
  <w:num w:numId="5" w16cid:durableId="565073498">
    <w:abstractNumId w:val="7"/>
  </w:num>
  <w:num w:numId="6" w16cid:durableId="1018968672">
    <w:abstractNumId w:val="3"/>
  </w:num>
  <w:num w:numId="7" w16cid:durableId="1535340425">
    <w:abstractNumId w:val="2"/>
  </w:num>
  <w:num w:numId="8" w16cid:durableId="1235164242">
    <w:abstractNumId w:val="1"/>
  </w:num>
  <w:num w:numId="9" w16cid:durableId="11452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9BB"/>
    <w:rsid w:val="00326F90"/>
    <w:rsid w:val="00540BF7"/>
    <w:rsid w:val="006F16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E99D9"/>
  <w14:defaultImageDpi w14:val="300"/>
  <w15:docId w15:val="{1AC8776B-9525-4644-8FC5-B000525A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EREZ ASHKENAZI</cp:lastModifiedBy>
  <cp:revision>2</cp:revision>
  <dcterms:created xsi:type="dcterms:W3CDTF">2025-07-26T14:43:00Z</dcterms:created>
  <dcterms:modified xsi:type="dcterms:W3CDTF">2025-07-26T14:43:00Z</dcterms:modified>
  <cp:category/>
</cp:coreProperties>
</file>