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39829" w14:textId="77777777" w:rsidR="005F29C4" w:rsidRDefault="00000000">
      <w:pPr>
        <w:pStyle w:val="Title"/>
      </w:pPr>
      <w:r>
        <w:t>Telecom Customer Intelligence</w:t>
      </w:r>
      <w:r>
        <w:br/>
        <w:t>&amp; Churn Prediction</w:t>
      </w:r>
    </w:p>
    <w:p w14:paraId="5E41451E" w14:textId="77777777" w:rsidR="005F29C4" w:rsidRDefault="00000000">
      <w:pPr>
        <w:spacing w:after="80"/>
      </w:pPr>
      <w:r>
        <w:rPr>
          <w:b/>
          <w:color w:val="4B555C"/>
        </w:rPr>
        <w:t>Executive Project Report  |  EDA • BI Dashboard • Predictive Modeling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5F29C4" w14:paraId="6BE63E42" w14:textId="77777777">
        <w:trPr>
          <w:cantSplit/>
          <w:jc w:val="center"/>
        </w:trPr>
        <w:tc>
          <w:tcPr>
            <w:tcW w:w="2131" w:type="dxa"/>
            <w:shd w:val="clear" w:color="auto" w:fill="EAF0F4"/>
          </w:tcPr>
          <w:p w14:paraId="09058324" w14:textId="77777777" w:rsidR="005F29C4" w:rsidRDefault="00000000">
            <w:pPr>
              <w:spacing w:after="0"/>
              <w:jc w:val="center"/>
            </w:pPr>
            <w:r>
              <w:rPr>
                <w:b/>
                <w:color w:val="1F3748"/>
                <w:sz w:val="24"/>
              </w:rPr>
              <w:t>14.7%</w:t>
            </w:r>
            <w:r>
              <w:rPr>
                <w:b/>
                <w:color w:val="1F3748"/>
                <w:sz w:val="24"/>
              </w:rPr>
              <w:br/>
            </w:r>
            <w:r>
              <w:rPr>
                <w:color w:val="4B555C"/>
                <w:sz w:val="14"/>
              </w:rPr>
              <w:t>Overall churn</w:t>
            </w:r>
          </w:p>
        </w:tc>
        <w:tc>
          <w:tcPr>
            <w:tcW w:w="2131" w:type="dxa"/>
            <w:shd w:val="clear" w:color="auto" w:fill="EAF0F4"/>
          </w:tcPr>
          <w:p w14:paraId="3384BD7E" w14:textId="77777777" w:rsidR="005F29C4" w:rsidRDefault="00000000">
            <w:pPr>
              <w:spacing w:after="0"/>
              <w:jc w:val="center"/>
            </w:pPr>
            <w:r>
              <w:rPr>
                <w:b/>
                <w:color w:val="1F3748"/>
                <w:sz w:val="24"/>
              </w:rPr>
              <w:t>43.6%</w:t>
            </w:r>
            <w:r>
              <w:rPr>
                <w:b/>
                <w:color w:val="1F3748"/>
                <w:sz w:val="24"/>
              </w:rPr>
              <w:br/>
            </w:r>
            <w:r>
              <w:rPr>
                <w:color w:val="4B555C"/>
                <w:sz w:val="14"/>
              </w:rPr>
              <w:t>International-plan churn</w:t>
            </w:r>
          </w:p>
        </w:tc>
        <w:tc>
          <w:tcPr>
            <w:tcW w:w="2131" w:type="dxa"/>
            <w:shd w:val="clear" w:color="auto" w:fill="EAF0F4"/>
          </w:tcPr>
          <w:p w14:paraId="06665435" w14:textId="77777777" w:rsidR="005F29C4" w:rsidRDefault="00000000">
            <w:pPr>
              <w:spacing w:after="0"/>
              <w:jc w:val="center"/>
            </w:pPr>
            <w:r>
              <w:rPr>
                <w:b/>
                <w:color w:val="1F3748"/>
                <w:sz w:val="24"/>
              </w:rPr>
              <w:t>98.1%</w:t>
            </w:r>
            <w:r>
              <w:rPr>
                <w:b/>
                <w:color w:val="1F3748"/>
                <w:sz w:val="24"/>
              </w:rPr>
              <w:br/>
            </w:r>
            <w:r>
              <w:rPr>
                <w:color w:val="4B555C"/>
                <w:sz w:val="14"/>
              </w:rPr>
              <w:t>Model accuracy</w:t>
            </w:r>
          </w:p>
        </w:tc>
        <w:tc>
          <w:tcPr>
            <w:tcW w:w="2131" w:type="dxa"/>
            <w:shd w:val="clear" w:color="auto" w:fill="EAF0F4"/>
          </w:tcPr>
          <w:p w14:paraId="1EB92908" w14:textId="77777777" w:rsidR="005F29C4" w:rsidRDefault="00000000">
            <w:pPr>
              <w:spacing w:after="0"/>
              <w:jc w:val="center"/>
            </w:pPr>
            <w:r>
              <w:rPr>
                <w:b/>
                <w:color w:val="1F3748"/>
                <w:sz w:val="24"/>
              </w:rPr>
              <w:t>98.6%</w:t>
            </w:r>
            <w:r>
              <w:rPr>
                <w:b/>
                <w:color w:val="1F3748"/>
                <w:sz w:val="24"/>
              </w:rPr>
              <w:br/>
            </w:r>
            <w:r>
              <w:rPr>
                <w:color w:val="4B555C"/>
                <w:sz w:val="14"/>
              </w:rPr>
              <w:t>ROC-AUC</w:t>
            </w:r>
          </w:p>
        </w:tc>
        <w:tc>
          <w:tcPr>
            <w:tcW w:w="2131" w:type="dxa"/>
            <w:shd w:val="clear" w:color="auto" w:fill="EAF0F4"/>
          </w:tcPr>
          <w:p w14:paraId="4067DF17" w14:textId="77777777" w:rsidR="005F29C4" w:rsidRDefault="00000000">
            <w:pPr>
              <w:spacing w:after="0"/>
              <w:jc w:val="center"/>
            </w:pPr>
            <w:r>
              <w:rPr>
                <w:b/>
                <w:color w:val="1F3748"/>
                <w:sz w:val="24"/>
              </w:rPr>
              <w:t>92.7%</w:t>
            </w:r>
            <w:r>
              <w:rPr>
                <w:b/>
                <w:color w:val="1F3748"/>
                <w:sz w:val="24"/>
              </w:rPr>
              <w:br/>
            </w:r>
            <w:r>
              <w:rPr>
                <w:color w:val="4B555C"/>
                <w:sz w:val="14"/>
              </w:rPr>
              <w:t>Model F1</w:t>
            </w:r>
          </w:p>
        </w:tc>
      </w:tr>
    </w:tbl>
    <w:p w14:paraId="7AEF600F" w14:textId="77777777" w:rsidR="005F29C4" w:rsidRDefault="005F29C4">
      <w:pPr>
        <w:spacing w:after="0"/>
      </w:pPr>
    </w:p>
    <w:p w14:paraId="4C4529D7" w14:textId="77777777" w:rsidR="005F29C4" w:rsidRPr="004A2379" w:rsidRDefault="00000000" w:rsidP="004A2379">
      <w:pPr>
        <w:pStyle w:val="Heading1"/>
        <w:rPr>
          <w:sz w:val="32"/>
          <w:szCs w:val="40"/>
        </w:rPr>
      </w:pPr>
      <w:r w:rsidRPr="004A2379">
        <w:rPr>
          <w:sz w:val="32"/>
          <w:szCs w:val="40"/>
        </w:rPr>
        <w:t>1. Outlook</w:t>
      </w:r>
    </w:p>
    <w:p w14:paraId="146309D4" w14:textId="77777777" w:rsidR="005F29C4" w:rsidRPr="004A2379" w:rsidRDefault="00000000">
      <w:pPr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Objective. </w:t>
      </w:r>
      <w:r w:rsidRPr="004A2379">
        <w:rPr>
          <w:sz w:val="18"/>
          <w:szCs w:val="24"/>
        </w:rPr>
        <w:t>Turn a customer-level telecom dataset into an actionable churn-intelligence workflow: identify churn patterns, communicate them through a Power BI dashboard, and predict customers at elevated churn risk using an optimized XGBoost gradient-boosted tree ensemble.</w:t>
      </w:r>
    </w:p>
    <w:p w14:paraId="367CD2FF" w14:textId="77777777" w:rsidR="005F29C4" w:rsidRPr="004A2379" w:rsidRDefault="00000000">
      <w:pPr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Manager value. </w:t>
      </w:r>
      <w:r w:rsidRPr="004A2379">
        <w:rPr>
          <w:sz w:val="18"/>
          <w:szCs w:val="24"/>
        </w:rPr>
        <w:t>The project connects descriptive analytics to predictive decision support. The output can help prioritize retention analysis, customer-service interventions, and targeted offers rather than treating all customers equally.</w:t>
      </w:r>
    </w:p>
    <w:p w14:paraId="6DB75754" w14:textId="77777777" w:rsidR="005F29C4" w:rsidRPr="004A2379" w:rsidRDefault="00000000">
      <w:pPr>
        <w:pStyle w:val="Heading1"/>
        <w:rPr>
          <w:sz w:val="32"/>
          <w:szCs w:val="40"/>
        </w:rPr>
      </w:pPr>
      <w:r w:rsidRPr="004A2379">
        <w:rPr>
          <w:sz w:val="32"/>
          <w:szCs w:val="40"/>
        </w:rPr>
        <w:t>2. Overview &amp; Introduction</w:t>
      </w:r>
    </w:p>
    <w:p w14:paraId="2D9E116D" w14:textId="77777777" w:rsidR="005F29C4" w:rsidRPr="004A2379" w:rsidRDefault="00000000">
      <w:pPr>
        <w:rPr>
          <w:sz w:val="18"/>
          <w:szCs w:val="24"/>
        </w:rPr>
      </w:pPr>
      <w:r w:rsidRPr="004A2379">
        <w:rPr>
          <w:sz w:val="18"/>
          <w:szCs w:val="24"/>
        </w:rPr>
        <w:t>The project analyzes 2,666 customer records with 20 features covering account characteristics, subscription plans, voice/data usage proxies, charges, international activity, and customer-service interactions. The workflow follows a practical analytics lifecycle: data validation → exploratory data analysis → business-oriented segmentation → Power BI visualization → churn classification → evaluation and interpretation.</w:t>
      </w:r>
    </w:p>
    <w:p w14:paraId="240F4942" w14:textId="77777777" w:rsidR="005F29C4" w:rsidRPr="004A2379" w:rsidRDefault="00000000">
      <w:pPr>
        <w:pStyle w:val="Heading1"/>
        <w:rPr>
          <w:sz w:val="32"/>
          <w:szCs w:val="40"/>
        </w:rPr>
      </w:pPr>
      <w:r w:rsidRPr="004A2379">
        <w:rPr>
          <w:sz w:val="32"/>
          <w:szCs w:val="40"/>
        </w:rPr>
        <w:t>3. Problem Definition</w:t>
      </w:r>
    </w:p>
    <w:p w14:paraId="797A2777" w14:textId="77777777" w:rsidR="005F29C4" w:rsidRPr="004A2379" w:rsidRDefault="00000000">
      <w:pPr>
        <w:rPr>
          <w:sz w:val="18"/>
          <w:szCs w:val="24"/>
        </w:rPr>
      </w:pPr>
      <w:r w:rsidRPr="004A2379">
        <w:rPr>
          <w:sz w:val="18"/>
          <w:szCs w:val="24"/>
        </w:rPr>
        <w:t xml:space="preserve">Customer churn is a business-risk problem because retention decisions require identifying which customer profiles are more likely to leave. The analytical problem was therefore defined as a binary classification task: </w:t>
      </w:r>
      <w:r w:rsidRPr="004A2379">
        <w:rPr>
          <w:b/>
          <w:sz w:val="18"/>
          <w:szCs w:val="24"/>
        </w:rPr>
        <w:t>predict whether a customer will churn (True/False)</w:t>
      </w:r>
      <w:r w:rsidRPr="004A2379">
        <w:rPr>
          <w:sz w:val="18"/>
          <w:szCs w:val="24"/>
        </w:rPr>
        <w:t>, while using EDA and BI to explain the strongest observable patterns behind churn. Because the dataset is a static snapshot, the findings should be interpreted as associations, not causal effects or a measured time-to-churn forecast.</w:t>
      </w:r>
    </w:p>
    <w:p w14:paraId="5E48ECCD" w14:textId="77777777" w:rsidR="005F29C4" w:rsidRPr="004A2379" w:rsidRDefault="00000000">
      <w:pPr>
        <w:pStyle w:val="Heading1"/>
        <w:rPr>
          <w:sz w:val="32"/>
          <w:szCs w:val="40"/>
        </w:rPr>
      </w:pPr>
      <w:r w:rsidRPr="004A2379">
        <w:rPr>
          <w:sz w:val="32"/>
          <w:szCs w:val="40"/>
        </w:rPr>
        <w:t>4. Key EDA Findings</w:t>
      </w:r>
    </w:p>
    <w:p w14:paraId="2EB155F5" w14:textId="77777777" w:rsidR="005F29C4" w:rsidRPr="004A2379" w:rsidRDefault="00000000">
      <w:pPr>
        <w:spacing w:after="30"/>
        <w:ind w:left="173" w:hanging="144"/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• </w:t>
      </w:r>
      <w:r w:rsidRPr="004A2379">
        <w:rPr>
          <w:sz w:val="18"/>
          <w:szCs w:val="24"/>
        </w:rPr>
        <w:t xml:space="preserve">Overall churn rate is </w:t>
      </w:r>
      <w:r w:rsidRPr="004A2379">
        <w:rPr>
          <w:b/>
          <w:bCs/>
          <w:sz w:val="18"/>
          <w:szCs w:val="24"/>
        </w:rPr>
        <w:t>14.7%</w:t>
      </w:r>
      <w:r w:rsidRPr="004A2379">
        <w:rPr>
          <w:sz w:val="18"/>
          <w:szCs w:val="24"/>
        </w:rPr>
        <w:t>, meaning churn is a minority class and the retention population is substantially larger.</w:t>
      </w:r>
    </w:p>
    <w:p w14:paraId="643B578B" w14:textId="77777777" w:rsidR="005F29C4" w:rsidRPr="004A2379" w:rsidRDefault="00000000">
      <w:pPr>
        <w:spacing w:after="30"/>
        <w:ind w:left="173" w:hanging="144"/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• </w:t>
      </w:r>
      <w:r w:rsidRPr="004A2379">
        <w:rPr>
          <w:sz w:val="18"/>
          <w:szCs w:val="24"/>
        </w:rPr>
        <w:t xml:space="preserve">International-plan customers show a </w:t>
      </w:r>
      <w:r w:rsidRPr="004A2379">
        <w:rPr>
          <w:b/>
          <w:bCs/>
          <w:sz w:val="18"/>
          <w:szCs w:val="24"/>
        </w:rPr>
        <w:t>43.6%</w:t>
      </w:r>
      <w:r w:rsidRPr="004A2379">
        <w:rPr>
          <w:sz w:val="18"/>
          <w:szCs w:val="24"/>
        </w:rPr>
        <w:t xml:space="preserve"> churn rate versus </w:t>
      </w:r>
      <w:r w:rsidRPr="004A2379">
        <w:rPr>
          <w:b/>
          <w:bCs/>
          <w:sz w:val="18"/>
          <w:szCs w:val="24"/>
        </w:rPr>
        <w:t>11.2%</w:t>
      </w:r>
      <w:r w:rsidRPr="004A2379">
        <w:rPr>
          <w:sz w:val="18"/>
          <w:szCs w:val="24"/>
        </w:rPr>
        <w:t xml:space="preserve"> for customers without the plan—one of the clearest segmentation signals in the analysis.</w:t>
      </w:r>
    </w:p>
    <w:p w14:paraId="539A4A88" w14:textId="77777777" w:rsidR="005F29C4" w:rsidRPr="004A2379" w:rsidRDefault="00000000">
      <w:pPr>
        <w:spacing w:after="30"/>
        <w:ind w:left="173" w:hanging="144"/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• </w:t>
      </w:r>
      <w:r w:rsidRPr="004A2379">
        <w:rPr>
          <w:sz w:val="18"/>
          <w:szCs w:val="24"/>
        </w:rPr>
        <w:t>Churned customers average about 205.2 day-time minutes versus 175.1 for retained customers, indicating materially higher daytime usage among churners.</w:t>
      </w:r>
    </w:p>
    <w:p w14:paraId="612A37D8" w14:textId="77777777" w:rsidR="005F29C4" w:rsidRPr="004A2379" w:rsidRDefault="00000000">
      <w:pPr>
        <w:spacing w:after="30"/>
        <w:ind w:left="173" w:hanging="144"/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• </w:t>
      </w:r>
      <w:r w:rsidRPr="004A2379">
        <w:rPr>
          <w:sz w:val="18"/>
          <w:szCs w:val="24"/>
        </w:rPr>
        <w:t xml:space="preserve">Voice-mail-plan adoption is lower among churners: approximately </w:t>
      </w:r>
      <w:r w:rsidRPr="004A2379">
        <w:rPr>
          <w:b/>
          <w:bCs/>
          <w:sz w:val="18"/>
          <w:szCs w:val="24"/>
        </w:rPr>
        <w:t>8.9%</w:t>
      </w:r>
      <w:r w:rsidRPr="004A2379">
        <w:rPr>
          <w:sz w:val="18"/>
          <w:szCs w:val="24"/>
        </w:rPr>
        <w:t xml:space="preserve"> versus </w:t>
      </w:r>
      <w:r w:rsidRPr="004A2379">
        <w:rPr>
          <w:b/>
          <w:bCs/>
          <w:sz w:val="18"/>
          <w:szCs w:val="24"/>
        </w:rPr>
        <w:t>16.7%</w:t>
      </w:r>
      <w:r w:rsidRPr="004A2379">
        <w:rPr>
          <w:sz w:val="18"/>
          <w:szCs w:val="24"/>
        </w:rPr>
        <w:t xml:space="preserve"> among retained customers.</w:t>
      </w:r>
    </w:p>
    <w:p w14:paraId="2BAD3DA6" w14:textId="77777777" w:rsidR="005F29C4" w:rsidRPr="004A2379" w:rsidRDefault="00000000">
      <w:pPr>
        <w:spacing w:after="30"/>
        <w:ind w:left="173" w:hanging="144"/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• </w:t>
      </w:r>
      <w:r w:rsidRPr="004A2379">
        <w:rPr>
          <w:sz w:val="18"/>
          <w:szCs w:val="24"/>
        </w:rPr>
        <w:t xml:space="preserve">Customer-service interaction is strongly associated with churn at higher call counts: churn reaches about </w:t>
      </w:r>
      <w:r w:rsidRPr="004A2379">
        <w:rPr>
          <w:b/>
          <w:bCs/>
          <w:sz w:val="18"/>
          <w:szCs w:val="24"/>
        </w:rPr>
        <w:t>48.1%</w:t>
      </w:r>
      <w:r w:rsidRPr="004A2379">
        <w:rPr>
          <w:sz w:val="18"/>
          <w:szCs w:val="24"/>
        </w:rPr>
        <w:t xml:space="preserve"> at </w:t>
      </w:r>
      <w:r w:rsidRPr="004A2379">
        <w:rPr>
          <w:b/>
          <w:bCs/>
          <w:sz w:val="18"/>
          <w:szCs w:val="24"/>
        </w:rPr>
        <w:t>4</w:t>
      </w:r>
      <w:r w:rsidRPr="004A2379">
        <w:rPr>
          <w:sz w:val="18"/>
          <w:szCs w:val="24"/>
        </w:rPr>
        <w:t xml:space="preserve"> service calls and </w:t>
      </w:r>
      <w:r w:rsidRPr="004A2379">
        <w:rPr>
          <w:b/>
          <w:bCs/>
          <w:sz w:val="18"/>
          <w:szCs w:val="24"/>
        </w:rPr>
        <w:t>40.8%</w:t>
      </w:r>
      <w:r w:rsidRPr="004A2379">
        <w:rPr>
          <w:sz w:val="18"/>
          <w:szCs w:val="24"/>
        </w:rPr>
        <w:t xml:space="preserve"> at </w:t>
      </w:r>
      <w:r w:rsidRPr="004A2379">
        <w:rPr>
          <w:b/>
          <w:bCs/>
          <w:sz w:val="18"/>
          <w:szCs w:val="24"/>
        </w:rPr>
        <w:t>5</w:t>
      </w:r>
      <w:r w:rsidRPr="004A2379">
        <w:rPr>
          <w:sz w:val="18"/>
          <w:szCs w:val="24"/>
        </w:rPr>
        <w:t xml:space="preserve"> calls. Very high call-count categories have small samples and should not be overinterpreted.</w:t>
      </w:r>
    </w:p>
    <w:p w14:paraId="3022DD86" w14:textId="77777777" w:rsidR="005F29C4" w:rsidRPr="004A2379" w:rsidRDefault="00000000">
      <w:pPr>
        <w:spacing w:after="30"/>
        <w:ind w:left="173" w:hanging="144"/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• </w:t>
      </w:r>
      <w:r w:rsidRPr="004A2379">
        <w:rPr>
          <w:sz w:val="18"/>
          <w:szCs w:val="24"/>
        </w:rPr>
        <w:t>International usage is only modestly different between churn groups, so international minutes alone are a weaker signal than the international-plan segment.</w:t>
      </w:r>
    </w:p>
    <w:p w14:paraId="0D3AC6C1" w14:textId="22E7A09F" w:rsidR="004E56D0" w:rsidRDefault="00000000" w:rsidP="004E56D0">
      <w:pPr>
        <w:spacing w:after="30"/>
        <w:ind w:left="173" w:hanging="144"/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• </w:t>
      </w:r>
      <w:r w:rsidRPr="004A2379">
        <w:rPr>
          <w:sz w:val="18"/>
          <w:szCs w:val="24"/>
        </w:rPr>
        <w:t>Corresponding charge variables closely track their usage-minute variables; they provide limited independent information and should be interpreted with awareness of redundancy/multicollinearity.</w:t>
      </w:r>
    </w:p>
    <w:p w14:paraId="75971A27" w14:textId="77777777" w:rsidR="004A2379" w:rsidRPr="004A2379" w:rsidRDefault="004A2379" w:rsidP="004E56D0">
      <w:pPr>
        <w:spacing w:after="30"/>
        <w:ind w:left="173" w:hanging="144"/>
        <w:rPr>
          <w:sz w:val="18"/>
          <w:szCs w:val="24"/>
        </w:rPr>
      </w:pPr>
    </w:p>
    <w:p w14:paraId="499E6F9A" w14:textId="6B83D9D7" w:rsidR="004E56D0" w:rsidRDefault="004E56D0" w:rsidP="004E56D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A13CA26" wp14:editId="67839E69">
            <wp:extent cx="1842247" cy="1461539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3994" cy="149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7D8B0D" wp14:editId="7F60497E">
            <wp:extent cx="1841469" cy="1460920"/>
            <wp:effectExtent l="0" t="0" r="698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9224" cy="153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FC9562" wp14:editId="0CF1890A">
            <wp:extent cx="1840138" cy="1459865"/>
            <wp:effectExtent l="0" t="0" r="825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8102" cy="148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2D9F" w14:textId="2D3EFE91" w:rsidR="004E56D0" w:rsidRPr="004A2379" w:rsidRDefault="004E56D0" w:rsidP="004E56D0">
      <w:pPr>
        <w:jc w:val="center"/>
        <w:rPr>
          <w:sz w:val="16"/>
          <w:szCs w:val="20"/>
        </w:rPr>
      </w:pPr>
      <w:r w:rsidRPr="004A2379">
        <w:rPr>
          <w:sz w:val="16"/>
          <w:szCs w:val="20"/>
        </w:rPr>
        <w:t>Figure 1.1 – Customer Churn by Different Parameters.</w:t>
      </w:r>
    </w:p>
    <w:p w14:paraId="0474141F" w14:textId="77777777" w:rsidR="005F29C4" w:rsidRPr="004A2379" w:rsidRDefault="00000000" w:rsidP="004A2379">
      <w:pPr>
        <w:pStyle w:val="Heading1"/>
        <w:rPr>
          <w:sz w:val="32"/>
          <w:szCs w:val="40"/>
        </w:rPr>
      </w:pPr>
      <w:r w:rsidRPr="004A2379">
        <w:rPr>
          <w:sz w:val="32"/>
          <w:szCs w:val="40"/>
        </w:rPr>
        <w:t>5. Business Intelligence Dashboard</w:t>
      </w:r>
    </w:p>
    <w:p w14:paraId="74348A3A" w14:textId="77777777" w:rsidR="005F29C4" w:rsidRPr="004A2379" w:rsidRDefault="00000000">
      <w:pPr>
        <w:rPr>
          <w:sz w:val="18"/>
          <w:szCs w:val="24"/>
        </w:rPr>
      </w:pPr>
      <w:r w:rsidRPr="004A2379">
        <w:rPr>
          <w:sz w:val="18"/>
          <w:szCs w:val="24"/>
        </w:rPr>
        <w:t>The Power BI dashboard translates the EDA into an executive monitoring layer. It provides a compact view of overall churn, segment comparisons, and behavioral/service patterns so that stakeholders can move from “how much churn?” to “which customer groups look different?”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5F29C4" w14:paraId="12D07115" w14:textId="77777777">
        <w:trPr>
          <w:cantSplit/>
          <w:jc w:val="center"/>
        </w:trPr>
        <w:tc>
          <w:tcPr>
            <w:tcW w:w="5328" w:type="dxa"/>
            <w:shd w:val="clear" w:color="auto" w:fill="DCE6EC"/>
            <w:vAlign w:val="center"/>
          </w:tcPr>
          <w:p w14:paraId="1EA7D047" w14:textId="77777777" w:rsidR="005F29C4" w:rsidRDefault="00000000">
            <w:pPr>
              <w:spacing w:after="0"/>
              <w:jc w:val="center"/>
            </w:pPr>
            <w:r>
              <w:rPr>
                <w:b/>
                <w:color w:val="1F3748"/>
                <w:sz w:val="15"/>
              </w:rPr>
              <w:lastRenderedPageBreak/>
              <w:t>Dashboard view</w:t>
            </w:r>
          </w:p>
        </w:tc>
        <w:tc>
          <w:tcPr>
            <w:tcW w:w="5328" w:type="dxa"/>
            <w:shd w:val="clear" w:color="auto" w:fill="DCE6EC"/>
            <w:vAlign w:val="center"/>
          </w:tcPr>
          <w:p w14:paraId="26EDFB5A" w14:textId="77777777" w:rsidR="005F29C4" w:rsidRDefault="00000000">
            <w:pPr>
              <w:spacing w:after="0"/>
              <w:jc w:val="center"/>
            </w:pPr>
            <w:r>
              <w:rPr>
                <w:b/>
                <w:color w:val="1F3748"/>
                <w:sz w:val="15"/>
              </w:rPr>
              <w:t>Decision question</w:t>
            </w:r>
          </w:p>
        </w:tc>
      </w:tr>
      <w:tr w:rsidR="005F29C4" w14:paraId="141C57EC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618EEDBF" w14:textId="77777777" w:rsidR="005F29C4" w:rsidRDefault="00000000">
            <w:pPr>
              <w:spacing w:after="0"/>
            </w:pPr>
            <w:r>
              <w:rPr>
                <w:sz w:val="15"/>
              </w:rPr>
              <w:t>Churn rate by international plan</w:t>
            </w:r>
          </w:p>
        </w:tc>
        <w:tc>
          <w:tcPr>
            <w:tcW w:w="5328" w:type="dxa"/>
            <w:vAlign w:val="center"/>
          </w:tcPr>
          <w:p w14:paraId="43439E4A" w14:textId="77777777" w:rsidR="005F29C4" w:rsidRDefault="00000000">
            <w:pPr>
              <w:spacing w:after="0"/>
            </w:pPr>
            <w:r>
              <w:rPr>
                <w:sz w:val="15"/>
              </w:rPr>
              <w:t>Which subscription segment has disproportionate churn?</w:t>
            </w:r>
          </w:p>
        </w:tc>
      </w:tr>
      <w:tr w:rsidR="005F29C4" w14:paraId="39BB7875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1E65C6D0" w14:textId="77777777" w:rsidR="005F29C4" w:rsidRDefault="00000000">
            <w:pPr>
              <w:spacing w:after="0"/>
            </w:pPr>
            <w:r>
              <w:rPr>
                <w:sz w:val="15"/>
              </w:rPr>
              <w:t>Churn rate by voice-mail plan</w:t>
            </w:r>
          </w:p>
        </w:tc>
        <w:tc>
          <w:tcPr>
            <w:tcW w:w="5328" w:type="dxa"/>
            <w:vAlign w:val="center"/>
          </w:tcPr>
          <w:p w14:paraId="4188D761" w14:textId="77777777" w:rsidR="005F29C4" w:rsidRDefault="00000000">
            <w:pPr>
              <w:spacing w:after="0"/>
            </w:pPr>
            <w:r>
              <w:rPr>
                <w:sz w:val="15"/>
              </w:rPr>
              <w:t>Does plan adoption distinguish retention patterns?</w:t>
            </w:r>
          </w:p>
        </w:tc>
      </w:tr>
      <w:tr w:rsidR="005F29C4" w14:paraId="5476D2C8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680900A3" w14:textId="77777777" w:rsidR="005F29C4" w:rsidRDefault="00000000">
            <w:pPr>
              <w:spacing w:after="0"/>
            </w:pPr>
            <w:r>
              <w:rPr>
                <w:sz w:val="15"/>
              </w:rPr>
              <w:t>Churn rate by customer-service calls</w:t>
            </w:r>
          </w:p>
        </w:tc>
        <w:tc>
          <w:tcPr>
            <w:tcW w:w="5328" w:type="dxa"/>
            <w:vAlign w:val="center"/>
          </w:tcPr>
          <w:p w14:paraId="3C6A48C7" w14:textId="77777777" w:rsidR="005F29C4" w:rsidRDefault="00000000">
            <w:pPr>
              <w:spacing w:after="0"/>
            </w:pPr>
            <w:r>
              <w:rPr>
                <w:sz w:val="15"/>
              </w:rPr>
              <w:t>Where does support interaction become a potential churn-risk signal?</w:t>
            </w:r>
          </w:p>
        </w:tc>
      </w:tr>
      <w:tr w:rsidR="005F29C4" w14:paraId="06E24CB1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6D813059" w14:textId="77777777" w:rsidR="005F29C4" w:rsidRDefault="00000000">
            <w:pPr>
              <w:spacing w:after="0"/>
            </w:pPr>
            <w:r>
              <w:rPr>
                <w:sz w:val="15"/>
              </w:rPr>
              <w:t>Usage / customer profile views</w:t>
            </w:r>
          </w:p>
        </w:tc>
        <w:tc>
          <w:tcPr>
            <w:tcW w:w="5328" w:type="dxa"/>
            <w:vAlign w:val="center"/>
          </w:tcPr>
          <w:p w14:paraId="1028C38A" w14:textId="77777777" w:rsidR="005F29C4" w:rsidRDefault="00000000">
            <w:pPr>
              <w:spacing w:after="0"/>
            </w:pPr>
            <w:r>
              <w:rPr>
                <w:sz w:val="15"/>
              </w:rPr>
              <w:t>Which usage and account characteristics differ between churn groups?</w:t>
            </w:r>
          </w:p>
        </w:tc>
      </w:tr>
    </w:tbl>
    <w:p w14:paraId="32A4E7AF" w14:textId="77777777" w:rsidR="005F29C4" w:rsidRPr="004A2379" w:rsidRDefault="00000000" w:rsidP="004A2379">
      <w:pPr>
        <w:pStyle w:val="Heading1"/>
        <w:rPr>
          <w:sz w:val="32"/>
          <w:szCs w:val="40"/>
        </w:rPr>
      </w:pPr>
      <w:r w:rsidRPr="004A2379">
        <w:rPr>
          <w:sz w:val="32"/>
          <w:szCs w:val="40"/>
        </w:rPr>
        <w:t>6. Predictive Modeling</w:t>
      </w:r>
    </w:p>
    <w:p w14:paraId="7B59060D" w14:textId="77777777" w:rsidR="005F29C4" w:rsidRPr="004A2379" w:rsidRDefault="00000000">
      <w:pPr>
        <w:rPr>
          <w:sz w:val="18"/>
          <w:szCs w:val="24"/>
        </w:rPr>
      </w:pPr>
      <w:r w:rsidRPr="004A2379">
        <w:rPr>
          <w:sz w:val="18"/>
          <w:szCs w:val="24"/>
        </w:rPr>
        <w:t>A supervised binary classification model was trained to predict churn. The selected approach is XGBoost, a gradient-boosted decision-tree ensemble that builds trees sequentially to correct previous model errors. The model was optimized for the project and evaluated on a held-out test set.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5F29C4" w14:paraId="3590905A" w14:textId="77777777">
        <w:trPr>
          <w:cantSplit/>
          <w:jc w:val="center"/>
        </w:trPr>
        <w:tc>
          <w:tcPr>
            <w:tcW w:w="2131" w:type="dxa"/>
            <w:shd w:val="clear" w:color="auto" w:fill="EAF0F4"/>
          </w:tcPr>
          <w:p w14:paraId="214A2CFE" w14:textId="77777777" w:rsidR="005F29C4" w:rsidRDefault="00000000">
            <w:pPr>
              <w:spacing w:after="0"/>
              <w:jc w:val="center"/>
            </w:pPr>
            <w:r>
              <w:rPr>
                <w:b/>
                <w:color w:val="1F3748"/>
                <w:sz w:val="24"/>
              </w:rPr>
              <w:t>98.1%</w:t>
            </w:r>
            <w:r>
              <w:rPr>
                <w:b/>
                <w:color w:val="1F3748"/>
                <w:sz w:val="24"/>
              </w:rPr>
              <w:br/>
            </w:r>
            <w:r>
              <w:rPr>
                <w:color w:val="4B555C"/>
                <w:sz w:val="14"/>
              </w:rPr>
              <w:t>Accuracy</w:t>
            </w:r>
          </w:p>
        </w:tc>
        <w:tc>
          <w:tcPr>
            <w:tcW w:w="2131" w:type="dxa"/>
            <w:shd w:val="clear" w:color="auto" w:fill="EAF0F4"/>
          </w:tcPr>
          <w:p w14:paraId="35ACC0F3" w14:textId="77777777" w:rsidR="005F29C4" w:rsidRDefault="00000000">
            <w:pPr>
              <w:spacing w:after="0"/>
              <w:jc w:val="center"/>
            </w:pPr>
            <w:r>
              <w:rPr>
                <w:b/>
                <w:color w:val="1F3748"/>
                <w:sz w:val="24"/>
              </w:rPr>
              <w:t>98.8%</w:t>
            </w:r>
            <w:r>
              <w:rPr>
                <w:b/>
                <w:color w:val="1F3748"/>
                <w:sz w:val="24"/>
              </w:rPr>
              <w:br/>
            </w:r>
            <w:r>
              <w:rPr>
                <w:color w:val="4B555C"/>
                <w:sz w:val="14"/>
              </w:rPr>
              <w:t>Precision</w:t>
            </w:r>
          </w:p>
        </w:tc>
        <w:tc>
          <w:tcPr>
            <w:tcW w:w="2131" w:type="dxa"/>
            <w:shd w:val="clear" w:color="auto" w:fill="EAF0F4"/>
          </w:tcPr>
          <w:p w14:paraId="3F72F85A" w14:textId="77777777" w:rsidR="005F29C4" w:rsidRDefault="00000000">
            <w:pPr>
              <w:spacing w:after="0"/>
              <w:jc w:val="center"/>
            </w:pPr>
            <w:r>
              <w:rPr>
                <w:b/>
                <w:color w:val="1F3748"/>
                <w:sz w:val="24"/>
              </w:rPr>
              <w:t>87.4%</w:t>
            </w:r>
            <w:r>
              <w:rPr>
                <w:b/>
                <w:color w:val="1F3748"/>
                <w:sz w:val="24"/>
              </w:rPr>
              <w:br/>
            </w:r>
            <w:r>
              <w:rPr>
                <w:color w:val="4B555C"/>
                <w:sz w:val="14"/>
              </w:rPr>
              <w:t>Recall</w:t>
            </w:r>
          </w:p>
        </w:tc>
        <w:tc>
          <w:tcPr>
            <w:tcW w:w="2131" w:type="dxa"/>
            <w:shd w:val="clear" w:color="auto" w:fill="EAF0F4"/>
          </w:tcPr>
          <w:p w14:paraId="38AE78E0" w14:textId="77777777" w:rsidR="005F29C4" w:rsidRDefault="00000000">
            <w:pPr>
              <w:spacing w:after="0"/>
              <w:jc w:val="center"/>
            </w:pPr>
            <w:r>
              <w:rPr>
                <w:b/>
                <w:color w:val="1F3748"/>
                <w:sz w:val="24"/>
              </w:rPr>
              <w:t>92.7%</w:t>
            </w:r>
            <w:r>
              <w:rPr>
                <w:b/>
                <w:color w:val="1F3748"/>
                <w:sz w:val="24"/>
              </w:rPr>
              <w:br/>
            </w:r>
            <w:r>
              <w:rPr>
                <w:color w:val="4B555C"/>
                <w:sz w:val="14"/>
              </w:rPr>
              <w:t>F1-score</w:t>
            </w:r>
          </w:p>
        </w:tc>
        <w:tc>
          <w:tcPr>
            <w:tcW w:w="2131" w:type="dxa"/>
            <w:shd w:val="clear" w:color="auto" w:fill="EAF0F4"/>
          </w:tcPr>
          <w:p w14:paraId="185FFD99" w14:textId="77777777" w:rsidR="005F29C4" w:rsidRDefault="00000000">
            <w:pPr>
              <w:spacing w:after="0"/>
              <w:jc w:val="center"/>
            </w:pPr>
            <w:r>
              <w:rPr>
                <w:b/>
                <w:color w:val="1F3748"/>
                <w:sz w:val="24"/>
              </w:rPr>
              <w:t>98.6%</w:t>
            </w:r>
            <w:r>
              <w:rPr>
                <w:b/>
                <w:color w:val="1F3748"/>
                <w:sz w:val="24"/>
              </w:rPr>
              <w:br/>
            </w:r>
            <w:r>
              <w:rPr>
                <w:color w:val="4B555C"/>
                <w:sz w:val="14"/>
              </w:rPr>
              <w:t>ROC-AUC</w:t>
            </w:r>
          </w:p>
        </w:tc>
      </w:tr>
    </w:tbl>
    <w:p w14:paraId="05FEA843" w14:textId="77777777" w:rsidR="005F29C4" w:rsidRDefault="005F29C4">
      <w:pPr>
        <w:spacing w:after="0"/>
      </w:pPr>
    </w:p>
    <w:p w14:paraId="1589C478" w14:textId="77777777" w:rsidR="005F29C4" w:rsidRPr="004A2379" w:rsidRDefault="00000000">
      <w:pPr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Interpretation. </w:t>
      </w:r>
      <w:r w:rsidRPr="004A2379">
        <w:rPr>
          <w:sz w:val="18"/>
          <w:szCs w:val="24"/>
        </w:rPr>
        <w:t>The 98.6% ROC-AUC indicates strong ranking/discrimination capability on the test set. Precision of 98.8% means predicted churners were highly reliable, while recall of 87.4% indicates that the model captured most—but not all—actual churners. F1-score of 92.7% provides a useful balance between these two objectives. Accuracy is reported for completeness, but should not be the primary business metric given the imbalanced churn distribution.</w:t>
      </w:r>
    </w:p>
    <w:p w14:paraId="6142F6EC" w14:textId="77777777" w:rsidR="005F29C4" w:rsidRPr="004A2379" w:rsidRDefault="00000000">
      <w:pPr>
        <w:pStyle w:val="Heading1"/>
        <w:rPr>
          <w:sz w:val="32"/>
          <w:szCs w:val="40"/>
        </w:rPr>
      </w:pPr>
      <w:r w:rsidRPr="004A2379">
        <w:rPr>
          <w:sz w:val="32"/>
          <w:szCs w:val="40"/>
        </w:rPr>
        <w:t>7. End-to-End Workflow</w:t>
      </w:r>
    </w:p>
    <w:p w14:paraId="6107B8F0" w14:textId="77777777" w:rsidR="005F29C4" w:rsidRPr="004A2379" w:rsidRDefault="00000000">
      <w:pPr>
        <w:jc w:val="center"/>
        <w:rPr>
          <w:sz w:val="16"/>
        </w:rPr>
      </w:pPr>
      <w:r>
        <w:rPr>
          <w:b/>
          <w:color w:val="1F3748"/>
          <w:sz w:val="16"/>
        </w:rPr>
        <w:t xml:space="preserve">DATA → </w:t>
      </w:r>
      <w:r w:rsidRPr="004A2379">
        <w:rPr>
          <w:b/>
          <w:color w:val="1F3748"/>
          <w:sz w:val="16"/>
        </w:rPr>
        <w:t>EDA → BUSINESS QUESTIONS → POWER BI → FEATURE ENGINEERING → XGBOOST → TEST EVALUATION → ACTIONABLE RISK SIGNALS</w:t>
      </w:r>
    </w:p>
    <w:p w14:paraId="004EBD09" w14:textId="77777777" w:rsidR="005F29C4" w:rsidRPr="004A2379" w:rsidRDefault="00000000">
      <w:pPr>
        <w:pStyle w:val="Heading1"/>
        <w:rPr>
          <w:sz w:val="32"/>
          <w:szCs w:val="40"/>
        </w:rPr>
      </w:pPr>
      <w:r w:rsidRPr="004A2379">
        <w:rPr>
          <w:sz w:val="32"/>
          <w:szCs w:val="40"/>
        </w:rPr>
        <w:t>8. Future Work</w:t>
      </w:r>
    </w:p>
    <w:p w14:paraId="67B6C0AF" w14:textId="77777777" w:rsidR="005F29C4" w:rsidRPr="004A2379" w:rsidRDefault="00000000">
      <w:pPr>
        <w:spacing w:after="30"/>
        <w:ind w:left="173" w:hanging="144"/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• </w:t>
      </w:r>
      <w:r w:rsidRPr="004A2379">
        <w:rPr>
          <w:sz w:val="18"/>
          <w:szCs w:val="24"/>
        </w:rPr>
        <w:t>Add time-based customer history to move from static churn classification toward early-warning churn prediction and a defined prediction horizon.</w:t>
      </w:r>
    </w:p>
    <w:p w14:paraId="690ADF2D" w14:textId="77777777" w:rsidR="005F29C4" w:rsidRPr="004A2379" w:rsidRDefault="00000000">
      <w:pPr>
        <w:spacing w:after="30"/>
        <w:ind w:left="173" w:hanging="144"/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• </w:t>
      </w:r>
      <w:r w:rsidRPr="004A2379">
        <w:rPr>
          <w:sz w:val="18"/>
          <w:szCs w:val="24"/>
        </w:rPr>
        <w:t>Use probability calibration and a business-selected decision threshold instead of relying only on the default classification threshold.</w:t>
      </w:r>
    </w:p>
    <w:p w14:paraId="6120B543" w14:textId="77777777" w:rsidR="005F29C4" w:rsidRPr="004A2379" w:rsidRDefault="00000000">
      <w:pPr>
        <w:spacing w:after="30"/>
        <w:ind w:left="173" w:hanging="144"/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• </w:t>
      </w:r>
      <w:r w:rsidRPr="004A2379">
        <w:rPr>
          <w:sz w:val="18"/>
          <w:szCs w:val="24"/>
        </w:rPr>
        <w:t>Evaluate PR-AUC, confusion matrix, lift/gain and cost-sensitive metrics to quantify the operational value of contacting predicted churners.</w:t>
      </w:r>
    </w:p>
    <w:p w14:paraId="3ED6A51B" w14:textId="77777777" w:rsidR="005F29C4" w:rsidRPr="004A2379" w:rsidRDefault="00000000">
      <w:pPr>
        <w:spacing w:after="30"/>
        <w:ind w:left="173" w:hanging="144"/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• </w:t>
      </w:r>
      <w:r w:rsidRPr="004A2379">
        <w:rPr>
          <w:sz w:val="18"/>
          <w:szCs w:val="24"/>
        </w:rPr>
        <w:t>Apply model explainability (e.g., SHAP) to identify the strongest customer-level drivers and make model outputs easier for business teams to act on.</w:t>
      </w:r>
    </w:p>
    <w:p w14:paraId="4B88C783" w14:textId="77777777" w:rsidR="005F29C4" w:rsidRPr="004A2379" w:rsidRDefault="00000000">
      <w:pPr>
        <w:spacing w:after="30"/>
        <w:ind w:left="173" w:hanging="144"/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• </w:t>
      </w:r>
      <w:r w:rsidRPr="004A2379">
        <w:rPr>
          <w:sz w:val="18"/>
          <w:szCs w:val="24"/>
        </w:rPr>
        <w:t>Validate the model on a temporally newer or external dataset to test robustness and reduce the risk of overestimating offline performance.</w:t>
      </w:r>
    </w:p>
    <w:p w14:paraId="595ACA19" w14:textId="77777777" w:rsidR="005F29C4" w:rsidRPr="004A2379" w:rsidRDefault="00000000">
      <w:pPr>
        <w:spacing w:after="30"/>
        <w:ind w:left="173" w:hanging="144"/>
        <w:rPr>
          <w:sz w:val="18"/>
          <w:szCs w:val="24"/>
        </w:rPr>
      </w:pPr>
      <w:r w:rsidRPr="004A2379">
        <w:rPr>
          <w:b/>
          <w:sz w:val="18"/>
          <w:szCs w:val="24"/>
        </w:rPr>
        <w:t xml:space="preserve">• </w:t>
      </w:r>
      <w:r w:rsidRPr="004A2379">
        <w:rPr>
          <w:sz w:val="18"/>
          <w:szCs w:val="24"/>
        </w:rPr>
        <w:t>Connect dashboard segments to retention actions and measure intervention outcomes, creating a closed-loop churn-management process.</w:t>
      </w:r>
    </w:p>
    <w:p w14:paraId="0B08154D" w14:textId="77777777" w:rsidR="005F29C4" w:rsidRPr="004A2379" w:rsidRDefault="00000000">
      <w:pPr>
        <w:pStyle w:val="Heading1"/>
        <w:rPr>
          <w:sz w:val="32"/>
          <w:szCs w:val="40"/>
        </w:rPr>
      </w:pPr>
      <w:r w:rsidRPr="004A2379">
        <w:rPr>
          <w:sz w:val="32"/>
          <w:szCs w:val="40"/>
        </w:rPr>
        <w:t>9. Executive Conclusion</w:t>
      </w:r>
    </w:p>
    <w:p w14:paraId="5025D3E2" w14:textId="77777777" w:rsidR="005F29C4" w:rsidRPr="004A2379" w:rsidRDefault="00000000">
      <w:pPr>
        <w:spacing w:after="0"/>
        <w:rPr>
          <w:sz w:val="18"/>
          <w:szCs w:val="24"/>
        </w:rPr>
      </w:pPr>
      <w:r w:rsidRPr="004A2379">
        <w:rPr>
          <w:sz w:val="18"/>
          <w:szCs w:val="24"/>
        </w:rPr>
        <w:t>This project demonstrates an end-to-end customer analytics capability: it identifies meaningful churn segments through EDA, turns those findings into a decision-oriented Power BI dashboard, and builds a high-performing XGBoost classifier for customer-risk prediction. The strongest observable signals include international-plan membership, higher daytime usage, voice-mail-plan adoption, and repeated customer-service interactions. The next maturity step is not simply a more complex model; it is operational validation, explainability, threshold optimization, and linking predictions to measurable retention actions.</w:t>
      </w:r>
    </w:p>
    <w:p w14:paraId="563E65AF" w14:textId="77777777" w:rsidR="005F29C4" w:rsidRDefault="00000000">
      <w:pPr>
        <w:spacing w:before="80" w:after="0"/>
      </w:pPr>
      <w:r>
        <w:rPr>
          <w:b/>
          <w:sz w:val="13"/>
        </w:rPr>
        <w:t xml:space="preserve">Method note: </w:t>
      </w:r>
      <w:r>
        <w:rPr>
          <w:i/>
          <w:sz w:val="13"/>
        </w:rPr>
        <w:t>Percentages are rounded. EDA relationships are associative; they do not establish causation. Test metrics reflect the stated held-out test set.</w:t>
      </w:r>
    </w:p>
    <w:sectPr w:rsidR="005F29C4" w:rsidSect="00034616">
      <w:headerReference w:type="default" r:id="rId11"/>
      <w:footerReference w:type="default" r:id="rId12"/>
      <w:pgSz w:w="12240" w:h="15840"/>
      <w:pgMar w:top="691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922FA" w14:textId="77777777" w:rsidR="00E756A8" w:rsidRDefault="00E756A8">
      <w:pPr>
        <w:spacing w:after="0"/>
      </w:pPr>
      <w:r>
        <w:separator/>
      </w:r>
    </w:p>
  </w:endnote>
  <w:endnote w:type="continuationSeparator" w:id="0">
    <w:p w14:paraId="1874D455" w14:textId="77777777" w:rsidR="00E756A8" w:rsidRDefault="00E756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B4C7C" w14:textId="77777777" w:rsidR="005F29C4" w:rsidRDefault="00000000">
    <w:pPr>
      <w:pStyle w:val="Footer"/>
      <w:jc w:val="center"/>
    </w:pPr>
    <w:r>
      <w:rPr>
        <w:color w:val="6E787E"/>
        <w:sz w:val="13"/>
      </w:rPr>
      <w:t>Telecom Customer Intelligence &amp; Churn Prediction  •  Manager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16C00" w14:textId="77777777" w:rsidR="00E756A8" w:rsidRDefault="00E756A8">
      <w:pPr>
        <w:spacing w:after="0"/>
      </w:pPr>
      <w:r>
        <w:separator/>
      </w:r>
    </w:p>
  </w:footnote>
  <w:footnote w:type="continuationSeparator" w:id="0">
    <w:p w14:paraId="09DA293B" w14:textId="77777777" w:rsidR="00E756A8" w:rsidRDefault="00E756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28C25" w14:textId="77777777" w:rsidR="005F29C4" w:rsidRDefault="00000000">
    <w:pPr>
      <w:pStyle w:val="Header"/>
      <w:jc w:val="right"/>
    </w:pPr>
    <w:r>
      <w:rPr>
        <w:color w:val="6E787E"/>
        <w:sz w:val="13"/>
      </w:rPr>
      <w:t>TELECOM CUSTOMER INTELLIGENCE  | 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801792">
    <w:abstractNumId w:val="8"/>
  </w:num>
  <w:num w:numId="2" w16cid:durableId="266425427">
    <w:abstractNumId w:val="6"/>
  </w:num>
  <w:num w:numId="3" w16cid:durableId="683822643">
    <w:abstractNumId w:val="5"/>
  </w:num>
  <w:num w:numId="4" w16cid:durableId="825052934">
    <w:abstractNumId w:val="4"/>
  </w:num>
  <w:num w:numId="5" w16cid:durableId="2100131866">
    <w:abstractNumId w:val="7"/>
  </w:num>
  <w:num w:numId="6" w16cid:durableId="983192835">
    <w:abstractNumId w:val="3"/>
  </w:num>
  <w:num w:numId="7" w16cid:durableId="1029454768">
    <w:abstractNumId w:val="2"/>
  </w:num>
  <w:num w:numId="8" w16cid:durableId="790054635">
    <w:abstractNumId w:val="1"/>
  </w:num>
  <w:num w:numId="9" w16cid:durableId="16371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57ED"/>
    <w:rsid w:val="002E16A6"/>
    <w:rsid w:val="00326F90"/>
    <w:rsid w:val="004A2379"/>
    <w:rsid w:val="004E56D0"/>
    <w:rsid w:val="005F29C4"/>
    <w:rsid w:val="00AA1D8D"/>
    <w:rsid w:val="00B47730"/>
    <w:rsid w:val="00CB0664"/>
    <w:rsid w:val="00E756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C8AE2"/>
  <w14:defaultImageDpi w14:val="300"/>
  <w15:docId w15:val="{E0E6BC38-F7E0-4839-BAFB-48C0B97AA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1F374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1F3748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00" w:after="40"/>
      <w:contextualSpacing/>
    </w:pPr>
    <w:rPr>
      <w:rFonts w:asciiTheme="majorHAnsi" w:eastAsiaTheme="majorEastAsia" w:hAnsiTheme="majorHAnsi" w:cstheme="majorBidi"/>
      <w:b/>
      <w:color w:val="1F374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Erfan Taherirani</cp:lastModifiedBy>
  <cp:revision>2</cp:revision>
  <dcterms:created xsi:type="dcterms:W3CDTF">2026-10-06T20:50:00Z</dcterms:created>
  <dcterms:modified xsi:type="dcterms:W3CDTF">2026-10-06T20:50:00Z</dcterms:modified>
  <cp:category/>
</cp:coreProperties>
</file>