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0758" w:rsidRDefault="00E92A9D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Automated interoperation and routing of protein sequence, structure and function information</w:t>
      </w: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 w:rsidRPr="001B2C3D">
        <w:rPr>
          <w:rFonts w:ascii="Helvetica Neue" w:hAnsi="Helvetica Neue"/>
          <w:lang w:val="en-GB"/>
        </w:rPr>
        <w:t xml:space="preserve">Erik </w:t>
      </w:r>
      <w:proofErr w:type="spellStart"/>
      <w:r w:rsidRPr="001B2C3D">
        <w:rPr>
          <w:rFonts w:ascii="Helvetica Neue" w:hAnsi="Helvetica Neue"/>
          <w:lang w:val="en-GB"/>
        </w:rPr>
        <w:t>Schultes</w:t>
      </w:r>
      <w:proofErr w:type="spellEnd"/>
      <w:r w:rsidRPr="001B2C3D">
        <w:rPr>
          <w:rFonts w:ascii="Helvetica Neue" w:hAnsi="Helvetica Neue"/>
          <w:lang w:val="en-GB"/>
        </w:rPr>
        <w:t>, GO FAIR</w:t>
      </w: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December 2018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Background and use case</w:t>
      </w: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 xml:space="preserve">Genomic and proteomic sequence data are central to modern approaches in the life sciences and especially in biomedical research (most importantly in </w:t>
      </w:r>
      <w:proofErr w:type="spellStart"/>
      <w:r>
        <w:rPr>
          <w:rFonts w:ascii="Helvetica Neue" w:hAnsi="Helvetica Neue"/>
        </w:rPr>
        <w:t>personalised</w:t>
      </w:r>
      <w:proofErr w:type="spellEnd"/>
      <w:r>
        <w:rPr>
          <w:rFonts w:ascii="Helvetica Neue" w:hAnsi="Helvetica Neue"/>
        </w:rPr>
        <w:t xml:space="preserve"> medicine). Despite the conceptual simplicity behind modern protein biology (i.e., sequence imp</w:t>
      </w:r>
      <w:r>
        <w:rPr>
          <w:rFonts w:ascii="Helvetica Neue" w:hAnsi="Helvetica Neue"/>
        </w:rPr>
        <w:t xml:space="preserve">lies structure implies function) the relevant data linking these levels of </w:t>
      </w:r>
      <w:proofErr w:type="spellStart"/>
      <w:r>
        <w:rPr>
          <w:rFonts w:ascii="Helvetica Neue" w:hAnsi="Helvetica Neue"/>
        </w:rPr>
        <w:t>organisation</w:t>
      </w:r>
      <w:proofErr w:type="spellEnd"/>
      <w:r>
        <w:rPr>
          <w:rFonts w:ascii="Helvetica Neue" w:hAnsi="Helvetica Neue"/>
        </w:rPr>
        <w:t xml:space="preserve"> are diverse, heterogeneous, and fragmented. Even when located, these complex data are often hard to interpret and </w:t>
      </w:r>
      <w:proofErr w:type="spellStart"/>
      <w:r>
        <w:rPr>
          <w:rFonts w:ascii="Helvetica Neue" w:hAnsi="Helvetica Neue"/>
        </w:rPr>
        <w:t>can not</w:t>
      </w:r>
      <w:proofErr w:type="spellEnd"/>
      <w:r>
        <w:rPr>
          <w:rFonts w:ascii="Helvetica Neue" w:hAnsi="Helvetica Neue"/>
        </w:rPr>
        <w:t xml:space="preserve"> be reused without tedious manual interventions</w:t>
      </w:r>
      <w:r>
        <w:rPr>
          <w:rFonts w:ascii="Helvetica Neue" w:hAnsi="Helvetica Neue"/>
        </w:rPr>
        <w:t xml:space="preserve">. In this sparse and rugged data landscape, our ability to predict functional implications of sequence variants or to engineer novel protein function remains mediocre and </w:t>
      </w:r>
      <w:r>
        <w:rPr>
          <w:rFonts w:ascii="Helvetica Neue" w:hAnsi="Helvetica Neue"/>
          <w:i/>
          <w:iCs/>
        </w:rPr>
        <w:t>ad hoc</w:t>
      </w:r>
      <w:r>
        <w:rPr>
          <w:rFonts w:ascii="Helvetica Neue" w:hAnsi="Helvetica Neue"/>
        </w:rPr>
        <w:t xml:space="preserve">. The problem is systemic, and </w:t>
      </w:r>
      <w:r>
        <w:rPr>
          <w:rFonts w:ascii="Helvetica Neue" w:hAnsi="Helvetica Neue"/>
        </w:rPr>
        <w:t>will not be solved by increasing amounts of d</w:t>
      </w:r>
      <w:r>
        <w:rPr>
          <w:rFonts w:ascii="Helvetica Neue" w:hAnsi="Helvetica Neue"/>
        </w:rPr>
        <w:t xml:space="preserve">ata. To the contrary, emerging technologies such as automated laboratory systems and applications of </w:t>
      </w:r>
      <w:r>
        <w:rPr>
          <w:rFonts w:ascii="Helvetica Neue" w:hAnsi="Helvetica Neue"/>
        </w:rPr>
        <w:t>machine learning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will likely compound the problem </w:t>
      </w:r>
      <w:r>
        <w:rPr>
          <w:rFonts w:ascii="Helvetica Neue" w:hAnsi="Helvetica Neue"/>
        </w:rPr>
        <w:t xml:space="preserve">of data fragmentation </w:t>
      </w:r>
      <w:r>
        <w:rPr>
          <w:rFonts w:ascii="Helvetica Neue" w:hAnsi="Helvetica Neue"/>
        </w:rPr>
        <w:t>even further. Here, we propose a simple Digital Object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approach to help render FAIR, all information about protein sequence-structure-function relations.  The machine-assisted stewardship of protein data will have manifold implications throughout the life sciences, and will impact the routi</w:t>
      </w:r>
      <w:r>
        <w:rPr>
          <w:rFonts w:ascii="Helvetica Neue" w:hAnsi="Helvetica Neue"/>
        </w:rPr>
        <w:t xml:space="preserve">ne exchange, combination, analysis and tracking of the </w:t>
      </w:r>
      <w:proofErr w:type="gramStart"/>
      <w:r>
        <w:rPr>
          <w:rFonts w:ascii="Helvetica Neue" w:hAnsi="Helvetica Neue"/>
        </w:rPr>
        <w:t>collective</w:t>
      </w:r>
      <w:proofErr w:type="gramEnd"/>
      <w:r>
        <w:rPr>
          <w:rFonts w:ascii="Helvetica Neue" w:hAnsi="Helvetica Neue"/>
        </w:rPr>
        <w:t xml:space="preserve"> knowledge of proteins, now and into the future</w:t>
      </w:r>
      <w:r>
        <w:rPr>
          <w:rFonts w:ascii="Helvetica Neue" w:hAnsi="Helvetica Neue"/>
        </w:rPr>
        <w:t>.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Protein sequences as digital objects</w:t>
      </w: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The core data model is itself inspired by the remarkable conceptual simplicity of proteins themselves as genetic entities. From a physical point of view a protein is a linear polymer whose sequence is composed from the 20 different kinds of amino acids. Th</w:t>
      </w:r>
      <w:r>
        <w:rPr>
          <w:rFonts w:ascii="Helvetica Neue" w:hAnsi="Helvetica Neue"/>
        </w:rPr>
        <w:t xml:space="preserve">is physical polymer structure can be abstracted as a vector sequence over an alphabet of 20 symbols. Using an appropriate representation, this vector is susceptible to high-performance analytics (e.g., sequence alignment and homology assessments). 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Howeve</w:t>
      </w:r>
      <w:r>
        <w:rPr>
          <w:rFonts w:ascii="Helvetica Neue" w:hAnsi="Helvetica Neue"/>
        </w:rPr>
        <w:t xml:space="preserve">r, borrowing from the </w:t>
      </w:r>
      <w:r>
        <w:rPr>
          <w:rFonts w:ascii="Helvetica Neue" w:hAnsi="Helvetica Neue"/>
        </w:rPr>
        <w:t>‘</w:t>
      </w:r>
      <w:proofErr w:type="spellStart"/>
      <w:r>
        <w:rPr>
          <w:rFonts w:ascii="Helvetica Neue" w:hAnsi="Helvetica Neue"/>
        </w:rPr>
        <w:t>knowlet</w:t>
      </w:r>
      <w:proofErr w:type="spellEnd"/>
      <w:r>
        <w:rPr>
          <w:rFonts w:ascii="Helvetica Neue" w:hAnsi="Helvetica Neue"/>
        </w:rPr>
        <w:t xml:space="preserve">’ </w:t>
      </w:r>
      <w:r>
        <w:rPr>
          <w:rFonts w:ascii="Helvetica Neue" w:hAnsi="Helvetica Neue"/>
        </w:rPr>
        <w:t xml:space="preserve">model of Digital Objects [1], this vector can be extensively </w:t>
      </w:r>
      <w:r>
        <w:rPr>
          <w:rFonts w:ascii="Helvetica Neue" w:hAnsi="Helvetica Neue"/>
        </w:rPr>
        <w:t>‘</w:t>
      </w:r>
      <w:r>
        <w:rPr>
          <w:rFonts w:ascii="Helvetica Neue" w:hAnsi="Helvetica Neue"/>
        </w:rPr>
        <w:t>decorated</w:t>
      </w:r>
      <w:r>
        <w:rPr>
          <w:rFonts w:ascii="Helvetica Neue" w:hAnsi="Helvetica Neue"/>
        </w:rPr>
        <w:t xml:space="preserve">’ </w:t>
      </w:r>
      <w:r>
        <w:rPr>
          <w:rFonts w:ascii="Helvetica Neue" w:hAnsi="Helvetica Neue"/>
        </w:rPr>
        <w:t>with arbitrary numbers of metadata assertions relating to all DO-related and scientific-related metadata. The result is a (potentially) long list of me</w:t>
      </w:r>
      <w:r>
        <w:rPr>
          <w:rFonts w:ascii="Helvetica Neue" w:hAnsi="Helvetica Neue"/>
        </w:rPr>
        <w:t>tadata assertions (subject-predicate-object triples), each having the same subject (the protein sequence vector) (</w:t>
      </w:r>
      <w:r>
        <w:rPr>
          <w:rFonts w:ascii="Helvetica Neue" w:hAnsi="Helvetica Neue"/>
          <w:b/>
          <w:bCs/>
          <w:lang w:val="it-IT"/>
        </w:rPr>
        <w:t>Figure 1</w:t>
      </w:r>
      <w:r>
        <w:rPr>
          <w:rFonts w:ascii="Helvetica Neue" w:hAnsi="Helvetica Neue"/>
        </w:rPr>
        <w:t xml:space="preserve">). 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The protein sequence vector can be annotated with the appropriate abstraction, binding and encapsulation descriptions allowing au</w:t>
      </w:r>
      <w:r>
        <w:rPr>
          <w:rFonts w:ascii="Helvetica Neue" w:hAnsi="Helvetica Neue"/>
        </w:rPr>
        <w:t xml:space="preserve">tomated routing of data, services on those data, and access to required compute and storage resources as envisioned by the FAIR Principles. 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 xml:space="preserve">The protein sequence vector can also be annotated with scientific metadata, both intrinsic </w:t>
      </w:r>
      <w:r>
        <w:rPr>
          <w:rFonts w:ascii="Helvetica Neue" w:hAnsi="Helvetica Neue"/>
        </w:rPr>
        <w:t>(describing the v</w:t>
      </w:r>
      <w:r>
        <w:rPr>
          <w:rFonts w:ascii="Helvetica Neue" w:hAnsi="Helvetica Neue"/>
        </w:rPr>
        <w:t xml:space="preserve">ector as protein sequence, its origins as observational and experimental data, </w:t>
      </w:r>
      <w:proofErr w:type="spellStart"/>
      <w:r>
        <w:rPr>
          <w:rFonts w:ascii="Helvetica Neue" w:hAnsi="Helvetica Neue"/>
        </w:rPr>
        <w:t>etc</w:t>
      </w:r>
      <w:proofErr w:type="spellEnd"/>
      <w:r>
        <w:rPr>
          <w:rFonts w:ascii="Helvetica Neue" w:hAnsi="Helvetica Neue"/>
        </w:rPr>
        <w:t>) and extrinsic (describing features about the protein as they are subsequently discovered by others, such as interactions with other proteins, relations to diseases, predict</w:t>
      </w:r>
      <w:r>
        <w:rPr>
          <w:rFonts w:ascii="Helvetica Neue" w:hAnsi="Helvetica Neue"/>
        </w:rPr>
        <w:t xml:space="preserve">ed secondary structures via various neural network algorithms, by x-ray diffraction or </w:t>
      </w:r>
      <w:proofErr w:type="spellStart"/>
      <w:r>
        <w:rPr>
          <w:rFonts w:ascii="Helvetica Neue" w:hAnsi="Helvetica Neue"/>
        </w:rPr>
        <w:t>cryo</w:t>
      </w:r>
      <w:proofErr w:type="spellEnd"/>
      <w:r>
        <w:rPr>
          <w:rFonts w:ascii="Helvetica Neue" w:hAnsi="Helvetica Neue"/>
        </w:rPr>
        <w:t>-electron microscopy). Scientific metadata assertions can refer to any aspect of proteins, including folded structure (represented in any format) and functions (be t</w:t>
      </w:r>
      <w:r>
        <w:rPr>
          <w:rFonts w:ascii="Helvetica Neue" w:hAnsi="Helvetica Neue"/>
        </w:rPr>
        <w:t xml:space="preserve">hey biochemical functions or biological phenotypes). The Protein </w:t>
      </w:r>
      <w:proofErr w:type="spellStart"/>
      <w:r>
        <w:rPr>
          <w:rFonts w:ascii="Helvetica Neue" w:hAnsi="Helvetica Neue"/>
        </w:rPr>
        <w:t>Knowlet</w:t>
      </w:r>
      <w:proofErr w:type="spellEnd"/>
      <w:r>
        <w:rPr>
          <w:rFonts w:ascii="Helvetica Neue" w:hAnsi="Helvetica Neue"/>
        </w:rPr>
        <w:t xml:space="preserve"> Digital Object (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 xml:space="preserve">) can thus </w:t>
      </w:r>
      <w:r>
        <w:rPr>
          <w:rFonts w:ascii="Helvetica Neue" w:hAnsi="Helvetica Neue"/>
        </w:rPr>
        <w:lastRenderedPageBreak/>
        <w:t xml:space="preserve">unify, for both humans and machines, what is presently a fragmented landscape of diverse protein information. 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Trebuchet MS" w:eastAsia="Trebuchet MS" w:hAnsi="Trebuchet MS" w:cs="Trebuchet MS"/>
          <w:color w:val="1155CC"/>
          <w:u w:val="single" w:color="1155CC"/>
        </w:rPr>
      </w:pPr>
      <w:r>
        <w:rPr>
          <w:rFonts w:ascii="Helvetica Neue" w:hAnsi="Helvetica Neue"/>
        </w:rPr>
        <w:t>Furthermore, although the protein seq</w:t>
      </w:r>
      <w:r>
        <w:rPr>
          <w:rFonts w:ascii="Helvetica Neue" w:hAnsi="Helvetica Neue"/>
        </w:rPr>
        <w:t xml:space="preserve">uence vector and metadata assertions are themselves DOs, taken together a protein </w:t>
      </w:r>
      <w:proofErr w:type="spellStart"/>
      <w:r>
        <w:rPr>
          <w:rFonts w:ascii="Helvetica Neue" w:hAnsi="Helvetica Neue"/>
        </w:rPr>
        <w:t>knowlet</w:t>
      </w:r>
      <w:proofErr w:type="spellEnd"/>
      <w:r>
        <w:rPr>
          <w:rFonts w:ascii="Helvetica Neue" w:hAnsi="Helvetica Neue"/>
        </w:rPr>
        <w:t xml:space="preserve"> is also a DO. As such, the 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 xml:space="preserve"> could also be assigned a </w:t>
      </w:r>
      <w:proofErr w:type="spellStart"/>
      <w:r>
        <w:rPr>
          <w:rFonts w:ascii="Helvetica Neue" w:hAnsi="Helvetica Neue"/>
        </w:rPr>
        <w:t>PID</w:t>
      </w:r>
      <w:proofErr w:type="spellEnd"/>
      <w:r>
        <w:rPr>
          <w:rFonts w:ascii="Helvetica Neue" w:hAnsi="Helvetica Neue"/>
        </w:rPr>
        <w:t xml:space="preserve">. One approach to creating a system of PIDs for protein </w:t>
      </w:r>
      <w:proofErr w:type="spellStart"/>
      <w:r>
        <w:rPr>
          <w:rFonts w:ascii="Helvetica Neue" w:hAnsi="Helvetica Neue"/>
        </w:rPr>
        <w:t>knowlets</w:t>
      </w:r>
      <w:proofErr w:type="spellEnd"/>
      <w:r>
        <w:rPr>
          <w:rFonts w:ascii="Helvetica Neue" w:hAnsi="Helvetica Neue"/>
        </w:rPr>
        <w:t xml:space="preserve">, is by hashing the total content of the </w:t>
      </w:r>
      <w:proofErr w:type="spellStart"/>
      <w:r>
        <w:rPr>
          <w:rFonts w:ascii="Helvetica Neue" w:hAnsi="Helvetica Neue"/>
        </w:rPr>
        <w:t>k</w:t>
      </w:r>
      <w:r>
        <w:rPr>
          <w:rFonts w:ascii="Helvetica Neue" w:hAnsi="Helvetica Neue"/>
        </w:rPr>
        <w:t>nowlet</w:t>
      </w:r>
      <w:proofErr w:type="spellEnd"/>
      <w:r>
        <w:rPr>
          <w:rFonts w:ascii="Helvetica Neue" w:hAnsi="Helvetica Neue"/>
        </w:rPr>
        <w:t xml:space="preserve"> at any given point time [2]. This hash code can then be used as part of a handle </w:t>
      </w:r>
      <w:proofErr w:type="spellStart"/>
      <w:r>
        <w:rPr>
          <w:rFonts w:ascii="Helvetica Neue" w:hAnsi="Helvetica Neue"/>
        </w:rPr>
        <w:t>PID</w:t>
      </w:r>
      <w:proofErr w:type="spellEnd"/>
      <w:r>
        <w:rPr>
          <w:rFonts w:ascii="Helvetica Neue" w:hAnsi="Helvetica Neue"/>
        </w:rPr>
        <w:t xml:space="preserve"> system using appropriate </w:t>
      </w:r>
      <w:r w:rsidR="001B2C3D">
        <w:rPr>
          <w:rFonts w:ascii="Helvetica Neue" w:hAnsi="Helvetica Neue"/>
          <w:lang w:val="pt-PT"/>
        </w:rPr>
        <w:t>IDs</w:t>
      </w:r>
      <w:r>
        <w:rPr>
          <w:rFonts w:ascii="Helvetica Neue" w:hAnsi="Helvetica Neue"/>
        </w:rPr>
        <w:t xml:space="preserve">. This </w:t>
      </w:r>
      <w:proofErr w:type="spellStart"/>
      <w:r>
        <w:rPr>
          <w:rFonts w:ascii="Helvetica Neue" w:hAnsi="Helvetica Neue"/>
        </w:rPr>
        <w:t>PID</w:t>
      </w:r>
      <w:proofErr w:type="spellEnd"/>
      <w:r>
        <w:rPr>
          <w:rFonts w:ascii="Helvetica Neue" w:hAnsi="Helvetica Neue"/>
        </w:rPr>
        <w:t xml:space="preserve"> system automatically and intrinsically links a unique and persistent identifier to the unique content of a 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>. A</w:t>
      </w:r>
      <w:r>
        <w:rPr>
          <w:rFonts w:ascii="Helvetica Neue" w:hAnsi="Helvetica Neue"/>
        </w:rPr>
        <w:t xml:space="preserve">ny future discoveries, revisions, disputes regarding the scientific understanding of the protein, captured as additions or deprecations of the </w:t>
      </w:r>
      <w:proofErr w:type="spellStart"/>
      <w:r>
        <w:rPr>
          <w:rFonts w:ascii="Helvetica Neue" w:hAnsi="Helvetica Neue"/>
        </w:rPr>
        <w:t>knowlet</w:t>
      </w:r>
      <w:proofErr w:type="spellEnd"/>
      <w:r>
        <w:rPr>
          <w:rFonts w:ascii="Helvetica Neue" w:hAnsi="Helvetica Neue"/>
        </w:rPr>
        <w:t xml:space="preserve"> metadata assertions, will be automatically tracked by re-hashing the </w:t>
      </w:r>
      <w:proofErr w:type="spellStart"/>
      <w:r>
        <w:rPr>
          <w:rFonts w:ascii="Helvetica Neue" w:hAnsi="Helvetica Neue"/>
        </w:rPr>
        <w:t>knowlet</w:t>
      </w:r>
      <w:proofErr w:type="spellEnd"/>
      <w:r>
        <w:rPr>
          <w:rFonts w:ascii="Helvetica Neue" w:hAnsi="Helvetica Neue"/>
        </w:rPr>
        <w:t xml:space="preserve"> and creating novel PIDs. The</w:t>
      </w:r>
      <w:r>
        <w:rPr>
          <w:rFonts w:ascii="Helvetica Neue" w:hAnsi="Helvetica Neue"/>
        </w:rPr>
        <w:t xml:space="preserve"> sequence of PIDs </w:t>
      </w:r>
      <w:r>
        <w:rPr>
          <w:rFonts w:ascii="Helvetica Neue" w:hAnsi="Helvetica Neue"/>
        </w:rPr>
        <w:t xml:space="preserve">would then preserve a detailed conceptual provenance train of that protein over time. </w:t>
      </w:r>
    </w:p>
    <w:p w:rsidR="004B0758" w:rsidRDefault="004B0758">
      <w:pPr>
        <w:pStyle w:val="Body"/>
      </w:pPr>
    </w:p>
    <w:p w:rsidR="004B0758" w:rsidRDefault="00E92A9D">
      <w:pPr>
        <w:pStyle w:val="Body"/>
        <w:jc w:val="center"/>
      </w:pPr>
      <w:r>
        <w:rPr>
          <w:b/>
          <w:bCs/>
          <w:noProof/>
          <w:lang w:val="en-GB"/>
        </w:rPr>
        <w:drawing>
          <wp:inline distT="0" distB="0" distL="0" distR="0">
            <wp:extent cx="4911090" cy="283083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830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B0758" w:rsidRDefault="004B0758">
      <w:pPr>
        <w:pStyle w:val="Body"/>
        <w:rPr>
          <w:rFonts w:ascii="Helvetica Neue" w:eastAsia="Helvetica Neue" w:hAnsi="Helvetica Neue" w:cs="Helvetica Neue"/>
          <w:b/>
          <w:bCs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Proposal</w:t>
      </w:r>
      <w:r>
        <w:rPr>
          <w:rFonts w:ascii="Helvetica Neue" w:hAnsi="Helvetica Neue"/>
        </w:rPr>
        <w:t xml:space="preserve">  </w:t>
      </w:r>
    </w:p>
    <w:p w:rsidR="004B0758" w:rsidRDefault="00E92A9D">
      <w:pPr>
        <w:pStyle w:val="Body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</w:rPr>
        <w:t xml:space="preserve">To build an Open platform for the collective creation of protein </w:t>
      </w:r>
      <w:proofErr w:type="spellStart"/>
      <w:r>
        <w:rPr>
          <w:rFonts w:ascii="Helvetica Neue" w:hAnsi="Helvetica Neue"/>
        </w:rPr>
        <w:t>knowlets</w:t>
      </w:r>
      <w:proofErr w:type="spellEnd"/>
      <w:r>
        <w:rPr>
          <w:rFonts w:ascii="Helvetica Neue" w:hAnsi="Helvetica Neue"/>
        </w:rPr>
        <w:t xml:space="preserve"> as DOs.</w:t>
      </w:r>
      <w:proofErr w:type="gramEnd"/>
      <w:r>
        <w:rPr>
          <w:rFonts w:ascii="Helvetica Neue" w:hAnsi="Helvetica Neue"/>
        </w:rPr>
        <w:t xml:space="preserve">  Specifically: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numPr>
          <w:ilvl w:val="0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To implement the 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 xml:space="preserve"> data model described above; </w:t>
      </w:r>
    </w:p>
    <w:p w:rsidR="004B0758" w:rsidRDefault="00E92A9D">
      <w:pPr>
        <w:pStyle w:val="Body"/>
        <w:numPr>
          <w:ilvl w:val="0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To populate the 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 xml:space="preserve"> with existing data (sequence) and metadata (DO and scientific); 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Peptides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Some known peptide sequences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Large numbers of theoretical peptide sequences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  <w:lang w:val="de-DE"/>
        </w:rPr>
      </w:pPr>
      <w:r>
        <w:rPr>
          <w:rFonts w:ascii="Helvetica Neue" w:hAnsi="Helvetica Neue"/>
          <w:lang w:val="de-DE"/>
        </w:rPr>
        <w:t xml:space="preserve">Human </w:t>
      </w:r>
      <w:proofErr w:type="spellStart"/>
      <w:r>
        <w:rPr>
          <w:rFonts w:ascii="Helvetica Neue" w:hAnsi="Helvetica Neue"/>
          <w:lang w:val="de-DE"/>
        </w:rPr>
        <w:t>proteins</w:t>
      </w:r>
      <w:proofErr w:type="spellEnd"/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And their known var</w:t>
      </w:r>
      <w:r>
        <w:rPr>
          <w:rFonts w:ascii="Helvetica Neue" w:hAnsi="Helvetica Neue"/>
        </w:rPr>
        <w:t xml:space="preserve">iants 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Large numbers of theoretical human variants</w:t>
      </w:r>
    </w:p>
    <w:p w:rsidR="004B0758" w:rsidRDefault="00E92A9D">
      <w:pPr>
        <w:pStyle w:val="Body"/>
        <w:numPr>
          <w:ilvl w:val="0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To demonstrate </w:t>
      </w:r>
      <w:proofErr w:type="spellStart"/>
      <w:r>
        <w:rPr>
          <w:rFonts w:ascii="Helvetica Neue" w:hAnsi="Helvetica Neue"/>
        </w:rPr>
        <w:t>DOIP</w:t>
      </w:r>
      <w:proofErr w:type="spellEnd"/>
      <w:r>
        <w:rPr>
          <w:rFonts w:ascii="Helvetica Neue" w:hAnsi="Helvetica Neue"/>
        </w:rPr>
        <w:t xml:space="preserve"> functionality on </w:t>
      </w:r>
      <w:proofErr w:type="spellStart"/>
      <w:r>
        <w:rPr>
          <w:rFonts w:ascii="Helvetica Neue" w:hAnsi="Helvetica Neue"/>
        </w:rPr>
        <w:t>PKDOs</w:t>
      </w:r>
      <w:proofErr w:type="spellEnd"/>
      <w:r>
        <w:rPr>
          <w:rFonts w:ascii="Helvetica Neue" w:hAnsi="Helvetica Neue"/>
        </w:rPr>
        <w:t xml:space="preserve">: automatic routing of new protein </w:t>
      </w:r>
      <w:proofErr w:type="spellStart"/>
      <w:r>
        <w:rPr>
          <w:rFonts w:ascii="Helvetica Neue" w:hAnsi="Helvetica Neue"/>
        </w:rPr>
        <w:t>knowlets</w:t>
      </w:r>
      <w:proofErr w:type="spellEnd"/>
      <w:r>
        <w:rPr>
          <w:rFonts w:ascii="Helvetica Neue" w:hAnsi="Helvetica Neue"/>
        </w:rPr>
        <w:t xml:space="preserve"> to appropriate services such as;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Analytics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Sequence similarity searches (</w:t>
      </w:r>
      <w:r>
        <w:rPr>
          <w:rFonts w:ascii="Helvetica Neue" w:hAnsi="Helvetica Neue"/>
        </w:rPr>
        <w:t>“</w:t>
      </w:r>
      <w:r>
        <w:rPr>
          <w:rFonts w:ascii="Helvetica Neue" w:hAnsi="Helvetica Neue"/>
        </w:rPr>
        <w:t>has this variant been observed before?</w:t>
      </w:r>
      <w:r>
        <w:rPr>
          <w:rFonts w:ascii="Helvetica Neue" w:hAnsi="Helvetica Neue"/>
        </w:rPr>
        <w:t>”</w:t>
      </w:r>
      <w:r>
        <w:rPr>
          <w:rFonts w:ascii="Helvetica Neue" w:hAnsi="Helvetica Neue"/>
        </w:rPr>
        <w:t xml:space="preserve">); 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lastRenderedPageBreak/>
        <w:t>St</w:t>
      </w:r>
      <w:r>
        <w:rPr>
          <w:rFonts w:ascii="Helvetica Neue" w:hAnsi="Helvetica Neue"/>
        </w:rPr>
        <w:t>ructure prediction services (every sequence will now have a detailed structure profile based on the consensus of an ensemble of prediction methods)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Biomedical analytics (using the </w:t>
      </w:r>
      <w:proofErr w:type="spellStart"/>
      <w:r>
        <w:rPr>
          <w:rFonts w:ascii="Helvetica Neue" w:hAnsi="Helvetica Neue"/>
        </w:rPr>
        <w:t>Euretos</w:t>
      </w:r>
      <w:proofErr w:type="spellEnd"/>
      <w:r>
        <w:rPr>
          <w:rFonts w:ascii="Helvetica Neue" w:hAnsi="Helvetica Neue"/>
        </w:rPr>
        <w:t xml:space="preserve"> Platform).  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Compute: These services may be run on a distributed net</w:t>
      </w:r>
      <w:r>
        <w:rPr>
          <w:rFonts w:ascii="Helvetica Neue" w:hAnsi="Helvetica Neue"/>
        </w:rPr>
        <w:t xml:space="preserve">work of public and commercial compute resources </w:t>
      </w:r>
      <w:r>
        <w:rPr>
          <w:rFonts w:ascii="Helvetica Neue" w:hAnsi="Helvetica Neue"/>
        </w:rPr>
        <w:br/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  <w:lang w:val="de-DE"/>
        </w:rPr>
      </w:pPr>
      <w:proofErr w:type="spellStart"/>
      <w:r>
        <w:rPr>
          <w:rFonts w:ascii="Helvetica Neue" w:hAnsi="Helvetica Neue"/>
          <w:lang w:val="de-DE"/>
        </w:rPr>
        <w:t>NOMAD</w:t>
      </w:r>
      <w:proofErr w:type="spellEnd"/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Amazon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proofErr w:type="spellStart"/>
      <w:r>
        <w:rPr>
          <w:rFonts w:ascii="Helvetica Neue" w:hAnsi="Helvetica Neue"/>
        </w:rPr>
        <w:t>Nerdalize</w:t>
      </w:r>
      <w:proofErr w:type="spellEnd"/>
    </w:p>
    <w:p w:rsidR="004B0758" w:rsidRDefault="00E92A9D">
      <w:pPr>
        <w:pStyle w:val="Body"/>
        <w:numPr>
          <w:ilvl w:val="0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To allow </w:t>
      </w:r>
      <w:proofErr w:type="spellStart"/>
      <w:r>
        <w:rPr>
          <w:rFonts w:ascii="Helvetica Neue" w:hAnsi="Helvetica Neue"/>
        </w:rPr>
        <w:t>PKDO</w:t>
      </w:r>
      <w:proofErr w:type="spellEnd"/>
      <w:r>
        <w:rPr>
          <w:rFonts w:ascii="Helvetica Neue" w:hAnsi="Helvetica Neue"/>
        </w:rPr>
        <w:t xml:space="preserve"> updates and corresponding automatic minting of new PIDs;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Edits by the creator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Edits by the community at large (including those by machines) </w:t>
      </w:r>
    </w:p>
    <w:p w:rsidR="004B0758" w:rsidRDefault="00E92A9D">
      <w:pPr>
        <w:pStyle w:val="Body"/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Edits via a FAIR </w:t>
      </w:r>
      <w:r>
        <w:rPr>
          <w:rFonts w:ascii="Helvetica Neue" w:hAnsi="Helvetica Neue"/>
        </w:rPr>
        <w:t>Compliant and Flexible Semantic Interoperability Framework (</w:t>
      </w:r>
      <w:proofErr w:type="spellStart"/>
      <w:r>
        <w:rPr>
          <w:rFonts w:ascii="Helvetica Neue" w:hAnsi="Helvetica Neue"/>
        </w:rPr>
        <w:t>F2SIF</w:t>
      </w:r>
      <w:proofErr w:type="spellEnd"/>
      <w:r>
        <w:rPr>
          <w:rFonts w:ascii="Helvetica Neue" w:hAnsi="Helvetica Neue"/>
        </w:rPr>
        <w:t>)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Enables semantic annotation and encoding of scientific content used to carry out scientific analytics especially between knowledge domains such as the </w:t>
      </w:r>
      <w:r>
        <w:rPr>
          <w:rFonts w:ascii="Helvetica Neue" w:hAnsi="Helvetica Neue"/>
        </w:rPr>
        <w:t>“</w:t>
      </w:r>
      <w:r>
        <w:rPr>
          <w:rFonts w:ascii="Helvetica Neue" w:hAnsi="Helvetica Neue"/>
        </w:rPr>
        <w:t>sequence</w:t>
      </w:r>
      <w:r>
        <w:rPr>
          <w:rFonts w:ascii="Helvetica Neue" w:hAnsi="Helvetica Neue"/>
        </w:rPr>
        <w:t>”</w:t>
      </w:r>
      <w:r>
        <w:rPr>
          <w:rFonts w:ascii="Helvetica Neue" w:hAnsi="Helvetica Neue"/>
        </w:rPr>
        <w:t xml:space="preserve">, </w:t>
      </w:r>
      <w:r>
        <w:rPr>
          <w:rFonts w:ascii="Helvetica Neue" w:hAnsi="Helvetica Neue"/>
        </w:rPr>
        <w:t>“</w:t>
      </w:r>
      <w:r>
        <w:rPr>
          <w:rFonts w:ascii="Helvetica Neue" w:hAnsi="Helvetica Neue"/>
          <w:lang w:val="fr-FR"/>
        </w:rPr>
        <w:t>structure</w:t>
      </w:r>
      <w:r>
        <w:rPr>
          <w:rFonts w:ascii="Helvetica Neue" w:hAnsi="Helvetica Neue"/>
        </w:rPr>
        <w:t xml:space="preserve">” </w:t>
      </w:r>
      <w:r>
        <w:rPr>
          <w:rFonts w:ascii="Helvetica Neue" w:hAnsi="Helvetica Neue"/>
        </w:rPr>
        <w:t xml:space="preserve">and </w:t>
      </w:r>
      <w:r>
        <w:rPr>
          <w:rFonts w:ascii="Helvetica Neue" w:hAnsi="Helvetica Neue"/>
        </w:rPr>
        <w:t>“</w:t>
      </w:r>
      <w:r>
        <w:rPr>
          <w:rFonts w:ascii="Helvetica Neue" w:hAnsi="Helvetica Neue"/>
        </w:rPr>
        <w:t>function</w:t>
      </w:r>
      <w:r>
        <w:rPr>
          <w:rFonts w:ascii="Helvetica Neue" w:hAnsi="Helvetica Neue"/>
        </w:rPr>
        <w:t>”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knowledge domains where methods, data formats and jargon tend to be </w:t>
      </w:r>
      <w:proofErr w:type="spellStart"/>
      <w:r>
        <w:rPr>
          <w:rFonts w:ascii="Helvetica Neue" w:hAnsi="Helvetica Neue"/>
        </w:rPr>
        <w:t>siloed</w:t>
      </w:r>
      <w:proofErr w:type="spellEnd"/>
      <w:r>
        <w:rPr>
          <w:rFonts w:ascii="Helvetica Neue" w:hAnsi="Helvetica Neue"/>
        </w:rPr>
        <w:t xml:space="preserve">. 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Enables relations to be drawn between semantic categories defined in different semantic domains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Enables these relationships to be stored in FAIR compliant ways and registries so </w:t>
      </w:r>
      <w:r>
        <w:rPr>
          <w:rFonts w:ascii="Helvetica Neue" w:hAnsi="Helvetica Neue"/>
        </w:rPr>
        <w:t>they are trackable, and can be shared with others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Enables identifiable collections of such relationships, addressing certain specific needs</w:t>
      </w:r>
    </w:p>
    <w:p w:rsidR="004B0758" w:rsidRDefault="00E92A9D">
      <w:pPr>
        <w:pStyle w:val="Body"/>
        <w:numPr>
          <w:ilvl w:val="2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Enables the reuse of these registered collections of relationships (user can modify them and register them again to </w:t>
      </w:r>
      <w:r>
        <w:rPr>
          <w:rFonts w:ascii="Helvetica Neue" w:hAnsi="Helvetica Neue"/>
        </w:rPr>
        <w:t>enable ongoing r</w:t>
      </w:r>
      <w:bookmarkStart w:id="0" w:name="_GoBack"/>
      <w:bookmarkEnd w:id="0"/>
      <w:r>
        <w:rPr>
          <w:rFonts w:ascii="Helvetica Neue" w:hAnsi="Helvetica Neue"/>
        </w:rPr>
        <w:t xml:space="preserve">euse) </w:t>
      </w: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4B0758">
      <w:pPr>
        <w:pStyle w:val="Body"/>
        <w:rPr>
          <w:rFonts w:ascii="Helvetica Neue" w:eastAsia="Helvetica Neue" w:hAnsi="Helvetica Neue" w:cs="Helvetica Neue"/>
        </w:rPr>
      </w:pPr>
    </w:p>
    <w:p w:rsidR="004B0758" w:rsidRDefault="00E92A9D">
      <w:pPr>
        <w:pStyle w:val="Body"/>
        <w:rPr>
          <w:rFonts w:ascii="Helvetica Neue" w:eastAsia="Helvetica Neue" w:hAnsi="Helvetica Neue" w:cs="Helvetica Neue"/>
          <w:b/>
          <w:bCs/>
        </w:rPr>
      </w:pPr>
      <w:proofErr w:type="spellStart"/>
      <w:r>
        <w:rPr>
          <w:rFonts w:ascii="Helvetica Neue" w:hAnsi="Helvetica Neue"/>
          <w:b/>
          <w:bCs/>
          <w:lang w:val="fr-FR"/>
        </w:rPr>
        <w:t>References</w:t>
      </w:r>
      <w:proofErr w:type="spellEnd"/>
      <w:r>
        <w:rPr>
          <w:rFonts w:ascii="Helvetica Neue" w:hAnsi="Helvetica Neue"/>
          <w:b/>
          <w:bCs/>
          <w:lang w:val="fr-FR"/>
        </w:rPr>
        <w:t xml:space="preserve"> </w:t>
      </w:r>
    </w:p>
    <w:p w:rsidR="004B0758" w:rsidRDefault="00E92A9D">
      <w:pPr>
        <w:pStyle w:val="Body"/>
        <w:rPr>
          <w:rStyle w:val="Hyperlink0"/>
        </w:rPr>
      </w:pPr>
      <w:r>
        <w:rPr>
          <w:rFonts w:ascii="Trebuchet MS" w:hAnsi="Trebuchet MS"/>
        </w:rPr>
        <w:t>[1] B. Mons: FAIR Science for Social Machines: Let</w:t>
      </w:r>
      <w:r>
        <w:rPr>
          <w:rFonts w:ascii="Trebuchet MS" w:hAnsi="Trebuchet MS"/>
        </w:rPr>
        <w:t>’</w:t>
      </w:r>
      <w:r>
        <w:rPr>
          <w:rFonts w:ascii="Trebuchet MS" w:hAnsi="Trebuchet MS"/>
        </w:rPr>
        <w:t xml:space="preserve">s Share Metadata </w:t>
      </w:r>
      <w:proofErr w:type="spellStart"/>
      <w:r>
        <w:rPr>
          <w:rFonts w:ascii="Trebuchet MS" w:hAnsi="Trebuchet MS"/>
        </w:rPr>
        <w:t>Knowlets</w:t>
      </w:r>
      <w:proofErr w:type="spellEnd"/>
      <w:r>
        <w:rPr>
          <w:rFonts w:ascii="Trebuchet MS" w:hAnsi="Trebuchet MS"/>
        </w:rPr>
        <w:t xml:space="preserve"> in the Internet of FAIR Data and Services;</w:t>
      </w:r>
      <w:hyperlink r:id="rId9" w:history="1">
        <w:r>
          <w:rPr>
            <w:rStyle w:val="Hyperlink0"/>
          </w:rPr>
          <w:t xml:space="preserve"> </w:t>
        </w:r>
      </w:hyperlink>
      <w:hyperlink r:id="rId10" w:history="1">
        <w:r>
          <w:rPr>
            <w:rStyle w:val="Hyperlink1"/>
          </w:rPr>
          <w:t>http://www.data-intelligence-journal.org/static/publish/B5/D1/28/A85A05492CA4E681827A4F8BF7/Barend_Mons.pdf</w:t>
        </w:r>
      </w:hyperlink>
      <w:r>
        <w:rPr>
          <w:rStyle w:val="Hyperlink0"/>
        </w:rPr>
        <w:t xml:space="preserve"> </w:t>
      </w:r>
    </w:p>
    <w:p w:rsidR="004B0758" w:rsidRDefault="00E92A9D">
      <w:pPr>
        <w:pStyle w:val="Body"/>
      </w:pPr>
      <w:r>
        <w:rPr>
          <w:rStyle w:val="Hyperlink0"/>
        </w:rPr>
        <w:t>[2] Trusty URI approach;</w:t>
      </w:r>
      <w:hyperlink r:id="rId11" w:history="1">
        <w:r>
          <w:rPr>
            <w:rStyle w:val="Hyperlink0"/>
          </w:rPr>
          <w:t xml:space="preserve"> </w:t>
        </w:r>
      </w:hyperlink>
      <w:hyperlink r:id="rId12" w:history="1">
        <w:r w:rsidRPr="001B2C3D">
          <w:rPr>
            <w:rStyle w:val="Hyperlink1"/>
            <w:lang w:val="en-GB"/>
          </w:rPr>
          <w:t>http://</w:t>
        </w:r>
        <w:proofErr w:type="spellStart"/>
        <w:r w:rsidRPr="001B2C3D">
          <w:rPr>
            <w:rStyle w:val="Hyperlink1"/>
            <w:lang w:val="en-GB"/>
          </w:rPr>
          <w:t>trustyuri.net</w:t>
        </w:r>
        <w:proofErr w:type="spellEnd"/>
      </w:hyperlink>
    </w:p>
    <w:p w:rsidR="004B0758" w:rsidRDefault="004B0758">
      <w:pPr>
        <w:pStyle w:val="Body"/>
      </w:pPr>
    </w:p>
    <w:p w:rsidR="004B0758" w:rsidRDefault="004B0758">
      <w:pPr>
        <w:pStyle w:val="Body"/>
      </w:pPr>
    </w:p>
    <w:sectPr w:rsidR="004B0758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paraIdParent="11120000" w15:done="0"/>
  <w15:commentEx w15:paraId="11120004" w15:done="0"/>
  <w15:commentEx w15:paraId="11120006" w15:paraIdParent="11120004" w15:done="0"/>
  <w15:commentEx w15:paraId="11120008" w15:done="0"/>
  <w15:commentEx w15:paraId="1112000A" w15:paraIdParent="11120008" w15:done="0"/>
  <w15:commentEx w15:paraId="1112000C" w15:done="0"/>
  <w15:commentEx w15:paraId="1112000E" w15:paraIdParent="1112000C" w15:done="0"/>
  <w15:commentEx w15:paraId="11120010" w15:done="0"/>
  <w15:commentEx w15:paraId="11120012" w15:done="0"/>
  <w15:commentEx w15:paraId="11120014" w15:paraIdParent="11120012" w15:done="0"/>
  <w15:commentEx w15:paraId="11120016" w15:done="0"/>
  <w15:commentEx w15:paraId="11120018" w15:paraIdParent="11120016" w15:done="0"/>
  <w15:commentEx w15:paraId="1112001A" w15:done="0"/>
  <w15:commentEx w15:paraId="1112001C" w15:paraIdParent="1112001A" w15:done="0"/>
  <w15:commentEx w15:paraId="1112001E" w15:done="0"/>
  <w15:commentEx w15:paraId="11120020" w15:paraIdParent="1112001E" w15:done="0"/>
  <w15:commentEx w15:paraId="11120023" w15:done="0"/>
  <w15:commentEx w15:paraId="11120025" w15:paraIdParent="11120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9D" w:rsidRDefault="00E92A9D">
      <w:r>
        <w:separator/>
      </w:r>
    </w:p>
  </w:endnote>
  <w:endnote w:type="continuationSeparator" w:id="0">
    <w:p w:rsidR="00E92A9D" w:rsidRDefault="00E9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758" w:rsidRDefault="004B075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9D" w:rsidRDefault="00E92A9D">
      <w:r>
        <w:separator/>
      </w:r>
    </w:p>
  </w:footnote>
  <w:footnote w:type="continuationSeparator" w:id="0">
    <w:p w:rsidR="00E92A9D" w:rsidRDefault="00E9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758" w:rsidRDefault="004B075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AD2"/>
    <w:multiLevelType w:val="hybridMultilevel"/>
    <w:tmpl w:val="402AFB12"/>
    <w:numStyleLink w:val="ImportedStyle2"/>
  </w:abstractNum>
  <w:abstractNum w:abstractNumId="1">
    <w:nsid w:val="36341E67"/>
    <w:multiLevelType w:val="hybridMultilevel"/>
    <w:tmpl w:val="01EC0BF6"/>
    <w:styleLink w:val="ImportedStyle1"/>
    <w:lvl w:ilvl="0" w:tplc="2D5A306A">
      <w:start w:val="1"/>
      <w:numFmt w:val="decimal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4465E8">
      <w:start w:val="1"/>
      <w:numFmt w:val="lowerLetter"/>
      <w:lvlText w:val="(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B86D86">
      <w:start w:val="1"/>
      <w:numFmt w:val="lowerRoman"/>
      <w:lvlText w:val="(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681344">
      <w:start w:val="1"/>
      <w:numFmt w:val="decimal"/>
      <w:lvlText w:val="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22F12">
      <w:start w:val="1"/>
      <w:numFmt w:val="lowerLetter"/>
      <w:lvlText w:val="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81558">
      <w:start w:val="1"/>
      <w:numFmt w:val="lowerRoman"/>
      <w:lvlText w:val="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CEAF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30AC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241E12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C3A1405"/>
    <w:multiLevelType w:val="hybridMultilevel"/>
    <w:tmpl w:val="01EC0BF6"/>
    <w:numStyleLink w:val="ImportedStyle1"/>
  </w:abstractNum>
  <w:abstractNum w:abstractNumId="3">
    <w:nsid w:val="5B023074"/>
    <w:multiLevelType w:val="hybridMultilevel"/>
    <w:tmpl w:val="402AFB12"/>
    <w:styleLink w:val="ImportedStyle2"/>
    <w:lvl w:ilvl="0" w:tplc="84C60E1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60636C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1CCBF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0CD03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58E66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88E9A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9EA33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A8C43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EC21B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0758"/>
    <w:rsid w:val="001B2C3D"/>
    <w:rsid w:val="004B0758"/>
    <w:rsid w:val="00E9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rebuchet MS" w:eastAsia="Trebuchet MS" w:hAnsi="Trebuchet MS" w:cs="Trebuchet MS"/>
    </w:rPr>
  </w:style>
  <w:style w:type="character" w:customStyle="1" w:styleId="Hyperlink1">
    <w:name w:val="Hyperlink.1"/>
    <w:basedOn w:val="None"/>
    <w:rPr>
      <w:rFonts w:ascii="Trebuchet MS" w:eastAsia="Trebuchet MS" w:hAnsi="Trebuchet MS" w:cs="Trebuchet MS"/>
      <w:color w:val="1155CC"/>
      <w:u w:val="single" w:color="1155CC"/>
    </w:rPr>
  </w:style>
  <w:style w:type="character" w:customStyle="1" w:styleId="Hyperlink2">
    <w:name w:val="Hyperlink.2"/>
    <w:basedOn w:val="None"/>
    <w:rPr>
      <w:rFonts w:ascii="Arial" w:eastAsia="Arial" w:hAnsi="Arial" w:cs="Arial"/>
      <w:b/>
      <w:bCs/>
      <w:color w:val="1155CC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3">
    <w:name w:val="Hyperlink.3"/>
    <w:basedOn w:val="None"/>
    <w:rPr>
      <w:color w:val="1155CC"/>
      <w:u w:val="single" w:color="1155CC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3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rebuchet MS" w:eastAsia="Trebuchet MS" w:hAnsi="Trebuchet MS" w:cs="Trebuchet MS"/>
    </w:rPr>
  </w:style>
  <w:style w:type="character" w:customStyle="1" w:styleId="Hyperlink1">
    <w:name w:val="Hyperlink.1"/>
    <w:basedOn w:val="None"/>
    <w:rPr>
      <w:rFonts w:ascii="Trebuchet MS" w:eastAsia="Trebuchet MS" w:hAnsi="Trebuchet MS" w:cs="Trebuchet MS"/>
      <w:color w:val="1155CC"/>
      <w:u w:val="single" w:color="1155CC"/>
    </w:rPr>
  </w:style>
  <w:style w:type="character" w:customStyle="1" w:styleId="Hyperlink2">
    <w:name w:val="Hyperlink.2"/>
    <w:basedOn w:val="None"/>
    <w:rPr>
      <w:rFonts w:ascii="Arial" w:eastAsia="Arial" w:hAnsi="Arial" w:cs="Arial"/>
      <w:b/>
      <w:bCs/>
      <w:color w:val="1155CC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3">
    <w:name w:val="Hyperlink.3"/>
    <w:basedOn w:val="None"/>
    <w:rPr>
      <w:color w:val="1155CC"/>
      <w:u w:val="single" w:color="1155CC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3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rustyuri.net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ustyuri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ata-intelligence-journal.org/static/publish/B5/D1/28/A85A05492CA4E681827A4F8BF7/Barend_M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-intelligence-journal.org/static/publish/B5/D1/28/A85A05492CA4E681827A4F8BF7/Barend_Mon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2019-01-14T18:56:00Z</dcterms:created>
  <dcterms:modified xsi:type="dcterms:W3CDTF">2019-01-14T18:56:00Z</dcterms:modified>
</cp:coreProperties>
</file>