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44C" w:rsidRDefault="00ED2636">
      <w:pPr>
        <w:pStyle w:val="Title"/>
      </w:pPr>
      <w:proofErr w:type="spellStart"/>
      <w:r>
        <w:t>GEDE</w:t>
      </w:r>
      <w:proofErr w:type="spellEnd"/>
      <w:r>
        <w:t xml:space="preserve"> DO Topic Group: </w:t>
      </w:r>
      <w:r>
        <w:tab/>
      </w:r>
      <w:r>
        <w:tab/>
      </w:r>
      <w:r>
        <w:tab/>
        <w:t xml:space="preserve">      Some Terminology Issues</w:t>
      </w:r>
      <w:r w:rsidR="00542611">
        <w:t xml:space="preserve"> </w:t>
      </w:r>
    </w:p>
    <w:p w:rsidR="00ED35AA" w:rsidRPr="0054444C" w:rsidRDefault="00542611">
      <w:pPr>
        <w:pStyle w:val="Title"/>
        <w:rPr>
          <w:sz w:val="32"/>
          <w:szCs w:val="32"/>
        </w:rPr>
      </w:pPr>
      <w:r w:rsidRPr="0054444C">
        <w:rPr>
          <w:sz w:val="32"/>
          <w:szCs w:val="32"/>
        </w:rPr>
        <w:t>V</w:t>
      </w:r>
      <w:r w:rsidR="0054444C">
        <w:rPr>
          <w:sz w:val="32"/>
          <w:szCs w:val="32"/>
        </w:rPr>
        <w:t xml:space="preserve">ersion </w:t>
      </w:r>
      <w:r w:rsidRPr="0054444C">
        <w:rPr>
          <w:sz w:val="32"/>
          <w:szCs w:val="32"/>
        </w:rPr>
        <w:t>2.0</w:t>
      </w:r>
      <w:r w:rsidR="0054444C">
        <w:rPr>
          <w:sz w:val="32"/>
          <w:szCs w:val="32"/>
        </w:rPr>
        <w:t xml:space="preserve"> - February 2019</w:t>
      </w:r>
    </w:p>
    <w:p w:rsidR="00ED35AA" w:rsidRDefault="0054444C">
      <w:pPr>
        <w:pBdr>
          <w:top w:val="nil"/>
          <w:left w:val="nil"/>
          <w:bottom w:val="nil"/>
          <w:right w:val="nil"/>
          <w:between w:val="nil"/>
        </w:pBdr>
        <w:spacing w:after="0" w:line="240" w:lineRule="auto"/>
        <w:rPr>
          <w:color w:val="000000"/>
        </w:rPr>
      </w:pPr>
      <w:r>
        <w:rPr>
          <w:color w:val="000000"/>
        </w:rPr>
        <w:t xml:space="preserve">Editor: </w:t>
      </w:r>
      <w:r w:rsidR="00ED2636">
        <w:rPr>
          <w:color w:val="000000"/>
        </w:rPr>
        <w:t>Peter</w:t>
      </w:r>
      <w:r w:rsidR="00542611">
        <w:rPr>
          <w:color w:val="000000"/>
        </w:rPr>
        <w:t xml:space="preserve"> </w:t>
      </w:r>
      <w:proofErr w:type="spellStart"/>
      <w:r w:rsidR="00542611">
        <w:rPr>
          <w:color w:val="000000"/>
        </w:rPr>
        <w:t>Wittenburg</w:t>
      </w:r>
      <w:proofErr w:type="spellEnd"/>
    </w:p>
    <w:p w:rsidR="0054444C" w:rsidRDefault="0054444C">
      <w:pPr>
        <w:pBdr>
          <w:top w:val="nil"/>
          <w:left w:val="nil"/>
          <w:bottom w:val="nil"/>
          <w:right w:val="nil"/>
          <w:between w:val="nil"/>
        </w:pBdr>
        <w:spacing w:after="0" w:line="240" w:lineRule="auto"/>
        <w:rPr>
          <w:color w:val="000000"/>
        </w:rPr>
      </w:pPr>
      <w:r>
        <w:rPr>
          <w:color w:val="000000"/>
        </w:rPr>
        <w:t>Date: 10.2.2019</w:t>
      </w:r>
    </w:p>
    <w:p w:rsidR="0054444C" w:rsidRDefault="0054444C">
      <w:pPr>
        <w:pBdr>
          <w:top w:val="nil"/>
          <w:left w:val="nil"/>
          <w:bottom w:val="nil"/>
          <w:right w:val="nil"/>
          <w:between w:val="nil"/>
        </w:pBdr>
        <w:spacing w:after="0" w:line="240" w:lineRule="auto"/>
        <w:rPr>
          <w:color w:val="000000"/>
        </w:rPr>
      </w:pPr>
      <w:r>
        <w:rPr>
          <w:color w:val="000000"/>
        </w:rPr>
        <w:t>Version 2.0</w:t>
      </w:r>
      <w:bookmarkStart w:id="0" w:name="_GoBack"/>
      <w:bookmarkEnd w:id="0"/>
    </w:p>
    <w:p w:rsidR="0054444C" w:rsidRDefault="0054444C">
      <w:pPr>
        <w:pBdr>
          <w:top w:val="nil"/>
          <w:left w:val="nil"/>
          <w:bottom w:val="nil"/>
          <w:right w:val="nil"/>
          <w:between w:val="nil"/>
        </w:pBdr>
        <w:spacing w:after="0" w:line="240" w:lineRule="auto"/>
        <w:rPr>
          <w:color w:val="000000"/>
        </w:rPr>
      </w:pPr>
    </w:p>
    <w:p w:rsidR="00ED35AA" w:rsidRDefault="00ED2636">
      <w:pPr>
        <w:pBdr>
          <w:top w:val="nil"/>
          <w:left w:val="nil"/>
          <w:bottom w:val="nil"/>
          <w:right w:val="nil"/>
          <w:between w:val="nil"/>
        </w:pBdr>
        <w:spacing w:after="0" w:line="240" w:lineRule="auto"/>
        <w:jc w:val="both"/>
        <w:rPr>
          <w:color w:val="000000"/>
        </w:rPr>
      </w:pPr>
      <w:r>
        <w:rPr>
          <w:color w:val="000000"/>
        </w:rPr>
        <w:t xml:space="preserve">At the last DO Meeting we identified terminology issues and I promised to give it a start to clarify some terms (from my point of view). This document is meant as a start and I will use definitions that were made in RDA </w:t>
      </w:r>
      <w:proofErr w:type="spellStart"/>
      <w:r>
        <w:rPr>
          <w:color w:val="000000"/>
        </w:rPr>
        <w:t>DFT</w:t>
      </w:r>
      <w:proofErr w:type="spellEnd"/>
      <w:r>
        <w:rPr>
          <w:color w:val="000000"/>
        </w:rPr>
        <w:t xml:space="preserve"> based on many use cases as a pivot point and add others for example from DONA, </w:t>
      </w:r>
      <w:proofErr w:type="spellStart"/>
      <w:r>
        <w:rPr>
          <w:color w:val="000000"/>
        </w:rPr>
        <w:t>ITU</w:t>
      </w:r>
      <w:proofErr w:type="spellEnd"/>
      <w:r>
        <w:rPr>
          <w:color w:val="000000"/>
        </w:rPr>
        <w:t xml:space="preserve"> </w:t>
      </w:r>
      <w:proofErr w:type="spellStart"/>
      <w:r>
        <w:rPr>
          <w:color w:val="000000"/>
        </w:rPr>
        <w:t>X.1255</w:t>
      </w:r>
      <w:proofErr w:type="spellEnd"/>
      <w:r>
        <w:rPr>
          <w:color w:val="000000"/>
        </w:rPr>
        <w:t xml:space="preserve">, etc. There are many other definitions out there and </w:t>
      </w:r>
      <w:proofErr w:type="spellStart"/>
      <w:r>
        <w:rPr>
          <w:color w:val="000000"/>
        </w:rPr>
        <w:t>GEDE</w:t>
      </w:r>
      <w:proofErr w:type="spellEnd"/>
      <w:r>
        <w:rPr>
          <w:color w:val="000000"/>
        </w:rPr>
        <w:t xml:space="preserve"> should feel free to add notes on definitions or add additional terms.</w:t>
      </w:r>
    </w:p>
    <w:p w:rsidR="00ED35AA" w:rsidRDefault="00ED2636">
      <w:pPr>
        <w:pStyle w:val="Heading2"/>
      </w:pPr>
      <w:r>
        <w:t xml:space="preserve">1. Digital Object (DO) </w:t>
      </w:r>
    </w:p>
    <w:p w:rsidR="00ED35AA" w:rsidRDefault="00ED2636">
      <w:pPr>
        <w:pBdr>
          <w:top w:val="nil"/>
          <w:left w:val="nil"/>
          <w:bottom w:val="nil"/>
          <w:right w:val="nil"/>
          <w:between w:val="nil"/>
        </w:pBdr>
        <w:spacing w:after="0" w:line="240" w:lineRule="auto"/>
        <w:rPr>
          <w:color w:val="000000"/>
        </w:rPr>
      </w:pPr>
      <w:r>
        <w:rPr>
          <w:b/>
          <w:i/>
          <w:color w:val="000000"/>
        </w:rPr>
        <w:t xml:space="preserve">RDA </w:t>
      </w:r>
      <w:proofErr w:type="spellStart"/>
      <w:r>
        <w:rPr>
          <w:b/>
          <w:i/>
          <w:color w:val="000000"/>
        </w:rPr>
        <w:t>DFT</w:t>
      </w:r>
      <w:proofErr w:type="spellEnd"/>
      <w:r>
        <w:rPr>
          <w:b/>
          <w:i/>
          <w:color w:val="000000"/>
        </w:rPr>
        <w:t xml:space="preserve"> Definition </w:t>
      </w:r>
    </w:p>
    <w:p w:rsidR="00ED35AA" w:rsidRDefault="00ED2636">
      <w:pPr>
        <w:pBdr>
          <w:top w:val="nil"/>
          <w:left w:val="nil"/>
          <w:bottom w:val="nil"/>
          <w:right w:val="nil"/>
          <w:between w:val="nil"/>
        </w:pBdr>
        <w:spacing w:after="0" w:line="240" w:lineRule="auto"/>
        <w:jc w:val="both"/>
        <w:rPr>
          <w:color w:val="000000"/>
        </w:rPr>
      </w:pPr>
      <w:r>
        <w:rPr>
          <w:color w:val="000000"/>
        </w:rPr>
        <w:t>A digital object (DO) is represented by a bit-stream, is referenced and identified</w:t>
      </w:r>
      <w:r>
        <w:rPr>
          <w:color w:val="000000"/>
          <w:sz w:val="14"/>
          <w:szCs w:val="14"/>
        </w:rPr>
        <w:t xml:space="preserve"> </w:t>
      </w:r>
      <w:r>
        <w:rPr>
          <w:color w:val="000000"/>
        </w:rPr>
        <w:t xml:space="preserve">by a persistent identifier and has properties that are described by metadata. </w:t>
      </w:r>
    </w:p>
    <w:p w:rsidR="00ED35AA" w:rsidRPr="00542611" w:rsidRDefault="00235188" w:rsidP="00542611">
      <w:pPr>
        <w:pStyle w:val="NoSpacing"/>
        <w:jc w:val="both"/>
        <w:rPr>
          <w:i/>
        </w:rPr>
      </w:pPr>
      <w:r w:rsidRPr="00235188">
        <w:rPr>
          <w:b/>
          <w:i/>
        </w:rPr>
        <w:t>Note</w:t>
      </w:r>
      <w:r w:rsidRPr="00235188">
        <w:rPr>
          <w:i/>
        </w:rPr>
        <w:t>: There is now wide-agreement to call this the FAIR-DO since it includes the mechanisms to</w:t>
      </w:r>
      <w:r w:rsidR="00542611">
        <w:rPr>
          <w:i/>
        </w:rPr>
        <w:t xml:space="preserve"> </w:t>
      </w:r>
      <w:r w:rsidRPr="00235188">
        <w:rPr>
          <w:i/>
        </w:rPr>
        <w:t xml:space="preserve">make </w:t>
      </w:r>
      <w:proofErr w:type="spellStart"/>
      <w:r w:rsidRPr="00235188">
        <w:rPr>
          <w:i/>
        </w:rPr>
        <w:t>DOs</w:t>
      </w:r>
      <w:proofErr w:type="spellEnd"/>
      <w:r w:rsidRPr="00235188">
        <w:rPr>
          <w:i/>
        </w:rPr>
        <w:t xml:space="preserve"> FAIR.</w:t>
      </w:r>
    </w:p>
    <w:p w:rsidR="00ED35AA" w:rsidRPr="00542611" w:rsidRDefault="00542611" w:rsidP="00542611">
      <w:pPr>
        <w:pBdr>
          <w:top w:val="nil"/>
          <w:left w:val="nil"/>
          <w:bottom w:val="nil"/>
          <w:right w:val="nil"/>
          <w:between w:val="nil"/>
        </w:pBdr>
        <w:spacing w:after="0" w:line="240" w:lineRule="auto"/>
        <w:jc w:val="both"/>
        <w:rPr>
          <w:i/>
          <w:color w:val="000000"/>
        </w:rPr>
      </w:pPr>
      <w:r w:rsidRPr="00542611">
        <w:rPr>
          <w:b/>
          <w:i/>
          <w:color w:val="000000"/>
        </w:rPr>
        <w:t>Note</w:t>
      </w:r>
      <w:r w:rsidRPr="00542611">
        <w:rPr>
          <w:i/>
          <w:color w:val="000000"/>
        </w:rPr>
        <w:t xml:space="preserve">: </w:t>
      </w:r>
      <w:r w:rsidR="00ED2636" w:rsidRPr="00542611">
        <w:rPr>
          <w:i/>
          <w:color w:val="000000"/>
        </w:rPr>
        <w:t>In the meantime we speak about different types of metadata such as descriptive, provenance, context, system, access rights, license</w:t>
      </w:r>
      <w:r w:rsidR="00235188" w:rsidRPr="00542611">
        <w:rPr>
          <w:i/>
          <w:color w:val="000000"/>
        </w:rPr>
        <w:t>, relationships of various sorts</w:t>
      </w:r>
      <w:r w:rsidR="00ED2636" w:rsidRPr="00542611">
        <w:rPr>
          <w:i/>
          <w:color w:val="000000"/>
        </w:rPr>
        <w:t xml:space="preserve"> etc. metadata, all describing different properties of a DO.</w:t>
      </w:r>
    </w:p>
    <w:p w:rsidR="00235188" w:rsidRPr="00542611" w:rsidRDefault="00235188" w:rsidP="00542611">
      <w:pPr>
        <w:pBdr>
          <w:top w:val="nil"/>
          <w:left w:val="nil"/>
          <w:bottom w:val="nil"/>
          <w:right w:val="nil"/>
          <w:between w:val="nil"/>
        </w:pBdr>
        <w:spacing w:after="0" w:line="240" w:lineRule="auto"/>
        <w:jc w:val="both"/>
        <w:rPr>
          <w:rFonts w:asciiTheme="majorHAnsi" w:eastAsia="Arial" w:hAnsiTheme="majorHAnsi" w:cs="Arial"/>
          <w:i/>
          <w:color w:val="000000"/>
        </w:rPr>
      </w:pPr>
      <w:r w:rsidRPr="00542611">
        <w:rPr>
          <w:rFonts w:asciiTheme="majorHAnsi" w:hAnsiTheme="majorHAnsi"/>
          <w:b/>
          <w:i/>
          <w:color w:val="000000"/>
        </w:rPr>
        <w:t xml:space="preserve">Note: </w:t>
      </w:r>
      <w:r w:rsidR="00542611" w:rsidRPr="00542611">
        <w:rPr>
          <w:rFonts w:asciiTheme="majorHAnsi" w:eastAsia="Arial" w:hAnsiTheme="majorHAnsi" w:cs="Arial"/>
          <w:i/>
          <w:color w:val="000000"/>
        </w:rPr>
        <w:t>Characteristically</w:t>
      </w:r>
      <w:r w:rsidRPr="00542611">
        <w:rPr>
          <w:rFonts w:asciiTheme="majorHAnsi" w:eastAsia="Arial" w:hAnsiTheme="majorHAnsi" w:cs="Arial"/>
          <w:i/>
          <w:color w:val="000000"/>
        </w:rPr>
        <w:t xml:space="preserve"> for a DO is that it has "constitutional internal" relations. But of course a DO can also have many different external relations to other </w:t>
      </w:r>
      <w:proofErr w:type="spellStart"/>
      <w:r w:rsidRPr="00542611">
        <w:rPr>
          <w:rFonts w:asciiTheme="majorHAnsi" w:eastAsia="Arial" w:hAnsiTheme="majorHAnsi" w:cs="Arial"/>
          <w:i/>
          <w:color w:val="000000"/>
        </w:rPr>
        <w:t>DOs</w:t>
      </w:r>
      <w:proofErr w:type="spellEnd"/>
      <w:r w:rsidRPr="00542611">
        <w:rPr>
          <w:rFonts w:asciiTheme="majorHAnsi" w:eastAsia="Arial" w:hAnsiTheme="majorHAnsi" w:cs="Arial"/>
          <w:i/>
          <w:color w:val="000000"/>
        </w:rPr>
        <w:t xml:space="preserve"> which </w:t>
      </w:r>
      <w:proofErr w:type="gramStart"/>
      <w:r w:rsidRPr="00542611">
        <w:rPr>
          <w:rFonts w:asciiTheme="majorHAnsi" w:eastAsia="Arial" w:hAnsiTheme="majorHAnsi" w:cs="Arial"/>
          <w:i/>
          <w:color w:val="000000"/>
        </w:rPr>
        <w:t>is</w:t>
      </w:r>
      <w:proofErr w:type="gramEnd"/>
      <w:r w:rsidRPr="00542611">
        <w:rPr>
          <w:rFonts w:asciiTheme="majorHAnsi" w:eastAsia="Arial" w:hAnsiTheme="majorHAnsi" w:cs="Arial"/>
          <w:i/>
          <w:color w:val="000000"/>
        </w:rPr>
        <w:t xml:space="preserve"> apparent for example in the case of collections which can consist of many other </w:t>
      </w:r>
      <w:proofErr w:type="spellStart"/>
      <w:r w:rsidRPr="00542611">
        <w:rPr>
          <w:rFonts w:asciiTheme="majorHAnsi" w:eastAsia="Arial" w:hAnsiTheme="majorHAnsi" w:cs="Arial"/>
          <w:i/>
          <w:color w:val="000000"/>
        </w:rPr>
        <w:t>DOs</w:t>
      </w:r>
      <w:proofErr w:type="spellEnd"/>
      <w:r w:rsidRPr="00542611">
        <w:rPr>
          <w:rFonts w:asciiTheme="majorHAnsi" w:eastAsia="Arial" w:hAnsiTheme="majorHAnsi" w:cs="Arial"/>
          <w:i/>
          <w:color w:val="000000"/>
        </w:rPr>
        <w:t>.</w:t>
      </w:r>
    </w:p>
    <w:p w:rsidR="00ED35AA" w:rsidRDefault="00ED35AA">
      <w:pPr>
        <w:pBdr>
          <w:top w:val="nil"/>
          <w:left w:val="nil"/>
          <w:bottom w:val="nil"/>
          <w:right w:val="nil"/>
          <w:between w:val="nil"/>
        </w:pBdr>
        <w:spacing w:after="0" w:line="240" w:lineRule="auto"/>
        <w:rPr>
          <w:b/>
          <w:color w:val="000000"/>
        </w:rPr>
      </w:pPr>
    </w:p>
    <w:p w:rsidR="00ED35AA" w:rsidRDefault="00ED2636">
      <w:pPr>
        <w:pBdr>
          <w:top w:val="nil"/>
          <w:left w:val="nil"/>
          <w:bottom w:val="nil"/>
          <w:right w:val="nil"/>
          <w:between w:val="nil"/>
        </w:pBdr>
        <w:spacing w:after="0" w:line="240" w:lineRule="auto"/>
        <w:rPr>
          <w:b/>
          <w:i/>
          <w:color w:val="000000"/>
        </w:rPr>
      </w:pPr>
      <w:r>
        <w:rPr>
          <w:b/>
          <w:i/>
          <w:color w:val="000000"/>
        </w:rPr>
        <w:t xml:space="preserve">Definition DONA </w:t>
      </w:r>
      <w:proofErr w:type="spellStart"/>
      <w:r>
        <w:rPr>
          <w:b/>
          <w:i/>
          <w:color w:val="000000"/>
        </w:rPr>
        <w:t>DOIP</w:t>
      </w:r>
      <w:proofErr w:type="spellEnd"/>
      <w:r>
        <w:rPr>
          <w:b/>
          <w:i/>
          <w:color w:val="000000"/>
        </w:rPr>
        <w:t xml:space="preserve"> (compliant with </w:t>
      </w:r>
      <w:proofErr w:type="spellStart"/>
      <w:r>
        <w:rPr>
          <w:b/>
          <w:i/>
          <w:color w:val="000000"/>
        </w:rPr>
        <w:t>ITU</w:t>
      </w:r>
      <w:proofErr w:type="spellEnd"/>
      <w:r>
        <w:rPr>
          <w:b/>
          <w:i/>
          <w:color w:val="000000"/>
        </w:rPr>
        <w:t xml:space="preserve"> </w:t>
      </w:r>
      <w:proofErr w:type="spellStart"/>
      <w:r>
        <w:rPr>
          <w:b/>
          <w:i/>
          <w:color w:val="000000"/>
        </w:rPr>
        <w:t>X.1255</w:t>
      </w:r>
      <w:proofErr w:type="spellEnd"/>
      <w:r>
        <w:rPr>
          <w:b/>
          <w:i/>
          <w:color w:val="000000"/>
        </w:rPr>
        <w:t>)</w:t>
      </w:r>
    </w:p>
    <w:p w:rsidR="00ED35AA" w:rsidRDefault="00ED2636">
      <w:pPr>
        <w:pBdr>
          <w:top w:val="nil"/>
          <w:left w:val="nil"/>
          <w:bottom w:val="nil"/>
          <w:right w:val="nil"/>
          <w:between w:val="nil"/>
        </w:pBdr>
        <w:spacing w:after="0" w:line="240" w:lineRule="auto"/>
        <w:jc w:val="both"/>
        <w:rPr>
          <w:color w:val="000000"/>
        </w:rPr>
      </w:pPr>
      <w:r>
        <w:rPr>
          <w:color w:val="000000"/>
        </w:rPr>
        <w:t>A digital object is a sequence of bits, or a set of sequences of bits, incorporating a work or portion of work of other information in which a party has rights or interests, or in which there is value, each of the sequences being structured in a way that is interpretable by one or more of the computational facilities. Each DO has, as an essential element, an associated unique persistent identifier, known as digital object identifier</w:t>
      </w:r>
      <w:r>
        <w:rPr>
          <w:color w:val="000000"/>
          <w:vertAlign w:val="superscript"/>
        </w:rPr>
        <w:footnoteReference w:id="1"/>
      </w:r>
      <w:r>
        <w:rPr>
          <w:color w:val="000000"/>
        </w:rPr>
        <w:t xml:space="preserve"> (referred to informally as a Handle).</w:t>
      </w:r>
    </w:p>
    <w:p w:rsidR="00ED35AA" w:rsidRDefault="00542611" w:rsidP="00542611">
      <w:pPr>
        <w:pBdr>
          <w:top w:val="nil"/>
          <w:left w:val="nil"/>
          <w:bottom w:val="nil"/>
          <w:right w:val="nil"/>
          <w:between w:val="nil"/>
        </w:pBdr>
        <w:spacing w:after="0" w:line="240" w:lineRule="auto"/>
        <w:rPr>
          <w:i/>
          <w:color w:val="000000"/>
        </w:rPr>
      </w:pPr>
      <w:r w:rsidRPr="00542611">
        <w:rPr>
          <w:b/>
          <w:i/>
          <w:color w:val="000000"/>
        </w:rPr>
        <w:t>Note</w:t>
      </w:r>
      <w:r w:rsidR="00ED2636">
        <w:rPr>
          <w:i/>
          <w:color w:val="000000"/>
        </w:rPr>
        <w:t>:</w:t>
      </w:r>
      <w:r>
        <w:rPr>
          <w:i/>
          <w:color w:val="000000"/>
        </w:rPr>
        <w:t xml:space="preserve"> </w:t>
      </w:r>
      <w:r w:rsidR="00ED2636">
        <w:rPr>
          <w:i/>
          <w:color w:val="000000"/>
        </w:rPr>
        <w:t xml:space="preserve">The two definitions are widely overlapping. The DONA definition is more elaborate and does not mention "metadata" while the </w:t>
      </w:r>
      <w:proofErr w:type="spellStart"/>
      <w:r w:rsidR="00ED2636">
        <w:rPr>
          <w:i/>
          <w:color w:val="000000"/>
        </w:rPr>
        <w:t>DFT</w:t>
      </w:r>
      <w:proofErr w:type="spellEnd"/>
      <w:r w:rsidR="00ED2636">
        <w:rPr>
          <w:i/>
          <w:color w:val="000000"/>
        </w:rPr>
        <w:t xml:space="preserve"> definition stresses the relevance of metadata for interpretations etc. Both will rely on the availability of crucial information such as metadata types via the </w:t>
      </w:r>
      <w:proofErr w:type="spellStart"/>
      <w:r w:rsidR="00ED2636">
        <w:rPr>
          <w:i/>
          <w:color w:val="000000"/>
        </w:rPr>
        <w:t>PID</w:t>
      </w:r>
      <w:proofErr w:type="spellEnd"/>
      <w:r w:rsidR="00ED2636">
        <w:rPr>
          <w:i/>
          <w:color w:val="000000"/>
        </w:rPr>
        <w:t xml:space="preserve"> record.</w:t>
      </w:r>
    </w:p>
    <w:p w:rsidR="00ED35AA" w:rsidRDefault="00542611">
      <w:pPr>
        <w:pBdr>
          <w:top w:val="nil"/>
          <w:left w:val="nil"/>
          <w:bottom w:val="nil"/>
          <w:right w:val="nil"/>
          <w:between w:val="nil"/>
        </w:pBdr>
        <w:spacing w:after="0" w:line="240" w:lineRule="auto"/>
        <w:jc w:val="both"/>
        <w:rPr>
          <w:i/>
          <w:color w:val="000000"/>
        </w:rPr>
      </w:pPr>
      <w:r w:rsidRPr="00542611">
        <w:rPr>
          <w:b/>
          <w:i/>
          <w:color w:val="000000"/>
        </w:rPr>
        <w:t>Note</w:t>
      </w:r>
      <w:r w:rsidR="00ED2636">
        <w:rPr>
          <w:i/>
          <w:color w:val="000000"/>
        </w:rPr>
        <w:t>:</w:t>
      </w:r>
      <w:r>
        <w:rPr>
          <w:i/>
          <w:color w:val="000000"/>
        </w:rPr>
        <w:t xml:space="preserve"> </w:t>
      </w:r>
      <w:r w:rsidR="00ED2636">
        <w:rPr>
          <w:i/>
          <w:color w:val="000000"/>
        </w:rPr>
        <w:t xml:space="preserve">Digital Objects are a generic term that could include different types of information such as data, software, configurations, semantic assertions, etc. Some speak about </w:t>
      </w:r>
      <w:r w:rsidR="00ED2636">
        <w:rPr>
          <w:b/>
          <w:i/>
          <w:color w:val="000000"/>
        </w:rPr>
        <w:t>Digital Data Objects</w:t>
      </w:r>
      <w:r w:rsidR="00ED2636">
        <w:rPr>
          <w:i/>
          <w:color w:val="000000"/>
        </w:rPr>
        <w:t xml:space="preserve"> as a specification of the generic DO term when the content contains data</w:t>
      </w:r>
      <w:r w:rsidR="00ED2636">
        <w:rPr>
          <w:i/>
          <w:color w:val="000000"/>
          <w:vertAlign w:val="superscript"/>
        </w:rPr>
        <w:footnoteReference w:id="2"/>
      </w:r>
      <w:r w:rsidR="00ED2636">
        <w:rPr>
          <w:i/>
          <w:color w:val="000000"/>
        </w:rPr>
        <w:t xml:space="preserve">. </w:t>
      </w:r>
    </w:p>
    <w:p w:rsidR="00ED35AA" w:rsidRDefault="00542611">
      <w:pPr>
        <w:pBdr>
          <w:top w:val="nil"/>
          <w:left w:val="nil"/>
          <w:bottom w:val="nil"/>
          <w:right w:val="nil"/>
          <w:between w:val="nil"/>
        </w:pBdr>
        <w:spacing w:after="0" w:line="240" w:lineRule="auto"/>
        <w:jc w:val="both"/>
        <w:rPr>
          <w:i/>
          <w:color w:val="000000"/>
        </w:rPr>
      </w:pPr>
      <w:r w:rsidRPr="00542611">
        <w:rPr>
          <w:b/>
          <w:i/>
          <w:color w:val="000000"/>
        </w:rPr>
        <w:t>Note</w:t>
      </w:r>
      <w:r w:rsidR="00ED2636">
        <w:rPr>
          <w:i/>
          <w:color w:val="000000"/>
        </w:rPr>
        <w:t>:</w:t>
      </w:r>
      <w:r>
        <w:rPr>
          <w:i/>
          <w:color w:val="000000"/>
        </w:rPr>
        <w:t xml:space="preserve"> </w:t>
      </w:r>
      <w:r w:rsidR="00ED2636">
        <w:rPr>
          <w:i/>
          <w:color w:val="000000"/>
        </w:rPr>
        <w:t>The interim FAIR Implementation Report</w:t>
      </w:r>
      <w:r>
        <w:rPr>
          <w:rStyle w:val="FootnoteReference"/>
          <w:i/>
          <w:color w:val="000000"/>
        </w:rPr>
        <w:footnoteReference w:id="3"/>
      </w:r>
      <w:r w:rsidR="00ED2636">
        <w:rPr>
          <w:i/>
          <w:color w:val="000000"/>
        </w:rPr>
        <w:t xml:space="preserve"> speaks about FAIR Data Objects which indicates the close relationship between the FAIR principles and the DO concept which will be explained in a separate paper to come soon.</w:t>
      </w:r>
    </w:p>
    <w:p w:rsidR="00ED35AA" w:rsidRDefault="00ED2636">
      <w:pPr>
        <w:pStyle w:val="Heading2"/>
      </w:pPr>
      <w:r>
        <w:lastRenderedPageBreak/>
        <w:t>2. DO Interface Protocol</w:t>
      </w:r>
      <w:r>
        <w:rPr>
          <w:vertAlign w:val="superscript"/>
        </w:rPr>
        <w:footnoteReference w:id="4"/>
      </w:r>
    </w:p>
    <w:p w:rsidR="00ED35AA" w:rsidRDefault="00ED2636">
      <w:pPr>
        <w:pBdr>
          <w:top w:val="nil"/>
          <w:left w:val="nil"/>
          <w:bottom w:val="nil"/>
          <w:right w:val="nil"/>
          <w:between w:val="nil"/>
        </w:pBdr>
        <w:spacing w:after="0" w:line="240" w:lineRule="auto"/>
        <w:jc w:val="both"/>
        <w:rPr>
          <w:b/>
          <w:i/>
          <w:color w:val="000000"/>
        </w:rPr>
      </w:pPr>
      <w:r>
        <w:rPr>
          <w:b/>
          <w:i/>
          <w:color w:val="000000"/>
        </w:rPr>
        <w:t xml:space="preserve">DONA </w:t>
      </w:r>
      <w:proofErr w:type="spellStart"/>
      <w:r>
        <w:rPr>
          <w:b/>
          <w:i/>
          <w:color w:val="000000"/>
        </w:rPr>
        <w:t>DOIP</w:t>
      </w:r>
      <w:proofErr w:type="spellEnd"/>
      <w:r>
        <w:rPr>
          <w:b/>
          <w:i/>
          <w:color w:val="000000"/>
        </w:rPr>
        <w:t xml:space="preserve"> Definition</w:t>
      </w:r>
    </w:p>
    <w:p w:rsidR="00ED35AA" w:rsidRDefault="00ED2636">
      <w:pPr>
        <w:pBdr>
          <w:top w:val="nil"/>
          <w:left w:val="nil"/>
          <w:bottom w:val="nil"/>
          <w:right w:val="nil"/>
          <w:between w:val="nil"/>
        </w:pBdr>
        <w:spacing w:after="0" w:line="240" w:lineRule="auto"/>
        <w:jc w:val="both"/>
        <w:rPr>
          <w:color w:val="000000"/>
        </w:rPr>
      </w:pPr>
      <w:r>
        <w:rPr>
          <w:color w:val="000000"/>
        </w:rPr>
        <w:t xml:space="preserve">The </w:t>
      </w:r>
      <w:proofErr w:type="spellStart"/>
      <w:r>
        <w:rPr>
          <w:color w:val="000000"/>
        </w:rPr>
        <w:t>DOIP</w:t>
      </w:r>
      <w:proofErr w:type="spellEnd"/>
      <w:r>
        <w:rPr>
          <w:color w:val="000000"/>
        </w:rPr>
        <w:t xml:space="preserve"> specifies a standard way for clients to interact with </w:t>
      </w:r>
      <w:proofErr w:type="spellStart"/>
      <w:r>
        <w:rPr>
          <w:color w:val="000000"/>
        </w:rPr>
        <w:t>DOs</w:t>
      </w:r>
      <w:proofErr w:type="spellEnd"/>
      <w:r>
        <w:rPr>
          <w:color w:val="000000"/>
        </w:rPr>
        <w:t>.</w:t>
      </w:r>
    </w:p>
    <w:p w:rsidR="00ED35AA" w:rsidRDefault="00542611">
      <w:pPr>
        <w:pBdr>
          <w:top w:val="nil"/>
          <w:left w:val="nil"/>
          <w:bottom w:val="nil"/>
          <w:right w:val="nil"/>
          <w:between w:val="nil"/>
        </w:pBdr>
        <w:spacing w:after="0" w:line="240" w:lineRule="auto"/>
        <w:jc w:val="both"/>
        <w:rPr>
          <w:i/>
          <w:color w:val="000000"/>
        </w:rPr>
      </w:pPr>
      <w:r w:rsidRPr="00542611">
        <w:rPr>
          <w:b/>
          <w:i/>
          <w:color w:val="000000"/>
        </w:rPr>
        <w:t>Note</w:t>
      </w:r>
      <w:r w:rsidR="00ED2636">
        <w:rPr>
          <w:i/>
          <w:color w:val="000000"/>
        </w:rPr>
        <w:t>:</w:t>
      </w:r>
      <w:r>
        <w:rPr>
          <w:i/>
          <w:color w:val="000000"/>
        </w:rPr>
        <w:t xml:space="preserve"> </w:t>
      </w:r>
      <w:r w:rsidR="00ED2636">
        <w:rPr>
          <w:i/>
          <w:color w:val="000000"/>
        </w:rPr>
        <w:t xml:space="preserve">The </w:t>
      </w:r>
      <w:proofErr w:type="spellStart"/>
      <w:r w:rsidR="00ED2636">
        <w:rPr>
          <w:i/>
          <w:color w:val="000000"/>
        </w:rPr>
        <w:t>DOIP</w:t>
      </w:r>
      <w:proofErr w:type="spellEnd"/>
      <w:r w:rsidR="00ED2636">
        <w:rPr>
          <w:i/>
          <w:color w:val="000000"/>
        </w:rPr>
        <w:t xml:space="preserve"> is a unifying protocol that allows to access, create, delete, etc. </w:t>
      </w:r>
      <w:proofErr w:type="spellStart"/>
      <w:r w:rsidR="00ED2636">
        <w:rPr>
          <w:i/>
          <w:color w:val="000000"/>
        </w:rPr>
        <w:t>DOs</w:t>
      </w:r>
      <w:proofErr w:type="spellEnd"/>
      <w:r w:rsidR="00ED2636">
        <w:rPr>
          <w:i/>
          <w:color w:val="000000"/>
        </w:rPr>
        <w:t xml:space="preserve"> independent o</w:t>
      </w:r>
      <w:r w:rsidR="00ED2636" w:rsidRPr="00542611">
        <w:rPr>
          <w:i/>
        </w:rPr>
        <w:t>f</w:t>
      </w:r>
      <w:r w:rsidR="00ED2636">
        <w:rPr>
          <w:i/>
          <w:color w:val="000000"/>
        </w:rPr>
        <w:t xml:space="preserve"> the way repositories and registries organise and model their data and other types of information</w:t>
      </w:r>
      <w:r w:rsidR="00ED2636">
        <w:rPr>
          <w:i/>
          <w:color w:val="000000"/>
          <w:vertAlign w:val="superscript"/>
        </w:rPr>
        <w:footnoteReference w:id="5"/>
      </w:r>
      <w:r w:rsidR="00ED2636">
        <w:rPr>
          <w:i/>
          <w:color w:val="000000"/>
        </w:rPr>
        <w:t xml:space="preserve">. In doing so, it will have a similar role for the domain of </w:t>
      </w:r>
      <w:proofErr w:type="spellStart"/>
      <w:r w:rsidR="00ED2636">
        <w:rPr>
          <w:i/>
          <w:color w:val="000000"/>
        </w:rPr>
        <w:t>DOs</w:t>
      </w:r>
      <w:proofErr w:type="spellEnd"/>
      <w:r w:rsidR="00ED2636">
        <w:rPr>
          <w:i/>
          <w:color w:val="000000"/>
        </w:rPr>
        <w:t xml:space="preserve"> as TCP/IP had for interconnecting the many island networks decades ago.</w:t>
      </w:r>
      <w:r>
        <w:rPr>
          <w:i/>
          <w:color w:val="000000"/>
        </w:rPr>
        <w:t xml:space="preserve"> This comparison does not want to give the impression that the challenges of networking computers is of the same complexity than the networking of data. </w:t>
      </w:r>
    </w:p>
    <w:p w:rsidR="00ED35AA" w:rsidRDefault="00ED2636">
      <w:pPr>
        <w:pStyle w:val="Heading2"/>
      </w:pPr>
      <w:r>
        <w:t>3. Persistent Identifier (</w:t>
      </w:r>
      <w:proofErr w:type="spellStart"/>
      <w:r>
        <w:t>PID</w:t>
      </w:r>
      <w:proofErr w:type="spellEnd"/>
      <w:r>
        <w:t xml:space="preserve">) </w:t>
      </w:r>
    </w:p>
    <w:p w:rsidR="00ED35AA" w:rsidRDefault="00ED2636">
      <w:pPr>
        <w:pBdr>
          <w:top w:val="nil"/>
          <w:left w:val="nil"/>
          <w:bottom w:val="nil"/>
          <w:right w:val="nil"/>
          <w:between w:val="nil"/>
        </w:pBdr>
        <w:spacing w:after="0" w:line="240" w:lineRule="auto"/>
        <w:rPr>
          <w:color w:val="000000"/>
        </w:rPr>
      </w:pPr>
      <w:r>
        <w:rPr>
          <w:b/>
          <w:i/>
          <w:color w:val="000000"/>
        </w:rPr>
        <w:t xml:space="preserve">RDA </w:t>
      </w:r>
      <w:proofErr w:type="spellStart"/>
      <w:r>
        <w:rPr>
          <w:b/>
          <w:i/>
          <w:color w:val="000000"/>
        </w:rPr>
        <w:t>DFT</w:t>
      </w:r>
      <w:proofErr w:type="spellEnd"/>
      <w:r>
        <w:rPr>
          <w:b/>
          <w:i/>
          <w:color w:val="000000"/>
        </w:rPr>
        <w:t xml:space="preserve"> Definition </w:t>
      </w:r>
    </w:p>
    <w:p w:rsidR="00ED35AA" w:rsidRDefault="00ED2636">
      <w:pPr>
        <w:pBdr>
          <w:top w:val="nil"/>
          <w:left w:val="nil"/>
          <w:bottom w:val="nil"/>
          <w:right w:val="nil"/>
          <w:between w:val="nil"/>
        </w:pBdr>
        <w:spacing w:after="0" w:line="240" w:lineRule="auto"/>
        <w:jc w:val="both"/>
        <w:rPr>
          <w:color w:val="000000"/>
        </w:rPr>
      </w:pPr>
      <w:r>
        <w:rPr>
          <w:color w:val="000000"/>
        </w:rPr>
        <w:t xml:space="preserve">A persistent identifier is a long-lasting ID represented by a string that uniquely identifies a DO and that is intended to be persistently resolved to meaningful state information about the identified DO. </w:t>
      </w:r>
    </w:p>
    <w:p w:rsidR="00ED35AA" w:rsidRDefault="00095FF6">
      <w:pPr>
        <w:pBdr>
          <w:top w:val="nil"/>
          <w:left w:val="nil"/>
          <w:bottom w:val="nil"/>
          <w:right w:val="nil"/>
          <w:between w:val="nil"/>
        </w:pBdr>
        <w:spacing w:after="0" w:line="240" w:lineRule="auto"/>
        <w:jc w:val="both"/>
        <w:rPr>
          <w:color w:val="000000"/>
        </w:rPr>
      </w:pPr>
      <w:r w:rsidRPr="00095FF6">
        <w:rPr>
          <w:b/>
          <w:i/>
          <w:color w:val="000000"/>
        </w:rPr>
        <w:t>Note</w:t>
      </w:r>
      <w:r w:rsidR="00ED2636">
        <w:rPr>
          <w:i/>
          <w:color w:val="000000"/>
        </w:rPr>
        <w:t xml:space="preserve">: We see the terms "Persistent Resolvable Identifier" and "Unique Persistent Identifiers" as synonyms, i.e. </w:t>
      </w:r>
      <w:proofErr w:type="spellStart"/>
      <w:r w:rsidR="00ED2636">
        <w:rPr>
          <w:i/>
          <w:color w:val="000000"/>
        </w:rPr>
        <w:t>PIDs</w:t>
      </w:r>
      <w:proofErr w:type="spellEnd"/>
      <w:r w:rsidR="00ED2636">
        <w:rPr>
          <w:i/>
          <w:color w:val="000000"/>
        </w:rPr>
        <w:t xml:space="preserve"> are meant to be globally unique of course. </w:t>
      </w:r>
      <w:r w:rsidR="00ED2636">
        <w:rPr>
          <w:color w:val="000000"/>
        </w:rPr>
        <w:t xml:space="preserve"> </w:t>
      </w:r>
    </w:p>
    <w:p w:rsidR="00ED35AA" w:rsidRDefault="00ED2636">
      <w:pPr>
        <w:pStyle w:val="Heading2"/>
      </w:pPr>
      <w:r>
        <w:t xml:space="preserve">4. </w:t>
      </w:r>
      <w:proofErr w:type="spellStart"/>
      <w:r>
        <w:t>PID</w:t>
      </w:r>
      <w:proofErr w:type="spellEnd"/>
      <w:r>
        <w:t xml:space="preserve"> Record </w:t>
      </w:r>
    </w:p>
    <w:p w:rsidR="00ED35AA" w:rsidRDefault="00ED2636">
      <w:pPr>
        <w:pBdr>
          <w:top w:val="nil"/>
          <w:left w:val="nil"/>
          <w:bottom w:val="nil"/>
          <w:right w:val="nil"/>
          <w:between w:val="nil"/>
        </w:pBdr>
        <w:spacing w:after="0" w:line="240" w:lineRule="auto"/>
        <w:rPr>
          <w:color w:val="000000"/>
        </w:rPr>
      </w:pPr>
      <w:r>
        <w:rPr>
          <w:b/>
          <w:i/>
          <w:color w:val="000000"/>
        </w:rPr>
        <w:t xml:space="preserve">RDA </w:t>
      </w:r>
      <w:proofErr w:type="spellStart"/>
      <w:r>
        <w:rPr>
          <w:b/>
          <w:i/>
          <w:color w:val="000000"/>
        </w:rPr>
        <w:t>DFT</w:t>
      </w:r>
      <w:proofErr w:type="spellEnd"/>
      <w:r>
        <w:rPr>
          <w:b/>
          <w:i/>
          <w:color w:val="000000"/>
        </w:rPr>
        <w:t xml:space="preserve"> Definition </w:t>
      </w:r>
    </w:p>
    <w:p w:rsidR="00ED35AA" w:rsidRDefault="00ED2636">
      <w:pPr>
        <w:pBdr>
          <w:top w:val="nil"/>
          <w:left w:val="nil"/>
          <w:bottom w:val="nil"/>
          <w:right w:val="nil"/>
          <w:between w:val="nil"/>
        </w:pBdr>
        <w:spacing w:after="0" w:line="240" w:lineRule="auto"/>
        <w:rPr>
          <w:color w:val="000000"/>
        </w:rPr>
      </w:pPr>
      <w:r>
        <w:rPr>
          <w:color w:val="000000"/>
        </w:rPr>
        <w:t xml:space="preserve">A </w:t>
      </w:r>
      <w:proofErr w:type="spellStart"/>
      <w:r>
        <w:rPr>
          <w:color w:val="000000"/>
        </w:rPr>
        <w:t>PID</w:t>
      </w:r>
      <w:proofErr w:type="spellEnd"/>
      <w:r>
        <w:rPr>
          <w:color w:val="000000"/>
        </w:rPr>
        <w:t xml:space="preserve"> record contains a set of attributes stored with a </w:t>
      </w:r>
      <w:proofErr w:type="spellStart"/>
      <w:r>
        <w:rPr>
          <w:color w:val="000000"/>
        </w:rPr>
        <w:t>PID</w:t>
      </w:r>
      <w:proofErr w:type="spellEnd"/>
      <w:r>
        <w:rPr>
          <w:color w:val="000000"/>
        </w:rPr>
        <w:t xml:space="preserve"> describing DO properties.</w:t>
      </w:r>
    </w:p>
    <w:p w:rsidR="00095FF6" w:rsidRPr="00095FF6" w:rsidRDefault="00095FF6">
      <w:pPr>
        <w:pBdr>
          <w:top w:val="nil"/>
          <w:left w:val="nil"/>
          <w:bottom w:val="nil"/>
          <w:right w:val="nil"/>
          <w:between w:val="nil"/>
        </w:pBdr>
        <w:spacing w:after="0" w:line="240" w:lineRule="auto"/>
        <w:rPr>
          <w:i/>
          <w:color w:val="000000"/>
        </w:rPr>
      </w:pPr>
      <w:r>
        <w:rPr>
          <w:b/>
          <w:i/>
          <w:color w:val="000000"/>
        </w:rPr>
        <w:t xml:space="preserve">Note: </w:t>
      </w:r>
      <w:r w:rsidRPr="00095FF6">
        <w:rPr>
          <w:i/>
          <w:color w:val="000000"/>
        </w:rPr>
        <w:t xml:space="preserve">The </w:t>
      </w:r>
      <w:proofErr w:type="spellStart"/>
      <w:r w:rsidRPr="00095FF6">
        <w:rPr>
          <w:i/>
          <w:color w:val="000000"/>
        </w:rPr>
        <w:t>PID</w:t>
      </w:r>
      <w:proofErr w:type="spellEnd"/>
      <w:r w:rsidRPr="00095FF6">
        <w:rPr>
          <w:i/>
          <w:color w:val="000000"/>
        </w:rPr>
        <w:t xml:space="preserve"> record can be seen as a DO (however</w:t>
      </w:r>
      <w:r>
        <w:rPr>
          <w:i/>
          <w:color w:val="000000"/>
        </w:rPr>
        <w:t>,</w:t>
      </w:r>
      <w:r w:rsidRPr="00095FF6">
        <w:rPr>
          <w:i/>
          <w:color w:val="000000"/>
        </w:rPr>
        <w:t xml:space="preserve"> it does not have metadata)</w:t>
      </w:r>
    </w:p>
    <w:p w:rsidR="00ED35AA" w:rsidRDefault="00095FF6">
      <w:pPr>
        <w:pBdr>
          <w:top w:val="nil"/>
          <w:left w:val="nil"/>
          <w:bottom w:val="nil"/>
          <w:right w:val="nil"/>
          <w:between w:val="nil"/>
        </w:pBdr>
        <w:spacing w:after="0" w:line="240" w:lineRule="auto"/>
        <w:rPr>
          <w:i/>
          <w:color w:val="000000"/>
        </w:rPr>
      </w:pPr>
      <w:r w:rsidRPr="00095FF6">
        <w:rPr>
          <w:b/>
          <w:i/>
          <w:color w:val="000000"/>
        </w:rPr>
        <w:t>Note</w:t>
      </w:r>
      <w:r w:rsidR="00ED2636">
        <w:rPr>
          <w:i/>
          <w:color w:val="000000"/>
        </w:rPr>
        <w:t>: Pointers (</w:t>
      </w:r>
      <w:proofErr w:type="spellStart"/>
      <w:r w:rsidR="00ED2636">
        <w:rPr>
          <w:i/>
          <w:color w:val="000000"/>
        </w:rPr>
        <w:t>PIDs</w:t>
      </w:r>
      <w:proofErr w:type="spellEnd"/>
      <w:r w:rsidR="00ED2636">
        <w:rPr>
          <w:i/>
          <w:color w:val="000000"/>
        </w:rPr>
        <w:t xml:space="preserve">) to different types of metadata should be included in the </w:t>
      </w:r>
      <w:proofErr w:type="spellStart"/>
      <w:r w:rsidR="00ED2636">
        <w:rPr>
          <w:i/>
          <w:color w:val="000000"/>
        </w:rPr>
        <w:t>PID</w:t>
      </w:r>
      <w:proofErr w:type="spellEnd"/>
      <w:r w:rsidR="00ED2636">
        <w:rPr>
          <w:i/>
          <w:color w:val="000000"/>
        </w:rPr>
        <w:t xml:space="preserve"> record.</w:t>
      </w:r>
    </w:p>
    <w:p w:rsidR="00ED35AA" w:rsidRDefault="00095FF6">
      <w:pPr>
        <w:pBdr>
          <w:top w:val="nil"/>
          <w:left w:val="nil"/>
          <w:bottom w:val="nil"/>
          <w:right w:val="nil"/>
          <w:between w:val="nil"/>
        </w:pBdr>
        <w:spacing w:after="0" w:line="240" w:lineRule="auto"/>
        <w:rPr>
          <w:i/>
          <w:color w:val="000000"/>
        </w:rPr>
      </w:pPr>
      <w:r w:rsidRPr="00095FF6">
        <w:rPr>
          <w:b/>
          <w:i/>
          <w:color w:val="000000"/>
        </w:rPr>
        <w:t>Note</w:t>
      </w:r>
      <w:r w:rsidR="00ED2636">
        <w:rPr>
          <w:i/>
          <w:color w:val="000000"/>
        </w:rPr>
        <w:t>:</w:t>
      </w:r>
      <w:r>
        <w:rPr>
          <w:i/>
          <w:color w:val="000000"/>
        </w:rPr>
        <w:t xml:space="preserve"> </w:t>
      </w:r>
      <w:r w:rsidR="00ED2636">
        <w:rPr>
          <w:i/>
          <w:color w:val="000000"/>
        </w:rPr>
        <w:t>The RDA Kernel group started specifying such types of attributes; it will remain a continuous effort.</w:t>
      </w:r>
    </w:p>
    <w:p w:rsidR="00ED35AA" w:rsidRDefault="00ED2636">
      <w:pPr>
        <w:pStyle w:val="Heading2"/>
      </w:pPr>
      <w:r>
        <w:t xml:space="preserve">5. </w:t>
      </w:r>
      <w:proofErr w:type="spellStart"/>
      <w:r>
        <w:t>PID</w:t>
      </w:r>
      <w:proofErr w:type="spellEnd"/>
      <w:r>
        <w:t xml:space="preserve"> Resolver (aka Resolution System) </w:t>
      </w:r>
    </w:p>
    <w:p w:rsidR="00ED35AA" w:rsidRDefault="00ED2636">
      <w:pPr>
        <w:pBdr>
          <w:top w:val="nil"/>
          <w:left w:val="nil"/>
          <w:bottom w:val="nil"/>
          <w:right w:val="nil"/>
          <w:between w:val="nil"/>
        </w:pBdr>
        <w:spacing w:after="0" w:line="240" w:lineRule="auto"/>
        <w:rPr>
          <w:color w:val="000000"/>
        </w:rPr>
      </w:pPr>
      <w:r>
        <w:rPr>
          <w:b/>
          <w:i/>
          <w:color w:val="000000"/>
        </w:rPr>
        <w:t xml:space="preserve">RDA </w:t>
      </w:r>
      <w:proofErr w:type="spellStart"/>
      <w:r>
        <w:rPr>
          <w:b/>
          <w:i/>
          <w:color w:val="000000"/>
        </w:rPr>
        <w:t>DFT</w:t>
      </w:r>
      <w:proofErr w:type="spellEnd"/>
      <w:r>
        <w:rPr>
          <w:b/>
          <w:i/>
          <w:color w:val="000000"/>
        </w:rPr>
        <w:t xml:space="preserve"> Definition </w:t>
      </w:r>
    </w:p>
    <w:p w:rsidR="00ED35AA" w:rsidRPr="00095FF6" w:rsidRDefault="00ED2636" w:rsidP="00095FF6">
      <w:pPr>
        <w:pBdr>
          <w:top w:val="nil"/>
          <w:left w:val="nil"/>
          <w:bottom w:val="nil"/>
          <w:right w:val="nil"/>
          <w:between w:val="nil"/>
        </w:pBdr>
        <w:spacing w:after="0" w:line="240" w:lineRule="auto"/>
        <w:jc w:val="both"/>
        <w:rPr>
          <w:color w:val="000000"/>
        </w:rPr>
      </w:pPr>
      <w:r>
        <w:rPr>
          <w:color w:val="000000"/>
        </w:rPr>
        <w:t xml:space="preserve">A </w:t>
      </w:r>
      <w:proofErr w:type="spellStart"/>
      <w:r>
        <w:rPr>
          <w:color w:val="000000"/>
        </w:rPr>
        <w:t>PID</w:t>
      </w:r>
      <w:proofErr w:type="spellEnd"/>
      <w:r>
        <w:rPr>
          <w:color w:val="000000"/>
        </w:rPr>
        <w:t xml:space="preserve"> resolution system is a globally available infrastructure system that has the capability to resolve a </w:t>
      </w:r>
      <w:proofErr w:type="spellStart"/>
      <w:r>
        <w:rPr>
          <w:color w:val="000000"/>
        </w:rPr>
        <w:t>PID</w:t>
      </w:r>
      <w:proofErr w:type="spellEnd"/>
      <w:r>
        <w:rPr>
          <w:color w:val="000000"/>
        </w:rPr>
        <w:t xml:space="preserve"> into useful, current state information describing the properties of a DO. </w:t>
      </w:r>
    </w:p>
    <w:p w:rsidR="00ED35AA" w:rsidRDefault="00095FF6" w:rsidP="00095FF6">
      <w:pPr>
        <w:pBdr>
          <w:top w:val="nil"/>
          <w:left w:val="nil"/>
          <w:bottom w:val="nil"/>
          <w:right w:val="nil"/>
          <w:between w:val="nil"/>
        </w:pBdr>
        <w:spacing w:after="0" w:line="240" w:lineRule="auto"/>
        <w:rPr>
          <w:i/>
          <w:color w:val="000000"/>
        </w:rPr>
      </w:pPr>
      <w:r w:rsidRPr="00095FF6">
        <w:rPr>
          <w:b/>
          <w:i/>
          <w:color w:val="000000"/>
        </w:rPr>
        <w:t>Note</w:t>
      </w:r>
      <w:r w:rsidR="00ED2636">
        <w:rPr>
          <w:i/>
          <w:color w:val="000000"/>
        </w:rPr>
        <w:t>:</w:t>
      </w:r>
      <w:r>
        <w:rPr>
          <w:i/>
          <w:color w:val="000000"/>
        </w:rPr>
        <w:t xml:space="preserve"> </w:t>
      </w:r>
      <w:r w:rsidR="00ED2636">
        <w:rPr>
          <w:i/>
          <w:color w:val="000000"/>
        </w:rPr>
        <w:t xml:space="preserve">With the Handle System as managed now by the international DONA Foundation located in Geneva is such a global resolution system being used by the </w:t>
      </w:r>
      <w:proofErr w:type="spellStart"/>
      <w:r w:rsidR="00ED2636">
        <w:rPr>
          <w:i/>
          <w:color w:val="000000"/>
        </w:rPr>
        <w:t>DOI</w:t>
      </w:r>
      <w:proofErr w:type="spellEnd"/>
      <w:r w:rsidR="00ED2636">
        <w:rPr>
          <w:i/>
          <w:color w:val="000000"/>
        </w:rPr>
        <w:t xml:space="preserve"> Foundation, the </w:t>
      </w:r>
      <w:proofErr w:type="spellStart"/>
      <w:r w:rsidR="00ED2636">
        <w:rPr>
          <w:i/>
          <w:color w:val="000000"/>
        </w:rPr>
        <w:t>ePIC</w:t>
      </w:r>
      <w:proofErr w:type="spellEnd"/>
      <w:r w:rsidR="00ED2636">
        <w:rPr>
          <w:i/>
          <w:color w:val="000000"/>
        </w:rPr>
        <w:t xml:space="preserve"> consortium, and more than 3000 Handle service providers world-wide. </w:t>
      </w:r>
    </w:p>
    <w:p w:rsidR="00ED35AA" w:rsidRDefault="00ED2636">
      <w:pPr>
        <w:pStyle w:val="Heading2"/>
      </w:pPr>
      <w:r>
        <w:t xml:space="preserve">6. Metadata </w:t>
      </w:r>
    </w:p>
    <w:p w:rsidR="00ED35AA" w:rsidRDefault="00ED2636">
      <w:pPr>
        <w:pBdr>
          <w:top w:val="nil"/>
          <w:left w:val="nil"/>
          <w:bottom w:val="nil"/>
          <w:right w:val="nil"/>
          <w:between w:val="nil"/>
        </w:pBdr>
        <w:spacing w:after="0" w:line="240" w:lineRule="auto"/>
        <w:rPr>
          <w:color w:val="000000"/>
        </w:rPr>
      </w:pPr>
      <w:r>
        <w:rPr>
          <w:b/>
          <w:i/>
          <w:color w:val="000000"/>
        </w:rPr>
        <w:t xml:space="preserve">RDA </w:t>
      </w:r>
      <w:proofErr w:type="spellStart"/>
      <w:r>
        <w:rPr>
          <w:b/>
          <w:i/>
          <w:color w:val="000000"/>
        </w:rPr>
        <w:t>DFT</w:t>
      </w:r>
      <w:proofErr w:type="spellEnd"/>
      <w:r>
        <w:rPr>
          <w:b/>
          <w:i/>
          <w:color w:val="000000"/>
        </w:rPr>
        <w:t xml:space="preserve"> Definition </w:t>
      </w:r>
    </w:p>
    <w:p w:rsidR="00ED35AA" w:rsidRDefault="00ED2636">
      <w:pPr>
        <w:pBdr>
          <w:top w:val="nil"/>
          <w:left w:val="nil"/>
          <w:bottom w:val="nil"/>
          <w:right w:val="nil"/>
          <w:between w:val="nil"/>
        </w:pBdr>
        <w:spacing w:after="0" w:line="240" w:lineRule="auto"/>
        <w:jc w:val="both"/>
        <w:rPr>
          <w:color w:val="000000"/>
        </w:rPr>
      </w:pPr>
      <w:r>
        <w:rPr>
          <w:color w:val="000000"/>
        </w:rPr>
        <w:t xml:space="preserve">Metadata contains descriptive, contextual and provenance assertions about the properties of a DO. </w:t>
      </w:r>
    </w:p>
    <w:p w:rsidR="00ED35AA" w:rsidRDefault="00ED2636">
      <w:pPr>
        <w:pBdr>
          <w:top w:val="nil"/>
          <w:left w:val="nil"/>
          <w:bottom w:val="nil"/>
          <w:right w:val="nil"/>
          <w:between w:val="nil"/>
        </w:pBdr>
        <w:spacing w:after="0" w:line="240" w:lineRule="auto"/>
        <w:jc w:val="both"/>
        <w:rPr>
          <w:color w:val="000000"/>
        </w:rPr>
      </w:pPr>
      <w:r w:rsidRPr="00095FF6">
        <w:rPr>
          <w:b/>
          <w:i/>
          <w:color w:val="000000"/>
        </w:rPr>
        <w:t>Note</w:t>
      </w:r>
      <w:r>
        <w:rPr>
          <w:i/>
          <w:color w:val="000000"/>
        </w:rPr>
        <w:t>: Such metadata will make the DO for example discoverable, accessible and usable/interpretable</w:t>
      </w:r>
      <w:r>
        <w:rPr>
          <w:i/>
          <w:color w:val="000000"/>
          <w:vertAlign w:val="superscript"/>
        </w:rPr>
        <w:footnoteReference w:id="6"/>
      </w:r>
      <w:r>
        <w:rPr>
          <w:i/>
          <w:color w:val="000000"/>
        </w:rPr>
        <w:t xml:space="preserve">. </w:t>
      </w:r>
    </w:p>
    <w:p w:rsidR="00ED35AA" w:rsidRDefault="00ED2636">
      <w:pPr>
        <w:pBdr>
          <w:top w:val="nil"/>
          <w:left w:val="nil"/>
          <w:bottom w:val="nil"/>
          <w:right w:val="nil"/>
          <w:between w:val="nil"/>
        </w:pBdr>
        <w:spacing w:after="0" w:line="240" w:lineRule="auto"/>
        <w:jc w:val="both"/>
        <w:rPr>
          <w:color w:val="000000"/>
        </w:rPr>
      </w:pPr>
      <w:r w:rsidRPr="00095FF6">
        <w:rPr>
          <w:b/>
          <w:i/>
          <w:color w:val="000000"/>
        </w:rPr>
        <w:t>Note</w:t>
      </w:r>
      <w:r>
        <w:rPr>
          <w:i/>
          <w:color w:val="000000"/>
        </w:rPr>
        <w:t xml:space="preserve">: To make metadata referable it needs to be associated with a </w:t>
      </w:r>
      <w:proofErr w:type="spellStart"/>
      <w:r>
        <w:rPr>
          <w:i/>
          <w:color w:val="000000"/>
        </w:rPr>
        <w:t>PID</w:t>
      </w:r>
      <w:proofErr w:type="spellEnd"/>
      <w:r>
        <w:rPr>
          <w:i/>
          <w:color w:val="000000"/>
        </w:rPr>
        <w:t xml:space="preserve"> and thus is a DO. </w:t>
      </w:r>
    </w:p>
    <w:p w:rsidR="00ED35AA" w:rsidRDefault="00ED2636">
      <w:pPr>
        <w:pBdr>
          <w:top w:val="nil"/>
          <w:left w:val="nil"/>
          <w:bottom w:val="nil"/>
          <w:right w:val="nil"/>
          <w:between w:val="nil"/>
        </w:pBdr>
        <w:spacing w:after="0" w:line="240" w:lineRule="auto"/>
        <w:jc w:val="both"/>
        <w:rPr>
          <w:color w:val="000000"/>
        </w:rPr>
      </w:pPr>
      <w:r w:rsidRPr="00095FF6">
        <w:rPr>
          <w:b/>
          <w:i/>
          <w:color w:val="000000"/>
        </w:rPr>
        <w:t>Note</w:t>
      </w:r>
      <w:r>
        <w:rPr>
          <w:i/>
          <w:color w:val="000000"/>
        </w:rPr>
        <w:t xml:space="preserve">: Metadata minimally needs to contain the </w:t>
      </w:r>
      <w:proofErr w:type="spellStart"/>
      <w:r>
        <w:rPr>
          <w:i/>
          <w:color w:val="000000"/>
        </w:rPr>
        <w:t>PID</w:t>
      </w:r>
      <w:proofErr w:type="spellEnd"/>
      <w:r>
        <w:rPr>
          <w:i/>
          <w:color w:val="000000"/>
        </w:rPr>
        <w:t xml:space="preserve"> of the DO (it describes). </w:t>
      </w:r>
    </w:p>
    <w:p w:rsidR="00ED35AA" w:rsidRDefault="00ED35AA">
      <w:pPr>
        <w:pBdr>
          <w:top w:val="nil"/>
          <w:left w:val="nil"/>
          <w:bottom w:val="nil"/>
          <w:right w:val="nil"/>
          <w:between w:val="nil"/>
        </w:pBdr>
        <w:spacing w:after="0" w:line="240" w:lineRule="auto"/>
        <w:rPr>
          <w:b/>
          <w:color w:val="000000"/>
        </w:rPr>
      </w:pPr>
    </w:p>
    <w:p w:rsidR="00ED35AA" w:rsidRPr="00095FF6" w:rsidRDefault="00ED2636">
      <w:pPr>
        <w:pBdr>
          <w:top w:val="nil"/>
          <w:left w:val="nil"/>
          <w:bottom w:val="nil"/>
          <w:right w:val="nil"/>
          <w:between w:val="nil"/>
        </w:pBdr>
        <w:spacing w:after="0" w:line="240" w:lineRule="auto"/>
        <w:rPr>
          <w:b/>
          <w:i/>
          <w:color w:val="000000"/>
        </w:rPr>
      </w:pPr>
      <w:proofErr w:type="spellStart"/>
      <w:r w:rsidRPr="00095FF6">
        <w:rPr>
          <w:b/>
          <w:i/>
          <w:color w:val="000000"/>
        </w:rPr>
        <w:t>GOFAIR</w:t>
      </w:r>
      <w:proofErr w:type="spellEnd"/>
      <w:r w:rsidRPr="00095FF6">
        <w:rPr>
          <w:b/>
          <w:i/>
          <w:color w:val="000000"/>
        </w:rPr>
        <w:t xml:space="preserve"> Assertions on Metadata </w:t>
      </w:r>
      <w:r w:rsidRPr="00095FF6">
        <w:rPr>
          <w:i/>
          <w:color w:val="000000"/>
        </w:rPr>
        <w:t>(</w:t>
      </w:r>
      <w:r w:rsidR="00095FF6">
        <w:rPr>
          <w:i/>
          <w:color w:val="000000"/>
        </w:rPr>
        <w:t>a paper will be made available soon</w:t>
      </w:r>
      <w:r w:rsidRPr="00095FF6">
        <w:rPr>
          <w:i/>
          <w:color w:val="000000"/>
        </w:rPr>
        <w:t>)</w:t>
      </w:r>
    </w:p>
    <w:p w:rsidR="00ED35AA" w:rsidRPr="00095FF6" w:rsidRDefault="00ED2636">
      <w:pPr>
        <w:numPr>
          <w:ilvl w:val="0"/>
          <w:numId w:val="1"/>
        </w:numPr>
        <w:pBdr>
          <w:top w:val="nil"/>
          <w:left w:val="nil"/>
          <w:bottom w:val="nil"/>
          <w:right w:val="nil"/>
          <w:between w:val="nil"/>
        </w:pBdr>
        <w:spacing w:after="0" w:line="240" w:lineRule="auto"/>
        <w:jc w:val="both"/>
        <w:rPr>
          <w:i/>
        </w:rPr>
      </w:pPr>
      <w:r w:rsidRPr="00095FF6">
        <w:rPr>
          <w:i/>
          <w:color w:val="000000"/>
        </w:rPr>
        <w:t>Metadata statements are assertions about Digital Objects (which can be anything digitally represented) and are part of the DO to make it findable, accessible, interpretable and re-usable.</w:t>
      </w:r>
    </w:p>
    <w:p w:rsidR="00ED35AA" w:rsidRPr="00095FF6" w:rsidRDefault="00ED2636">
      <w:pPr>
        <w:numPr>
          <w:ilvl w:val="0"/>
          <w:numId w:val="1"/>
        </w:numPr>
        <w:pBdr>
          <w:top w:val="nil"/>
          <w:left w:val="nil"/>
          <w:bottom w:val="nil"/>
          <w:right w:val="nil"/>
          <w:between w:val="nil"/>
        </w:pBdr>
        <w:spacing w:after="0" w:line="240" w:lineRule="auto"/>
        <w:jc w:val="both"/>
        <w:rPr>
          <w:i/>
        </w:rPr>
      </w:pPr>
      <w:r w:rsidRPr="00095FF6">
        <w:rPr>
          <w:i/>
          <w:color w:val="000000"/>
        </w:rPr>
        <w:t xml:space="preserve">Metadata assertions are made by different </w:t>
      </w:r>
      <w:r w:rsidR="00095FF6" w:rsidRPr="00095FF6">
        <w:rPr>
          <w:i/>
          <w:color w:val="000000"/>
        </w:rPr>
        <w:t>actors</w:t>
      </w:r>
      <w:r w:rsidRPr="00095FF6">
        <w:rPr>
          <w:i/>
          <w:color w:val="000000"/>
        </w:rPr>
        <w:t xml:space="preserve"> with different roles for different purposes at different times.</w:t>
      </w:r>
      <w:r w:rsidR="00095FF6" w:rsidRPr="00095FF6">
        <w:rPr>
          <w:i/>
          <w:color w:val="000000"/>
        </w:rPr>
        <w:t xml:space="preserve"> Some metadata will be created already by the sensor equipment, other metadata will be added by the responsible researcher, again others will be added by the repository manager etc. </w:t>
      </w:r>
    </w:p>
    <w:p w:rsidR="00ED35AA" w:rsidRDefault="00ED2636">
      <w:pPr>
        <w:pStyle w:val="Heading2"/>
      </w:pPr>
      <w:r>
        <w:lastRenderedPageBreak/>
        <w:t xml:space="preserve">7. Digital Collection </w:t>
      </w:r>
    </w:p>
    <w:p w:rsidR="00ED35AA" w:rsidRDefault="00ED2636">
      <w:pPr>
        <w:pBdr>
          <w:top w:val="nil"/>
          <w:left w:val="nil"/>
          <w:bottom w:val="nil"/>
          <w:right w:val="nil"/>
          <w:between w:val="nil"/>
        </w:pBdr>
        <w:spacing w:after="0" w:line="240" w:lineRule="auto"/>
        <w:rPr>
          <w:color w:val="000000"/>
        </w:rPr>
      </w:pPr>
      <w:r>
        <w:rPr>
          <w:b/>
          <w:i/>
          <w:color w:val="000000"/>
        </w:rPr>
        <w:t xml:space="preserve">RDA </w:t>
      </w:r>
      <w:proofErr w:type="spellStart"/>
      <w:r>
        <w:rPr>
          <w:b/>
          <w:i/>
          <w:color w:val="000000"/>
        </w:rPr>
        <w:t>DFT</w:t>
      </w:r>
      <w:proofErr w:type="spellEnd"/>
      <w:r>
        <w:rPr>
          <w:b/>
          <w:i/>
          <w:color w:val="000000"/>
        </w:rPr>
        <w:t xml:space="preserve"> Definition </w:t>
      </w:r>
    </w:p>
    <w:p w:rsidR="00ED35AA" w:rsidRDefault="00ED2636">
      <w:pPr>
        <w:pBdr>
          <w:top w:val="nil"/>
          <w:left w:val="nil"/>
          <w:bottom w:val="nil"/>
          <w:right w:val="nil"/>
          <w:between w:val="nil"/>
        </w:pBdr>
        <w:spacing w:after="0" w:line="240" w:lineRule="auto"/>
        <w:jc w:val="both"/>
        <w:rPr>
          <w:color w:val="000000"/>
        </w:rPr>
      </w:pPr>
      <w:r>
        <w:rPr>
          <w:color w:val="000000"/>
        </w:rPr>
        <w:t>A digital collection is an aggregation which contains D</w:t>
      </w:r>
      <w:r w:rsidR="00095FF6">
        <w:rPr>
          <w:color w:val="000000"/>
        </w:rPr>
        <w:t xml:space="preserve">igital </w:t>
      </w:r>
      <w:r>
        <w:rPr>
          <w:color w:val="000000"/>
        </w:rPr>
        <w:t>O</w:t>
      </w:r>
      <w:r w:rsidR="00095FF6">
        <w:rPr>
          <w:color w:val="000000"/>
        </w:rPr>
        <w:t>bject</w:t>
      </w:r>
      <w:r>
        <w:rPr>
          <w:color w:val="000000"/>
        </w:rPr>
        <w:t>s and D</w:t>
      </w:r>
      <w:r w:rsidR="00095FF6">
        <w:rPr>
          <w:color w:val="000000"/>
        </w:rPr>
        <w:t xml:space="preserve">igital </w:t>
      </w:r>
      <w:r>
        <w:rPr>
          <w:color w:val="000000"/>
        </w:rPr>
        <w:t>E</w:t>
      </w:r>
      <w:r w:rsidR="00095FF6">
        <w:rPr>
          <w:color w:val="000000"/>
        </w:rPr>
        <w:t>ntitie</w:t>
      </w:r>
      <w:r>
        <w:rPr>
          <w:color w:val="000000"/>
        </w:rPr>
        <w:t>s</w:t>
      </w:r>
      <w:r>
        <w:rPr>
          <w:color w:val="000000"/>
          <w:vertAlign w:val="superscript"/>
        </w:rPr>
        <w:footnoteReference w:id="7"/>
      </w:r>
      <w:r>
        <w:rPr>
          <w:color w:val="000000"/>
        </w:rPr>
        <w:t xml:space="preserve">. The collection is identified by a </w:t>
      </w:r>
      <w:proofErr w:type="spellStart"/>
      <w:r>
        <w:rPr>
          <w:color w:val="000000"/>
        </w:rPr>
        <w:t>PID</w:t>
      </w:r>
      <w:proofErr w:type="spellEnd"/>
      <w:r>
        <w:rPr>
          <w:color w:val="000000"/>
        </w:rPr>
        <w:t xml:space="preserve"> and described by metadata. </w:t>
      </w:r>
    </w:p>
    <w:p w:rsidR="00ED35AA" w:rsidRDefault="00ED2636">
      <w:pPr>
        <w:pBdr>
          <w:top w:val="nil"/>
          <w:left w:val="nil"/>
          <w:bottom w:val="nil"/>
          <w:right w:val="nil"/>
          <w:between w:val="nil"/>
        </w:pBdr>
        <w:spacing w:after="0" w:line="240" w:lineRule="auto"/>
        <w:rPr>
          <w:color w:val="000000"/>
        </w:rPr>
      </w:pPr>
      <w:r>
        <w:rPr>
          <w:i/>
          <w:color w:val="000000"/>
        </w:rPr>
        <w:t>Note: A digita</w:t>
      </w:r>
      <w:r w:rsidR="007C6B53">
        <w:rPr>
          <w:i/>
          <w:color w:val="000000"/>
        </w:rPr>
        <w:t xml:space="preserve">l collection is a (complex) DO and has the structure of a hierarchy. In general, several hierarchies can be built on top of the same set of basic </w:t>
      </w:r>
      <w:proofErr w:type="spellStart"/>
      <w:r w:rsidR="007C6B53">
        <w:rPr>
          <w:i/>
          <w:color w:val="000000"/>
        </w:rPr>
        <w:t>DOs</w:t>
      </w:r>
      <w:proofErr w:type="spellEnd"/>
      <w:r w:rsidR="007C6B53">
        <w:rPr>
          <w:i/>
          <w:color w:val="000000"/>
        </w:rPr>
        <w:t>.</w:t>
      </w:r>
    </w:p>
    <w:p w:rsidR="00ED35AA" w:rsidRDefault="00ED2636">
      <w:pPr>
        <w:pStyle w:val="Heading2"/>
      </w:pPr>
      <w:r>
        <w:t xml:space="preserve">8. Repository </w:t>
      </w:r>
    </w:p>
    <w:p w:rsidR="00ED35AA" w:rsidRDefault="00ED2636">
      <w:pPr>
        <w:pBdr>
          <w:top w:val="nil"/>
          <w:left w:val="nil"/>
          <w:bottom w:val="nil"/>
          <w:right w:val="nil"/>
          <w:between w:val="nil"/>
        </w:pBdr>
        <w:spacing w:after="0" w:line="240" w:lineRule="auto"/>
        <w:rPr>
          <w:color w:val="000000"/>
        </w:rPr>
      </w:pPr>
      <w:r>
        <w:rPr>
          <w:b/>
          <w:i/>
          <w:color w:val="000000"/>
        </w:rPr>
        <w:t xml:space="preserve">RDA </w:t>
      </w:r>
      <w:proofErr w:type="spellStart"/>
      <w:r>
        <w:rPr>
          <w:b/>
          <w:i/>
          <w:color w:val="000000"/>
        </w:rPr>
        <w:t>DFT</w:t>
      </w:r>
      <w:proofErr w:type="spellEnd"/>
      <w:r>
        <w:rPr>
          <w:b/>
          <w:i/>
          <w:color w:val="000000"/>
        </w:rPr>
        <w:t xml:space="preserve"> Definition </w:t>
      </w:r>
    </w:p>
    <w:p w:rsidR="00ED35AA" w:rsidRDefault="00ED2636">
      <w:pPr>
        <w:pBdr>
          <w:top w:val="nil"/>
          <w:left w:val="nil"/>
          <w:bottom w:val="nil"/>
          <w:right w:val="nil"/>
          <w:between w:val="nil"/>
        </w:pBdr>
        <w:spacing w:after="0" w:line="240" w:lineRule="auto"/>
        <w:jc w:val="both"/>
        <w:rPr>
          <w:color w:val="000000"/>
        </w:rPr>
      </w:pPr>
      <w:r>
        <w:rPr>
          <w:color w:val="000000"/>
        </w:rPr>
        <w:t xml:space="preserve">A digital repository is an infrastructure component that is able to store, manage and curate </w:t>
      </w:r>
      <w:proofErr w:type="spellStart"/>
      <w:r>
        <w:rPr>
          <w:color w:val="000000"/>
        </w:rPr>
        <w:t>DOs</w:t>
      </w:r>
      <w:proofErr w:type="spellEnd"/>
      <w:r>
        <w:rPr>
          <w:color w:val="000000"/>
        </w:rPr>
        <w:t xml:space="preserve"> and return their bit-streams when a request is being issued. </w:t>
      </w:r>
    </w:p>
    <w:p w:rsidR="007C6B53" w:rsidRDefault="007C6B53">
      <w:pPr>
        <w:pBdr>
          <w:top w:val="nil"/>
          <w:left w:val="nil"/>
          <w:bottom w:val="nil"/>
          <w:right w:val="nil"/>
          <w:between w:val="nil"/>
        </w:pBdr>
        <w:spacing w:after="0" w:line="240" w:lineRule="auto"/>
        <w:jc w:val="both"/>
        <w:rPr>
          <w:i/>
          <w:color w:val="000000"/>
        </w:rPr>
      </w:pPr>
      <w:r w:rsidRPr="007C6B53">
        <w:rPr>
          <w:b/>
          <w:i/>
          <w:color w:val="000000"/>
        </w:rPr>
        <w:t>Note</w:t>
      </w:r>
      <w:r w:rsidRPr="007C6B53">
        <w:rPr>
          <w:i/>
          <w:color w:val="000000"/>
        </w:rPr>
        <w:t xml:space="preserve">: The Curation of a DO can imply several different aspects. The bit sequence encoding </w:t>
      </w:r>
      <w:proofErr w:type="spellStart"/>
      <w:r w:rsidRPr="007C6B53">
        <w:rPr>
          <w:i/>
          <w:color w:val="000000"/>
        </w:rPr>
        <w:t>DO's</w:t>
      </w:r>
      <w:proofErr w:type="spellEnd"/>
      <w:r w:rsidRPr="007C6B53">
        <w:rPr>
          <w:i/>
          <w:color w:val="000000"/>
        </w:rPr>
        <w:t xml:space="preserve"> content could be changed which is often the case for mutable </w:t>
      </w:r>
      <w:proofErr w:type="spellStart"/>
      <w:r w:rsidRPr="007C6B53">
        <w:rPr>
          <w:i/>
          <w:color w:val="000000"/>
        </w:rPr>
        <w:t>DOs</w:t>
      </w:r>
      <w:proofErr w:type="spellEnd"/>
      <w:r w:rsidRPr="007C6B53">
        <w:rPr>
          <w:i/>
          <w:color w:val="000000"/>
        </w:rPr>
        <w:t xml:space="preserve">. Or the metadata description of a DO could be changed. The repository need to define their policies whether such changes automatically lead to new </w:t>
      </w:r>
      <w:proofErr w:type="spellStart"/>
      <w:r w:rsidRPr="007C6B53">
        <w:rPr>
          <w:i/>
          <w:color w:val="000000"/>
        </w:rPr>
        <w:t>DOs</w:t>
      </w:r>
      <w:proofErr w:type="spellEnd"/>
      <w:r w:rsidRPr="007C6B53">
        <w:rPr>
          <w:i/>
          <w:color w:val="000000"/>
        </w:rPr>
        <w:t xml:space="preserve"> with a new </w:t>
      </w:r>
      <w:proofErr w:type="spellStart"/>
      <w:r w:rsidRPr="007C6B53">
        <w:rPr>
          <w:i/>
          <w:color w:val="000000"/>
        </w:rPr>
        <w:t>PID</w:t>
      </w:r>
      <w:proofErr w:type="spellEnd"/>
      <w:r w:rsidRPr="007C6B53">
        <w:rPr>
          <w:i/>
          <w:color w:val="000000"/>
        </w:rPr>
        <w:t xml:space="preserve"> being associated or whether the </w:t>
      </w:r>
      <w:proofErr w:type="spellStart"/>
      <w:r w:rsidRPr="007C6B53">
        <w:rPr>
          <w:i/>
          <w:color w:val="000000"/>
        </w:rPr>
        <w:t>PID</w:t>
      </w:r>
      <w:proofErr w:type="spellEnd"/>
      <w:r w:rsidRPr="007C6B53">
        <w:rPr>
          <w:i/>
          <w:color w:val="000000"/>
        </w:rPr>
        <w:t xml:space="preserve"> will remain the same. Users need to know what the policies are.</w:t>
      </w:r>
    </w:p>
    <w:p w:rsidR="007C6B53" w:rsidRPr="007C6B53" w:rsidRDefault="007C6B53">
      <w:pPr>
        <w:pBdr>
          <w:top w:val="nil"/>
          <w:left w:val="nil"/>
          <w:bottom w:val="nil"/>
          <w:right w:val="nil"/>
          <w:between w:val="nil"/>
        </w:pBdr>
        <w:spacing w:after="0" w:line="240" w:lineRule="auto"/>
        <w:jc w:val="both"/>
        <w:rPr>
          <w:i/>
          <w:color w:val="000000"/>
        </w:rPr>
      </w:pPr>
      <w:r>
        <w:rPr>
          <w:i/>
          <w:color w:val="000000"/>
        </w:rPr>
        <w:t xml:space="preserve">Note: In general the task will be to return the </w:t>
      </w:r>
      <w:proofErr w:type="spellStart"/>
      <w:r>
        <w:rPr>
          <w:i/>
          <w:color w:val="000000"/>
        </w:rPr>
        <w:t>DO's</w:t>
      </w:r>
      <w:proofErr w:type="spellEnd"/>
      <w:r>
        <w:rPr>
          <w:i/>
          <w:color w:val="000000"/>
        </w:rPr>
        <w:t xml:space="preserve"> </w:t>
      </w:r>
      <w:proofErr w:type="spellStart"/>
      <w:r>
        <w:rPr>
          <w:i/>
          <w:color w:val="000000"/>
        </w:rPr>
        <w:t>bitstream</w:t>
      </w:r>
      <w:proofErr w:type="spellEnd"/>
      <w:r>
        <w:rPr>
          <w:i/>
          <w:color w:val="000000"/>
        </w:rPr>
        <w:t xml:space="preserve"> since some operations will be carried out. But there will also be cases where all essential entities should be delivered which would require some selection and container </w:t>
      </w:r>
      <w:proofErr w:type="spellStart"/>
      <w:r>
        <w:rPr>
          <w:i/>
          <w:color w:val="000000"/>
        </w:rPr>
        <w:t>mechnisms</w:t>
      </w:r>
      <w:proofErr w:type="spellEnd"/>
      <w:r>
        <w:rPr>
          <w:i/>
          <w:color w:val="000000"/>
        </w:rPr>
        <w:t xml:space="preserve">. </w:t>
      </w:r>
    </w:p>
    <w:p w:rsidR="00ED35AA" w:rsidRDefault="00ED35AA">
      <w:pPr>
        <w:pBdr>
          <w:top w:val="nil"/>
          <w:left w:val="nil"/>
          <w:bottom w:val="nil"/>
          <w:right w:val="nil"/>
          <w:between w:val="nil"/>
        </w:pBdr>
        <w:spacing w:after="0" w:line="240" w:lineRule="auto"/>
        <w:rPr>
          <w:color w:val="000000"/>
        </w:rPr>
      </w:pPr>
    </w:p>
    <w:p w:rsidR="00ED35AA" w:rsidRDefault="00ED2636">
      <w:pPr>
        <w:pBdr>
          <w:top w:val="nil"/>
          <w:left w:val="nil"/>
          <w:bottom w:val="nil"/>
          <w:right w:val="nil"/>
          <w:between w:val="nil"/>
        </w:pBdr>
        <w:spacing w:after="0" w:line="240" w:lineRule="auto"/>
        <w:rPr>
          <w:b/>
          <w:i/>
          <w:color w:val="000000"/>
        </w:rPr>
      </w:pPr>
      <w:r>
        <w:rPr>
          <w:b/>
          <w:i/>
          <w:color w:val="000000"/>
        </w:rPr>
        <w:t xml:space="preserve">DONA </w:t>
      </w:r>
      <w:proofErr w:type="spellStart"/>
      <w:r>
        <w:rPr>
          <w:b/>
          <w:i/>
          <w:color w:val="000000"/>
        </w:rPr>
        <w:t>DOIP</w:t>
      </w:r>
      <w:proofErr w:type="spellEnd"/>
      <w:r>
        <w:rPr>
          <w:b/>
          <w:i/>
          <w:color w:val="000000"/>
        </w:rPr>
        <w:t xml:space="preserve"> Definition</w:t>
      </w:r>
    </w:p>
    <w:p w:rsidR="007C6B53" w:rsidRDefault="00ED2636">
      <w:pPr>
        <w:pBdr>
          <w:top w:val="nil"/>
          <w:left w:val="nil"/>
          <w:bottom w:val="nil"/>
          <w:right w:val="nil"/>
          <w:between w:val="nil"/>
        </w:pBdr>
        <w:spacing w:after="0" w:line="240" w:lineRule="auto"/>
        <w:jc w:val="both"/>
        <w:rPr>
          <w:color w:val="000000"/>
        </w:rPr>
      </w:pPr>
      <w:r>
        <w:rPr>
          <w:color w:val="000000"/>
        </w:rPr>
        <w:t xml:space="preserve">The repository system is a DO service that provides the necessary functionality to manage </w:t>
      </w:r>
      <w:proofErr w:type="spellStart"/>
      <w:r>
        <w:rPr>
          <w:color w:val="000000"/>
        </w:rPr>
        <w:t>DOs</w:t>
      </w:r>
      <w:proofErr w:type="spellEnd"/>
      <w:r>
        <w:rPr>
          <w:color w:val="000000"/>
        </w:rPr>
        <w:t xml:space="preserve"> including the provision of access to such </w:t>
      </w:r>
      <w:proofErr w:type="spellStart"/>
      <w:r>
        <w:rPr>
          <w:color w:val="000000"/>
        </w:rPr>
        <w:t>DOs</w:t>
      </w:r>
      <w:proofErr w:type="spellEnd"/>
      <w:r>
        <w:rPr>
          <w:color w:val="000000"/>
        </w:rPr>
        <w:t xml:space="preserve"> based on the use of identifiers</w:t>
      </w:r>
      <w:r w:rsidR="007C6B53">
        <w:rPr>
          <w:color w:val="000000"/>
        </w:rPr>
        <w:t>.</w:t>
      </w:r>
      <w:r>
        <w:rPr>
          <w:color w:val="000000"/>
        </w:rPr>
        <w:t xml:space="preserve"> </w:t>
      </w:r>
    </w:p>
    <w:p w:rsidR="00ED35AA" w:rsidRPr="007C6B53" w:rsidRDefault="007C6B53">
      <w:pPr>
        <w:pBdr>
          <w:top w:val="nil"/>
          <w:left w:val="nil"/>
          <w:bottom w:val="nil"/>
          <w:right w:val="nil"/>
          <w:between w:val="nil"/>
        </w:pBdr>
        <w:spacing w:after="0" w:line="240" w:lineRule="auto"/>
        <w:jc w:val="both"/>
        <w:rPr>
          <w:i/>
          <w:color w:val="000000"/>
        </w:rPr>
      </w:pPr>
      <w:r w:rsidRPr="007C6B53">
        <w:rPr>
          <w:b/>
          <w:i/>
          <w:color w:val="000000"/>
        </w:rPr>
        <w:t>Note</w:t>
      </w:r>
      <w:r w:rsidRPr="007C6B53">
        <w:rPr>
          <w:i/>
          <w:color w:val="000000"/>
        </w:rPr>
        <w:t xml:space="preserve">: </w:t>
      </w:r>
      <w:proofErr w:type="spellStart"/>
      <w:r w:rsidRPr="007C6B53">
        <w:rPr>
          <w:i/>
          <w:color w:val="000000"/>
        </w:rPr>
        <w:t>PID</w:t>
      </w:r>
      <w:proofErr w:type="spellEnd"/>
      <w:r w:rsidRPr="007C6B53">
        <w:rPr>
          <w:i/>
          <w:color w:val="000000"/>
        </w:rPr>
        <w:t xml:space="preserve"> records need to be protected against unauthorised usage</w:t>
      </w:r>
      <w:r>
        <w:rPr>
          <w:i/>
          <w:color w:val="000000"/>
        </w:rPr>
        <w:t>,</w:t>
      </w:r>
      <w:r w:rsidRPr="007C6B53">
        <w:rPr>
          <w:i/>
          <w:color w:val="000000"/>
        </w:rPr>
        <w:t xml:space="preserve"> </w:t>
      </w:r>
      <w:r>
        <w:rPr>
          <w:i/>
          <w:color w:val="000000"/>
        </w:rPr>
        <w:t xml:space="preserve">i.e. the </w:t>
      </w:r>
      <w:proofErr w:type="spellStart"/>
      <w:r>
        <w:rPr>
          <w:i/>
          <w:color w:val="000000"/>
        </w:rPr>
        <w:t>PID</w:t>
      </w:r>
      <w:proofErr w:type="spellEnd"/>
      <w:r>
        <w:rPr>
          <w:i/>
          <w:color w:val="000000"/>
        </w:rPr>
        <w:t xml:space="preserve"> resolution system has </w:t>
      </w:r>
      <w:r w:rsidR="00ED2636" w:rsidRPr="007C6B53">
        <w:rPr>
          <w:i/>
          <w:color w:val="000000"/>
        </w:rPr>
        <w:t>security</w:t>
      </w:r>
      <w:r>
        <w:rPr>
          <w:i/>
          <w:color w:val="000000"/>
        </w:rPr>
        <w:t xml:space="preserve"> mechanisms built in</w:t>
      </w:r>
      <w:r w:rsidR="00ED2636" w:rsidRPr="007C6B53">
        <w:rPr>
          <w:i/>
          <w:color w:val="000000"/>
        </w:rPr>
        <w:t>.</w:t>
      </w:r>
      <w:r>
        <w:rPr>
          <w:i/>
          <w:color w:val="000000"/>
        </w:rPr>
        <w:t xml:space="preserve"> </w:t>
      </w:r>
      <w:r w:rsidR="009B3B53">
        <w:rPr>
          <w:i/>
          <w:color w:val="000000"/>
        </w:rPr>
        <w:t xml:space="preserve">Additional security mechanisms ensuring control of data access and transactions need to be implemented at the application layer to not overload the protocol. </w:t>
      </w:r>
    </w:p>
    <w:p w:rsidR="00ED35AA" w:rsidRDefault="007C6B53" w:rsidP="007C6B53">
      <w:pPr>
        <w:pBdr>
          <w:top w:val="nil"/>
          <w:left w:val="nil"/>
          <w:bottom w:val="nil"/>
          <w:right w:val="nil"/>
          <w:between w:val="nil"/>
        </w:pBdr>
        <w:spacing w:after="0" w:line="240" w:lineRule="auto"/>
        <w:rPr>
          <w:i/>
          <w:color w:val="000000"/>
        </w:rPr>
      </w:pPr>
      <w:r w:rsidRPr="007C6B53">
        <w:rPr>
          <w:b/>
          <w:i/>
          <w:color w:val="000000"/>
        </w:rPr>
        <w:t>Note</w:t>
      </w:r>
      <w:r w:rsidR="00ED2636">
        <w:rPr>
          <w:i/>
          <w:color w:val="000000"/>
        </w:rPr>
        <w:t>:</w:t>
      </w:r>
      <w:r>
        <w:rPr>
          <w:i/>
          <w:color w:val="000000"/>
        </w:rPr>
        <w:t xml:space="preserve"> </w:t>
      </w:r>
      <w:r w:rsidR="00ED2636">
        <w:rPr>
          <w:i/>
          <w:color w:val="000000"/>
        </w:rPr>
        <w:t>In the current discussion we separate three views on repositories:</w:t>
      </w:r>
    </w:p>
    <w:p w:rsidR="00ED35AA" w:rsidRDefault="00ED2636">
      <w:pPr>
        <w:numPr>
          <w:ilvl w:val="0"/>
          <w:numId w:val="2"/>
        </w:numPr>
        <w:pBdr>
          <w:top w:val="nil"/>
          <w:left w:val="nil"/>
          <w:bottom w:val="nil"/>
          <w:right w:val="nil"/>
          <w:between w:val="nil"/>
        </w:pBdr>
        <w:spacing w:after="0" w:line="240" w:lineRule="auto"/>
        <w:jc w:val="both"/>
        <w:rPr>
          <w:i/>
          <w:color w:val="000000"/>
        </w:rPr>
      </w:pPr>
      <w:r>
        <w:rPr>
          <w:i/>
          <w:color w:val="000000"/>
        </w:rPr>
        <w:t xml:space="preserve">In the Computer Science view a repository is a complex collection and therefore a Digital Object, i.e. it has a </w:t>
      </w:r>
      <w:proofErr w:type="spellStart"/>
      <w:r>
        <w:rPr>
          <w:i/>
          <w:color w:val="000000"/>
        </w:rPr>
        <w:t>PID</w:t>
      </w:r>
      <w:proofErr w:type="spellEnd"/>
      <w:r>
        <w:rPr>
          <w:i/>
          <w:color w:val="000000"/>
        </w:rPr>
        <w:t xml:space="preserve"> and metadata and supports the </w:t>
      </w:r>
      <w:proofErr w:type="spellStart"/>
      <w:r>
        <w:rPr>
          <w:i/>
          <w:color w:val="000000"/>
        </w:rPr>
        <w:t>DOIP</w:t>
      </w:r>
      <w:proofErr w:type="spellEnd"/>
      <w:r>
        <w:rPr>
          <w:i/>
          <w:color w:val="000000"/>
        </w:rPr>
        <w:t xml:space="preserve"> - a functional interface.</w:t>
      </w:r>
    </w:p>
    <w:p w:rsidR="00ED35AA" w:rsidRDefault="00ED2636">
      <w:pPr>
        <w:numPr>
          <w:ilvl w:val="0"/>
          <w:numId w:val="2"/>
        </w:numPr>
        <w:pBdr>
          <w:top w:val="nil"/>
          <w:left w:val="nil"/>
          <w:bottom w:val="nil"/>
          <w:right w:val="nil"/>
          <w:between w:val="nil"/>
        </w:pBdr>
        <w:spacing w:after="0" w:line="240" w:lineRule="auto"/>
        <w:jc w:val="both"/>
        <w:rPr>
          <w:i/>
          <w:color w:val="000000"/>
        </w:rPr>
      </w:pPr>
      <w:r>
        <w:rPr>
          <w:i/>
          <w:color w:val="000000"/>
        </w:rPr>
        <w:t>In the above mentioned view a repository is also an institution with "people" taking care that all relevant functions which range from storing DO bit-sequences up to doing curation are being taken care of. This definition does not exclude that the different functions are mapped on different organisational structures.</w:t>
      </w:r>
    </w:p>
    <w:p w:rsidR="00ED35AA" w:rsidRDefault="00ED2636">
      <w:pPr>
        <w:numPr>
          <w:ilvl w:val="0"/>
          <w:numId w:val="2"/>
        </w:numPr>
        <w:pBdr>
          <w:top w:val="nil"/>
          <w:left w:val="nil"/>
          <w:bottom w:val="nil"/>
          <w:right w:val="nil"/>
          <w:between w:val="nil"/>
        </w:pBdr>
        <w:spacing w:after="0" w:line="240" w:lineRule="auto"/>
        <w:jc w:val="both"/>
        <w:rPr>
          <w:color w:val="000000"/>
        </w:rPr>
      </w:pPr>
      <w:r>
        <w:rPr>
          <w:i/>
          <w:color w:val="000000"/>
        </w:rPr>
        <w:t>Some see a repository simply as a big store taking just care of maintaining the bit sequences. This is just one basic function a "full repository" takes care of. It refers to one specific type of possible organisational structures.</w:t>
      </w:r>
    </w:p>
    <w:p w:rsidR="00ED35AA" w:rsidRDefault="00ED2636">
      <w:pPr>
        <w:pStyle w:val="Heading2"/>
      </w:pPr>
      <w:r>
        <w:t>9. Registry</w:t>
      </w:r>
    </w:p>
    <w:p w:rsidR="00ED35AA" w:rsidRDefault="00ED2636">
      <w:pPr>
        <w:pBdr>
          <w:top w:val="nil"/>
          <w:left w:val="nil"/>
          <w:bottom w:val="nil"/>
          <w:right w:val="nil"/>
          <w:between w:val="nil"/>
        </w:pBdr>
        <w:spacing w:after="0" w:line="240" w:lineRule="auto"/>
        <w:rPr>
          <w:b/>
          <w:i/>
          <w:color w:val="000000"/>
        </w:rPr>
      </w:pPr>
      <w:r>
        <w:rPr>
          <w:b/>
          <w:i/>
          <w:color w:val="000000"/>
        </w:rPr>
        <w:t xml:space="preserve">DONA </w:t>
      </w:r>
      <w:proofErr w:type="spellStart"/>
      <w:r>
        <w:rPr>
          <w:b/>
          <w:i/>
          <w:color w:val="000000"/>
        </w:rPr>
        <w:t>DOIP</w:t>
      </w:r>
      <w:proofErr w:type="spellEnd"/>
      <w:r>
        <w:rPr>
          <w:b/>
          <w:i/>
          <w:color w:val="000000"/>
        </w:rPr>
        <w:t xml:space="preserve"> Definition</w:t>
      </w:r>
    </w:p>
    <w:p w:rsidR="00ED35AA" w:rsidRDefault="00ED2636">
      <w:pPr>
        <w:pBdr>
          <w:top w:val="nil"/>
          <w:left w:val="nil"/>
          <w:bottom w:val="nil"/>
          <w:right w:val="nil"/>
          <w:between w:val="nil"/>
        </w:pBdr>
        <w:spacing w:after="0" w:line="240" w:lineRule="auto"/>
        <w:jc w:val="both"/>
        <w:rPr>
          <w:color w:val="000000"/>
        </w:rPr>
      </w:pPr>
      <w:r>
        <w:rPr>
          <w:color w:val="000000"/>
        </w:rPr>
        <w:t xml:space="preserve">The registry system is a specialised repository system intended to store metadata about </w:t>
      </w:r>
      <w:proofErr w:type="spellStart"/>
      <w:r>
        <w:rPr>
          <w:color w:val="000000"/>
        </w:rPr>
        <w:t>DOs</w:t>
      </w:r>
      <w:proofErr w:type="spellEnd"/>
      <w:r>
        <w:rPr>
          <w:color w:val="000000"/>
        </w:rPr>
        <w:t xml:space="preserve"> rather than the digital information itself, and when used as a standalone component, typically stores metadata of </w:t>
      </w:r>
      <w:proofErr w:type="spellStart"/>
      <w:r>
        <w:rPr>
          <w:color w:val="000000"/>
        </w:rPr>
        <w:t>DOs</w:t>
      </w:r>
      <w:proofErr w:type="spellEnd"/>
      <w:r>
        <w:rPr>
          <w:color w:val="000000"/>
        </w:rPr>
        <w:t xml:space="preserve"> that are managed by one or more repository systems.</w:t>
      </w:r>
    </w:p>
    <w:p w:rsidR="00ED35AA" w:rsidRDefault="00ED35AA">
      <w:pPr>
        <w:pBdr>
          <w:top w:val="nil"/>
          <w:left w:val="nil"/>
          <w:bottom w:val="nil"/>
          <w:right w:val="nil"/>
          <w:between w:val="nil"/>
        </w:pBdr>
        <w:spacing w:after="0" w:line="240" w:lineRule="auto"/>
        <w:jc w:val="both"/>
        <w:rPr>
          <w:color w:val="000000"/>
        </w:rPr>
      </w:pPr>
    </w:p>
    <w:p w:rsidR="00ED35AA" w:rsidRPr="009B3B53" w:rsidRDefault="009B3B53">
      <w:pPr>
        <w:pBdr>
          <w:top w:val="nil"/>
          <w:left w:val="nil"/>
          <w:bottom w:val="nil"/>
          <w:right w:val="nil"/>
          <w:between w:val="nil"/>
        </w:pBdr>
        <w:spacing w:after="0" w:line="240" w:lineRule="auto"/>
        <w:jc w:val="both"/>
        <w:rPr>
          <w:i/>
          <w:color w:val="000000"/>
        </w:rPr>
      </w:pPr>
      <w:r>
        <w:rPr>
          <w:i/>
          <w:color w:val="000000"/>
        </w:rPr>
        <w:t>Note</w:t>
      </w:r>
      <w:r w:rsidR="00ED2636">
        <w:rPr>
          <w:i/>
          <w:color w:val="000000"/>
        </w:rPr>
        <w:t>:</w:t>
      </w:r>
      <w:r>
        <w:rPr>
          <w:i/>
          <w:color w:val="000000"/>
        </w:rPr>
        <w:t xml:space="preserve"> </w:t>
      </w:r>
      <w:r w:rsidR="00ED2636">
        <w:rPr>
          <w:i/>
          <w:color w:val="000000"/>
        </w:rPr>
        <w:t xml:space="preserve">This definition states that there is only a functional difference between a repository and a registry. Typically, registries aggregate different types of metadata about </w:t>
      </w:r>
      <w:proofErr w:type="spellStart"/>
      <w:r w:rsidR="00ED2636">
        <w:rPr>
          <w:i/>
          <w:color w:val="000000"/>
        </w:rPr>
        <w:t>DOs</w:t>
      </w:r>
      <w:proofErr w:type="spellEnd"/>
      <w:r w:rsidR="00ED2636">
        <w:rPr>
          <w:i/>
          <w:color w:val="000000"/>
        </w:rPr>
        <w:t xml:space="preserve"> (which can be anything digital) and offer specialised services on the aggregated data. Metadata portals supporting searches are typical registries, for example. They store metadata descriptions, however, these metadata descriptions could be enhanced or specialised versions and in general such registries do not have to </w:t>
      </w:r>
      <w:r w:rsidR="00ED2636">
        <w:rPr>
          <w:i/>
          <w:color w:val="000000"/>
        </w:rPr>
        <w:lastRenderedPageBreak/>
        <w:t xml:space="preserve">offer persistence for their stored information, i.e. it is obvious that such registries register their metadata versions as self-standing </w:t>
      </w:r>
      <w:proofErr w:type="spellStart"/>
      <w:r w:rsidR="00ED2636">
        <w:rPr>
          <w:i/>
          <w:color w:val="000000"/>
        </w:rPr>
        <w:t>DOs</w:t>
      </w:r>
      <w:proofErr w:type="spellEnd"/>
      <w:r w:rsidR="00ED2636">
        <w:rPr>
          <w:i/>
          <w:color w:val="000000"/>
        </w:rPr>
        <w:t xml:space="preserve">. However, there are cases of registries such as a </w:t>
      </w:r>
      <w:proofErr w:type="spellStart"/>
      <w:r w:rsidR="00ED2636">
        <w:rPr>
          <w:i/>
          <w:color w:val="000000"/>
        </w:rPr>
        <w:t>PID</w:t>
      </w:r>
      <w:proofErr w:type="spellEnd"/>
      <w:r w:rsidR="00ED2636">
        <w:rPr>
          <w:i/>
          <w:color w:val="000000"/>
        </w:rPr>
        <w:t xml:space="preserve"> registry that need to have persistent storage functionality.</w:t>
      </w:r>
    </w:p>
    <w:p w:rsidR="00ED35AA" w:rsidRDefault="00ED2636">
      <w:pPr>
        <w:pStyle w:val="Heading2"/>
      </w:pPr>
      <w:r>
        <w:t xml:space="preserve">10. State Information </w:t>
      </w:r>
    </w:p>
    <w:p w:rsidR="00ED35AA" w:rsidRDefault="00ED2636">
      <w:pPr>
        <w:pBdr>
          <w:top w:val="nil"/>
          <w:left w:val="nil"/>
          <w:bottom w:val="nil"/>
          <w:right w:val="nil"/>
          <w:between w:val="nil"/>
        </w:pBdr>
        <w:spacing w:after="0" w:line="240" w:lineRule="auto"/>
        <w:rPr>
          <w:color w:val="000000"/>
        </w:rPr>
      </w:pPr>
      <w:r>
        <w:rPr>
          <w:b/>
          <w:i/>
          <w:color w:val="000000"/>
        </w:rPr>
        <w:t xml:space="preserve">RDA </w:t>
      </w:r>
      <w:proofErr w:type="spellStart"/>
      <w:r>
        <w:rPr>
          <w:b/>
          <w:i/>
          <w:color w:val="000000"/>
        </w:rPr>
        <w:t>DFT</w:t>
      </w:r>
      <w:proofErr w:type="spellEnd"/>
      <w:r>
        <w:rPr>
          <w:b/>
          <w:i/>
          <w:color w:val="000000"/>
        </w:rPr>
        <w:t xml:space="preserve"> Definition </w:t>
      </w:r>
    </w:p>
    <w:p w:rsidR="00ED35AA" w:rsidRDefault="00ED2636">
      <w:pPr>
        <w:pBdr>
          <w:top w:val="nil"/>
          <w:left w:val="nil"/>
          <w:bottom w:val="nil"/>
          <w:right w:val="nil"/>
          <w:between w:val="nil"/>
        </w:pBdr>
        <w:spacing w:after="0" w:line="240" w:lineRule="auto"/>
        <w:jc w:val="both"/>
        <w:rPr>
          <w:color w:val="000000"/>
        </w:rPr>
      </w:pPr>
      <w:r>
        <w:rPr>
          <w:color w:val="000000"/>
        </w:rPr>
        <w:t>State information is “metadata” information that describes those properties of the DO that are relevant for proper management and access</w:t>
      </w:r>
      <w:r>
        <w:rPr>
          <w:i/>
          <w:color w:val="000000"/>
        </w:rPr>
        <w:t xml:space="preserve">. </w:t>
      </w:r>
    </w:p>
    <w:p w:rsidR="00ED35AA" w:rsidRDefault="009B3B53" w:rsidP="00752218">
      <w:pPr>
        <w:pBdr>
          <w:top w:val="nil"/>
          <w:left w:val="nil"/>
          <w:bottom w:val="nil"/>
          <w:right w:val="nil"/>
          <w:between w:val="nil"/>
        </w:pBdr>
        <w:spacing w:after="0" w:line="240" w:lineRule="auto"/>
        <w:jc w:val="both"/>
        <w:rPr>
          <w:i/>
          <w:color w:val="000000"/>
        </w:rPr>
      </w:pPr>
      <w:r w:rsidRPr="009B3B53">
        <w:rPr>
          <w:b/>
          <w:i/>
          <w:color w:val="000000"/>
        </w:rPr>
        <w:t>Note</w:t>
      </w:r>
      <w:r w:rsidR="00ED2636">
        <w:rPr>
          <w:i/>
          <w:color w:val="000000"/>
        </w:rPr>
        <w:t>:</w:t>
      </w:r>
      <w:r>
        <w:rPr>
          <w:i/>
          <w:color w:val="000000"/>
        </w:rPr>
        <w:t xml:space="preserve"> </w:t>
      </w:r>
      <w:r w:rsidR="00ED2636">
        <w:rPr>
          <w:i/>
          <w:color w:val="000000"/>
        </w:rPr>
        <w:t>There is yet no "exact" definition of what the scope of "state information" is</w:t>
      </w:r>
      <w:r>
        <w:rPr>
          <w:i/>
          <w:color w:val="000000"/>
        </w:rPr>
        <w:t>. It was introduced by the RDA Practical Policy group</w:t>
      </w:r>
      <w:r>
        <w:rPr>
          <w:rStyle w:val="FootnoteReference"/>
          <w:i/>
          <w:color w:val="000000"/>
        </w:rPr>
        <w:footnoteReference w:id="8"/>
      </w:r>
      <w:r>
        <w:rPr>
          <w:i/>
          <w:color w:val="000000"/>
        </w:rPr>
        <w:t xml:space="preserve"> and in lack of another term used by others as well</w:t>
      </w:r>
      <w:r w:rsidR="00ED2636">
        <w:rPr>
          <w:i/>
          <w:color w:val="000000"/>
        </w:rPr>
        <w:t xml:space="preserve">. It will depend on what kind of information about </w:t>
      </w:r>
      <w:proofErr w:type="spellStart"/>
      <w:r w:rsidR="00ED2636">
        <w:rPr>
          <w:i/>
          <w:color w:val="000000"/>
        </w:rPr>
        <w:t>DOs</w:t>
      </w:r>
      <w:proofErr w:type="spellEnd"/>
      <w:r w:rsidR="00ED2636">
        <w:rPr>
          <w:i/>
          <w:color w:val="000000"/>
        </w:rPr>
        <w:t xml:space="preserve"> communities want to associate directly with </w:t>
      </w:r>
      <w:proofErr w:type="spellStart"/>
      <w:r w:rsidR="00ED2636">
        <w:rPr>
          <w:i/>
          <w:color w:val="000000"/>
        </w:rPr>
        <w:t>PIDs</w:t>
      </w:r>
      <w:proofErr w:type="spellEnd"/>
      <w:r w:rsidR="00ED2636">
        <w:rPr>
          <w:i/>
          <w:color w:val="000000"/>
        </w:rPr>
        <w:t xml:space="preserve"> in the </w:t>
      </w:r>
      <w:proofErr w:type="spellStart"/>
      <w:r w:rsidR="00ED2636">
        <w:rPr>
          <w:i/>
          <w:color w:val="000000"/>
        </w:rPr>
        <w:t>PID</w:t>
      </w:r>
      <w:proofErr w:type="spellEnd"/>
      <w:r w:rsidR="00ED2636">
        <w:rPr>
          <w:i/>
          <w:color w:val="000000"/>
        </w:rPr>
        <w:t xml:space="preserve"> record. It is generally agreed that the </w:t>
      </w:r>
      <w:proofErr w:type="spellStart"/>
      <w:r w:rsidR="00ED2636">
        <w:rPr>
          <w:i/>
          <w:color w:val="000000"/>
        </w:rPr>
        <w:t>PID</w:t>
      </w:r>
      <w:proofErr w:type="spellEnd"/>
      <w:r w:rsidR="00ED2636">
        <w:rPr>
          <w:i/>
          <w:color w:val="000000"/>
        </w:rPr>
        <w:t xml:space="preserve"> record has the binding role that is so important for working with </w:t>
      </w:r>
      <w:proofErr w:type="spellStart"/>
      <w:r w:rsidR="00ED2636">
        <w:rPr>
          <w:i/>
          <w:color w:val="000000"/>
        </w:rPr>
        <w:t>DOs</w:t>
      </w:r>
      <w:proofErr w:type="spellEnd"/>
      <w:r w:rsidR="00ED2636">
        <w:rPr>
          <w:i/>
          <w:color w:val="000000"/>
        </w:rPr>
        <w:t>, i.e. link to other information such as different metadata types, to different versions etc.</w:t>
      </w:r>
    </w:p>
    <w:p w:rsidR="009B3B53" w:rsidRDefault="009B3B53">
      <w:pPr>
        <w:pBdr>
          <w:top w:val="nil"/>
          <w:left w:val="nil"/>
          <w:bottom w:val="nil"/>
          <w:right w:val="nil"/>
          <w:between w:val="nil"/>
        </w:pBdr>
        <w:spacing w:after="0" w:line="240" w:lineRule="auto"/>
        <w:jc w:val="both"/>
        <w:rPr>
          <w:i/>
          <w:color w:val="000000"/>
        </w:rPr>
      </w:pPr>
      <w:r w:rsidRPr="009B3B53">
        <w:rPr>
          <w:b/>
          <w:i/>
          <w:color w:val="000000"/>
        </w:rPr>
        <w:t>Note</w:t>
      </w:r>
      <w:r w:rsidR="00ED2636">
        <w:rPr>
          <w:i/>
          <w:color w:val="000000"/>
        </w:rPr>
        <w:t>:</w:t>
      </w:r>
      <w:r>
        <w:rPr>
          <w:i/>
          <w:color w:val="000000"/>
        </w:rPr>
        <w:t xml:space="preserve"> </w:t>
      </w:r>
      <w:r w:rsidR="00ED2636">
        <w:rPr>
          <w:i/>
          <w:color w:val="000000"/>
        </w:rPr>
        <w:t>A well-known analogy is the identity of persons specified by a passport for example. Passports have some metadata associated with the ID, but there may be differences between countries what kind of metadata is being associated with the ID in the passport.</w:t>
      </w:r>
      <w:r>
        <w:rPr>
          <w:i/>
          <w:color w:val="000000"/>
        </w:rPr>
        <w:t xml:space="preserve"> </w:t>
      </w:r>
    </w:p>
    <w:p w:rsidR="00ED35AA" w:rsidRDefault="00ED2636">
      <w:pPr>
        <w:pStyle w:val="Heading2"/>
      </w:pPr>
      <w:r>
        <w:t>11. Type of DO</w:t>
      </w:r>
    </w:p>
    <w:p w:rsidR="00ED35AA" w:rsidRDefault="00ED2636">
      <w:pPr>
        <w:pBdr>
          <w:top w:val="nil"/>
          <w:left w:val="nil"/>
          <w:bottom w:val="nil"/>
          <w:right w:val="nil"/>
          <w:between w:val="nil"/>
        </w:pBdr>
        <w:spacing w:after="0" w:line="240" w:lineRule="auto"/>
        <w:rPr>
          <w:b/>
          <w:i/>
          <w:color w:val="000000"/>
        </w:rPr>
      </w:pPr>
      <w:r>
        <w:rPr>
          <w:b/>
          <w:i/>
          <w:color w:val="000000"/>
        </w:rPr>
        <w:t xml:space="preserve">DONA </w:t>
      </w:r>
      <w:proofErr w:type="spellStart"/>
      <w:r>
        <w:rPr>
          <w:b/>
          <w:i/>
          <w:color w:val="000000"/>
        </w:rPr>
        <w:t>DOIP</w:t>
      </w:r>
      <w:proofErr w:type="spellEnd"/>
      <w:r>
        <w:rPr>
          <w:b/>
          <w:i/>
          <w:color w:val="000000"/>
        </w:rPr>
        <w:t xml:space="preserve"> "Definition"</w:t>
      </w:r>
    </w:p>
    <w:p w:rsidR="00ED35AA" w:rsidRDefault="00ED2636">
      <w:pPr>
        <w:pBdr>
          <w:top w:val="nil"/>
          <w:left w:val="nil"/>
          <w:bottom w:val="nil"/>
          <w:right w:val="nil"/>
          <w:between w:val="nil"/>
        </w:pBdr>
        <w:spacing w:after="0" w:line="240" w:lineRule="auto"/>
        <w:rPr>
          <w:color w:val="000000"/>
        </w:rPr>
      </w:pPr>
      <w:r>
        <w:rPr>
          <w:color w:val="000000"/>
        </w:rPr>
        <w:t xml:space="preserve">The "Type" informs </w:t>
      </w:r>
      <w:proofErr w:type="spellStart"/>
      <w:r>
        <w:rPr>
          <w:color w:val="000000"/>
        </w:rPr>
        <w:t>DOIP</w:t>
      </w:r>
      <w:proofErr w:type="spellEnd"/>
      <w:r>
        <w:rPr>
          <w:color w:val="000000"/>
        </w:rPr>
        <w:t xml:space="preserve"> ser</w:t>
      </w:r>
      <w:r w:rsidRPr="009B3B53">
        <w:t>vi</w:t>
      </w:r>
      <w:r>
        <w:rPr>
          <w:color w:val="000000"/>
        </w:rPr>
        <w:t>ces what operations can be invoked against the DO.</w:t>
      </w:r>
    </w:p>
    <w:p w:rsidR="00752218" w:rsidRPr="009B3B53" w:rsidRDefault="009B3B53">
      <w:pPr>
        <w:pBdr>
          <w:top w:val="nil"/>
          <w:left w:val="nil"/>
          <w:bottom w:val="nil"/>
          <w:right w:val="nil"/>
          <w:between w:val="nil"/>
        </w:pBdr>
        <w:spacing w:after="0" w:line="240" w:lineRule="auto"/>
        <w:jc w:val="both"/>
        <w:rPr>
          <w:i/>
          <w:color w:val="000000"/>
        </w:rPr>
      </w:pPr>
      <w:r w:rsidRPr="009B3B53">
        <w:rPr>
          <w:b/>
          <w:i/>
          <w:color w:val="000000"/>
        </w:rPr>
        <w:t>Note</w:t>
      </w:r>
      <w:r w:rsidRPr="009B3B53">
        <w:rPr>
          <w:i/>
          <w:color w:val="000000"/>
        </w:rPr>
        <w:t xml:space="preserve">: </w:t>
      </w:r>
      <w:r w:rsidR="00ED2636" w:rsidRPr="009B3B53">
        <w:rPr>
          <w:i/>
          <w:color w:val="000000"/>
        </w:rPr>
        <w:t>In the recent discussions of the RDA Data Fabric</w:t>
      </w:r>
      <w:r>
        <w:rPr>
          <w:rStyle w:val="FootnoteReference"/>
          <w:i/>
          <w:color w:val="000000"/>
        </w:rPr>
        <w:footnoteReference w:id="9"/>
      </w:r>
      <w:r w:rsidR="00ED2636" w:rsidRPr="009B3B53">
        <w:rPr>
          <w:i/>
          <w:color w:val="000000"/>
        </w:rPr>
        <w:t xml:space="preserve"> group</w:t>
      </w:r>
      <w:r w:rsidR="00752218">
        <w:rPr>
          <w:i/>
          <w:color w:val="000000"/>
        </w:rPr>
        <w:t>,</w:t>
      </w:r>
      <w:r w:rsidR="00ED2636" w:rsidRPr="009B3B53">
        <w:rPr>
          <w:i/>
          <w:color w:val="000000"/>
        </w:rPr>
        <w:t xml:space="preserve"> </w:t>
      </w:r>
      <w:r w:rsidR="00752218">
        <w:rPr>
          <w:i/>
          <w:color w:val="000000"/>
        </w:rPr>
        <w:t xml:space="preserve">which led amongst others to the paper from </w:t>
      </w:r>
      <w:proofErr w:type="spellStart"/>
      <w:r w:rsidR="00752218">
        <w:rPr>
          <w:i/>
          <w:color w:val="000000"/>
        </w:rPr>
        <w:t>Wittenburg</w:t>
      </w:r>
      <w:proofErr w:type="spellEnd"/>
      <w:r w:rsidR="00752218">
        <w:rPr>
          <w:i/>
          <w:color w:val="000000"/>
        </w:rPr>
        <w:t>, Strawn, Mons et al.</w:t>
      </w:r>
      <w:r w:rsidR="00752218">
        <w:rPr>
          <w:rStyle w:val="FootnoteReference"/>
          <w:i/>
          <w:color w:val="000000"/>
        </w:rPr>
        <w:footnoteReference w:id="10"/>
      </w:r>
      <w:r w:rsidR="00752218">
        <w:rPr>
          <w:i/>
          <w:color w:val="000000"/>
        </w:rPr>
        <w:t xml:space="preserve">, </w:t>
      </w:r>
      <w:r w:rsidR="00ED2636" w:rsidRPr="009B3B53">
        <w:rPr>
          <w:i/>
          <w:color w:val="000000"/>
        </w:rPr>
        <w:t xml:space="preserve">it was obvious that </w:t>
      </w:r>
      <w:proofErr w:type="spellStart"/>
      <w:r w:rsidR="00ED2636" w:rsidRPr="009B3B53">
        <w:rPr>
          <w:i/>
          <w:color w:val="000000"/>
        </w:rPr>
        <w:t>DOs</w:t>
      </w:r>
      <w:proofErr w:type="spellEnd"/>
      <w:r w:rsidR="00ED2636" w:rsidRPr="009B3B53">
        <w:rPr>
          <w:i/>
          <w:color w:val="000000"/>
        </w:rPr>
        <w:t xml:space="preserve"> are the gate towards increased automation in the data domain. Crucial metadata assertions can be summarised to a "Type" that can be linked to a set of "operations" one can carry out on </w:t>
      </w:r>
      <w:proofErr w:type="spellStart"/>
      <w:r w:rsidR="00ED2636" w:rsidRPr="009B3B53">
        <w:rPr>
          <w:i/>
          <w:color w:val="000000"/>
        </w:rPr>
        <w:t>DOs</w:t>
      </w:r>
      <w:proofErr w:type="spellEnd"/>
      <w:r w:rsidR="00ED2636" w:rsidRPr="009B3B53">
        <w:rPr>
          <w:i/>
          <w:color w:val="000000"/>
        </w:rPr>
        <w:t>, i.e. we can see them as an extended MIME Type concept for the more complex scientific DO domain. This "typing" supports the encapsulation of the "object" concept as we ca find it in "Abstract Data Types" and "Object Oriented Programming".</w:t>
      </w:r>
    </w:p>
    <w:p w:rsidR="00ED35AA" w:rsidRDefault="00ED2636">
      <w:pPr>
        <w:pStyle w:val="Heading2"/>
      </w:pPr>
      <w:r>
        <w:t>12. Data Type Registry</w:t>
      </w:r>
    </w:p>
    <w:p w:rsidR="00ED35AA" w:rsidRDefault="00ED2636">
      <w:pPr>
        <w:pBdr>
          <w:top w:val="nil"/>
          <w:left w:val="nil"/>
          <w:bottom w:val="nil"/>
          <w:right w:val="nil"/>
          <w:between w:val="nil"/>
        </w:pBdr>
        <w:spacing w:after="0" w:line="240" w:lineRule="auto"/>
        <w:rPr>
          <w:b/>
          <w:i/>
          <w:color w:val="000000"/>
        </w:rPr>
      </w:pPr>
      <w:r>
        <w:rPr>
          <w:b/>
          <w:i/>
          <w:color w:val="000000"/>
        </w:rPr>
        <w:t xml:space="preserve">RDA </w:t>
      </w:r>
      <w:proofErr w:type="spellStart"/>
      <w:r>
        <w:rPr>
          <w:b/>
          <w:i/>
          <w:color w:val="000000"/>
        </w:rPr>
        <w:t>DTR</w:t>
      </w:r>
      <w:proofErr w:type="spellEnd"/>
      <w:r>
        <w:rPr>
          <w:b/>
          <w:i/>
          <w:color w:val="000000"/>
        </w:rPr>
        <w:t xml:space="preserve"> Goal Specification</w:t>
      </w:r>
      <w:r w:rsidR="00752218">
        <w:rPr>
          <w:rStyle w:val="FootnoteReference"/>
          <w:b/>
          <w:i/>
          <w:color w:val="000000"/>
        </w:rPr>
        <w:footnoteReference w:id="11"/>
      </w:r>
    </w:p>
    <w:p w:rsidR="00ED35AA" w:rsidRDefault="00ED2636">
      <w:pPr>
        <w:spacing w:after="0" w:line="240" w:lineRule="auto"/>
        <w:jc w:val="both"/>
      </w:pPr>
      <w:r>
        <w:t xml:space="preserve">The overall goal of the group was to define a data model for data types, to prototype its use in a functioning registry, to experiment with some domain-specific data type sets, and to define a federation strategy across multiple registries. The assumed benefit of this, on which there was fairly general agreement in Plenary Breakout sessions, which is where most of the discussions took place, was that precise typing of data sets and collections, combined with one or more registries that define those types in a standard fashion, would benefit every sector of data management, especially interoperability and reuse. The </w:t>
      </w:r>
      <w:proofErr w:type="spellStart"/>
      <w:r>
        <w:t>WG</w:t>
      </w:r>
      <w:proofErr w:type="spellEnd"/>
      <w:r>
        <w:t xml:space="preserve"> further agreed that it would not attempt to define the methods of association of data and type but would work towards a standard approach for registering and discovering types as well adding value to their use by linking types to services.</w:t>
      </w:r>
    </w:p>
    <w:p w:rsidR="00ED35AA" w:rsidRDefault="00752218" w:rsidP="00752218">
      <w:pPr>
        <w:pBdr>
          <w:top w:val="nil"/>
          <w:left w:val="nil"/>
          <w:bottom w:val="nil"/>
          <w:right w:val="nil"/>
          <w:between w:val="nil"/>
        </w:pBdr>
        <w:spacing w:after="0" w:line="240" w:lineRule="auto"/>
        <w:jc w:val="both"/>
        <w:rPr>
          <w:i/>
          <w:color w:val="000000"/>
        </w:rPr>
      </w:pPr>
      <w:r w:rsidRPr="00752218">
        <w:rPr>
          <w:b/>
          <w:i/>
          <w:color w:val="000000"/>
        </w:rPr>
        <w:t>Note</w:t>
      </w:r>
      <w:r w:rsidR="00ED2636">
        <w:rPr>
          <w:i/>
          <w:color w:val="000000"/>
        </w:rPr>
        <w:t>:</w:t>
      </w:r>
      <w:r>
        <w:rPr>
          <w:i/>
          <w:color w:val="000000"/>
        </w:rPr>
        <w:t xml:space="preserve"> </w:t>
      </w:r>
      <w:proofErr w:type="spellStart"/>
      <w:r w:rsidR="00ED2636">
        <w:rPr>
          <w:i/>
          <w:color w:val="000000"/>
        </w:rPr>
        <w:t>DTRs</w:t>
      </w:r>
      <w:proofErr w:type="spellEnd"/>
      <w:r w:rsidR="00ED2636">
        <w:rPr>
          <w:i/>
          <w:color w:val="000000"/>
        </w:rPr>
        <w:t xml:space="preserve"> are registries that allow users to link "types" with "operations" in a standard format, i.e. the researcher specifies operations for classes of DO (types) dependent on the aim and context of processing. </w:t>
      </w:r>
    </w:p>
    <w:p w:rsidR="00ED35AA" w:rsidRDefault="00ED2636">
      <w:pPr>
        <w:pStyle w:val="Heading2"/>
      </w:pPr>
      <w:r>
        <w:t>13. Research Objects</w:t>
      </w:r>
    </w:p>
    <w:p w:rsidR="00ED35AA" w:rsidRDefault="00ED2636">
      <w:pPr>
        <w:pBdr>
          <w:top w:val="nil"/>
          <w:left w:val="nil"/>
          <w:bottom w:val="nil"/>
          <w:right w:val="nil"/>
          <w:between w:val="nil"/>
        </w:pBdr>
        <w:spacing w:after="0" w:line="240" w:lineRule="auto"/>
        <w:rPr>
          <w:b/>
          <w:color w:val="000000"/>
        </w:rPr>
      </w:pPr>
      <w:r>
        <w:rPr>
          <w:b/>
          <w:color w:val="000000"/>
        </w:rPr>
        <w:t>"</w:t>
      </w:r>
      <w:proofErr w:type="spellStart"/>
      <w:r>
        <w:fldChar w:fldCharType="begin"/>
      </w:r>
      <w:r>
        <w:instrText xml:space="preserve"> HYPERLINK "http://www.researchobject.org" \h </w:instrText>
      </w:r>
      <w:r>
        <w:fldChar w:fldCharType="separate"/>
      </w:r>
      <w:r>
        <w:rPr>
          <w:b/>
          <w:i/>
          <w:color w:val="000000"/>
          <w:u w:val="single"/>
        </w:rPr>
        <w:t>www.researchobject.org</w:t>
      </w:r>
      <w:proofErr w:type="spellEnd"/>
      <w:r>
        <w:rPr>
          <w:b/>
          <w:i/>
          <w:color w:val="000000"/>
          <w:u w:val="single"/>
        </w:rPr>
        <w:fldChar w:fldCharType="end"/>
      </w:r>
      <w:r>
        <w:rPr>
          <w:b/>
          <w:color w:val="000000"/>
        </w:rPr>
        <w:t>" Statements</w:t>
      </w:r>
    </w:p>
    <w:p w:rsidR="00ED35AA" w:rsidRDefault="00ED2636" w:rsidP="00752218">
      <w:pPr>
        <w:pBdr>
          <w:top w:val="nil"/>
          <w:left w:val="nil"/>
          <w:bottom w:val="nil"/>
          <w:right w:val="nil"/>
          <w:between w:val="nil"/>
        </w:pBdr>
        <w:spacing w:after="0" w:line="240" w:lineRule="auto"/>
        <w:jc w:val="both"/>
        <w:rPr>
          <w:i/>
          <w:color w:val="000000"/>
        </w:rPr>
      </w:pPr>
      <w:r>
        <w:rPr>
          <w:color w:val="000000"/>
        </w:rPr>
        <w:t>Research objects are not just data, not just collections, but any digital resource that aims to go beyond the PDF for scholarly publishing!</w:t>
      </w:r>
    </w:p>
    <w:p w:rsidR="00ED35AA" w:rsidRDefault="00ED2636" w:rsidP="00752218">
      <w:pPr>
        <w:pBdr>
          <w:top w:val="nil"/>
          <w:left w:val="nil"/>
          <w:bottom w:val="nil"/>
          <w:right w:val="nil"/>
          <w:between w:val="nil"/>
        </w:pBdr>
        <w:spacing w:after="0" w:line="240" w:lineRule="auto"/>
        <w:jc w:val="both"/>
        <w:rPr>
          <w:color w:val="000000"/>
        </w:rPr>
      </w:pPr>
      <w:r>
        <w:rPr>
          <w:color w:val="000000"/>
        </w:rPr>
        <w:lastRenderedPageBreak/>
        <w:t>The reuse and reproduction of scientific experiments as they are described in publications can be hard. Often it requires additional information, data, tooling or support beyond that provided in the text of a traditional publication.</w:t>
      </w:r>
    </w:p>
    <w:p w:rsidR="00ED35AA" w:rsidRDefault="00ED35AA">
      <w:pPr>
        <w:pBdr>
          <w:top w:val="nil"/>
          <w:left w:val="nil"/>
          <w:bottom w:val="nil"/>
          <w:right w:val="nil"/>
          <w:between w:val="nil"/>
        </w:pBdr>
        <w:spacing w:after="0" w:line="240" w:lineRule="auto"/>
        <w:rPr>
          <w:color w:val="000000"/>
        </w:rPr>
      </w:pPr>
    </w:p>
    <w:p w:rsidR="00ED35AA" w:rsidRDefault="00752218" w:rsidP="00752218">
      <w:pPr>
        <w:pBdr>
          <w:top w:val="nil"/>
          <w:left w:val="nil"/>
          <w:bottom w:val="nil"/>
          <w:right w:val="nil"/>
          <w:between w:val="nil"/>
        </w:pBdr>
        <w:spacing w:after="0" w:line="240" w:lineRule="auto"/>
        <w:jc w:val="both"/>
        <w:rPr>
          <w:i/>
          <w:color w:val="000000"/>
        </w:rPr>
      </w:pPr>
      <w:r>
        <w:rPr>
          <w:i/>
          <w:color w:val="000000"/>
        </w:rPr>
        <w:t>Note</w:t>
      </w:r>
      <w:r w:rsidR="00ED2636">
        <w:rPr>
          <w:i/>
          <w:color w:val="000000"/>
        </w:rPr>
        <w:t>:</w:t>
      </w:r>
      <w:r>
        <w:rPr>
          <w:i/>
          <w:color w:val="000000"/>
        </w:rPr>
        <w:t xml:space="preserve"> </w:t>
      </w:r>
      <w:r w:rsidR="00ED2636">
        <w:rPr>
          <w:i/>
          <w:color w:val="000000"/>
        </w:rPr>
        <w:t xml:space="preserve">"Research Objects" are being defined by the above mentioned initiative and address the issue of how to package complex information in a way that allows the reproduction of scientific results. </w:t>
      </w:r>
      <w:proofErr w:type="spellStart"/>
      <w:r w:rsidR="00ED2636">
        <w:rPr>
          <w:i/>
          <w:color w:val="000000"/>
        </w:rPr>
        <w:t>ROs</w:t>
      </w:r>
      <w:proofErr w:type="spellEnd"/>
      <w:r w:rsidR="00ED2636">
        <w:rPr>
          <w:i/>
          <w:color w:val="000000"/>
        </w:rPr>
        <w:t xml:space="preserve"> could also be seen as a specification of how to pass over complex information that is necessary to orchestrate a workflow.</w:t>
      </w:r>
    </w:p>
    <w:p w:rsidR="00ED35AA" w:rsidRDefault="00ED35AA">
      <w:pPr>
        <w:pBdr>
          <w:top w:val="nil"/>
          <w:left w:val="nil"/>
          <w:bottom w:val="nil"/>
          <w:right w:val="nil"/>
          <w:between w:val="nil"/>
        </w:pBdr>
        <w:spacing w:after="0" w:line="240" w:lineRule="auto"/>
        <w:rPr>
          <w:i/>
          <w:color w:val="000000"/>
        </w:rPr>
      </w:pPr>
    </w:p>
    <w:sectPr w:rsidR="00ED35AA">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FD1" w:rsidRDefault="008B3FD1">
      <w:pPr>
        <w:spacing w:after="0" w:line="240" w:lineRule="auto"/>
      </w:pPr>
      <w:r>
        <w:separator/>
      </w:r>
    </w:p>
  </w:endnote>
  <w:endnote w:type="continuationSeparator" w:id="0">
    <w:p w:rsidR="008B3FD1" w:rsidRDefault="008B3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FD1" w:rsidRDefault="008B3FD1">
      <w:pPr>
        <w:spacing w:after="0" w:line="240" w:lineRule="auto"/>
      </w:pPr>
      <w:r>
        <w:separator/>
      </w:r>
    </w:p>
  </w:footnote>
  <w:footnote w:type="continuationSeparator" w:id="0">
    <w:p w:rsidR="008B3FD1" w:rsidRDefault="008B3FD1">
      <w:pPr>
        <w:spacing w:after="0" w:line="240" w:lineRule="auto"/>
      </w:pPr>
      <w:r>
        <w:continuationSeparator/>
      </w:r>
    </w:p>
  </w:footnote>
  <w:footnote w:id="1">
    <w:p w:rsidR="00ED35AA" w:rsidRDefault="00ED263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This may not be mixed up with </w:t>
      </w:r>
      <w:proofErr w:type="spellStart"/>
      <w:r>
        <w:rPr>
          <w:color w:val="000000"/>
          <w:sz w:val="20"/>
          <w:szCs w:val="20"/>
        </w:rPr>
        <w:t>DOIs</w:t>
      </w:r>
      <w:proofErr w:type="spellEnd"/>
      <w:r>
        <w:rPr>
          <w:color w:val="000000"/>
          <w:sz w:val="20"/>
          <w:szCs w:val="20"/>
        </w:rPr>
        <w:t xml:space="preserve"> which are special types of Handles issued by a Handle user community characterised by a defined business model.</w:t>
      </w:r>
    </w:p>
  </w:footnote>
  <w:footnote w:id="2">
    <w:p w:rsidR="00ED35AA" w:rsidRDefault="00ED263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It is obvious that what even software could be seen as data dependent on the type of operations intended.</w:t>
      </w:r>
    </w:p>
  </w:footnote>
  <w:footnote w:id="3">
    <w:p w:rsidR="00542611" w:rsidRPr="00542611" w:rsidRDefault="00542611">
      <w:pPr>
        <w:pStyle w:val="FootnoteText"/>
        <w:rPr>
          <w:rFonts w:asciiTheme="majorHAnsi" w:hAnsiTheme="majorHAnsi"/>
        </w:rPr>
      </w:pPr>
      <w:r w:rsidRPr="00542611">
        <w:rPr>
          <w:rStyle w:val="FootnoteReference"/>
          <w:rFonts w:asciiTheme="majorHAnsi" w:hAnsiTheme="majorHAnsi"/>
        </w:rPr>
        <w:footnoteRef/>
      </w:r>
      <w:r w:rsidRPr="00542611">
        <w:rPr>
          <w:rFonts w:asciiTheme="majorHAnsi" w:hAnsiTheme="majorHAnsi"/>
        </w:rPr>
        <w:t xml:space="preserve"> </w:t>
      </w:r>
      <w:r w:rsidRPr="00542611">
        <w:rPr>
          <w:rFonts w:asciiTheme="majorHAnsi" w:eastAsia="Arial" w:hAnsiTheme="majorHAnsi" w:cs="Arial"/>
          <w:color w:val="000000"/>
        </w:rPr>
        <w:t>https://</w:t>
      </w:r>
      <w:proofErr w:type="spellStart"/>
      <w:r w:rsidRPr="00542611">
        <w:rPr>
          <w:rFonts w:asciiTheme="majorHAnsi" w:eastAsia="Arial" w:hAnsiTheme="majorHAnsi" w:cs="Arial"/>
          <w:color w:val="000000"/>
        </w:rPr>
        <w:t>doi.org</w:t>
      </w:r>
      <w:proofErr w:type="spellEnd"/>
      <w:r w:rsidRPr="00542611">
        <w:rPr>
          <w:rFonts w:asciiTheme="majorHAnsi" w:eastAsia="Arial" w:hAnsiTheme="majorHAnsi" w:cs="Arial"/>
          <w:color w:val="000000"/>
        </w:rPr>
        <w:t>/10.2777/1524</w:t>
      </w:r>
    </w:p>
  </w:footnote>
  <w:footnote w:id="4">
    <w:p w:rsidR="00ED35AA" w:rsidRDefault="00ED263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Sometimes this is also called "DO access protocol".</w:t>
      </w:r>
    </w:p>
  </w:footnote>
  <w:footnote w:id="5">
    <w:p w:rsidR="00ED35AA" w:rsidRDefault="00ED263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Some are using file systems, cloud objects, database tables, etc. and also the way they relate different entities such as bit-sequences, different types of metadata, </w:t>
      </w:r>
      <w:proofErr w:type="spellStart"/>
      <w:r>
        <w:rPr>
          <w:color w:val="000000"/>
          <w:sz w:val="20"/>
          <w:szCs w:val="20"/>
        </w:rPr>
        <w:t>PIDs</w:t>
      </w:r>
      <w:proofErr w:type="spellEnd"/>
      <w:r>
        <w:rPr>
          <w:color w:val="000000"/>
          <w:sz w:val="20"/>
          <w:szCs w:val="20"/>
        </w:rPr>
        <w:t>, etc. is very different.</w:t>
      </w:r>
    </w:p>
  </w:footnote>
  <w:footnote w:id="6">
    <w:p w:rsidR="00ED35AA" w:rsidRDefault="00ED263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Currently, one would refer to FAIR which was not a label when the </w:t>
      </w:r>
      <w:proofErr w:type="spellStart"/>
      <w:r>
        <w:rPr>
          <w:color w:val="000000"/>
          <w:sz w:val="20"/>
          <w:szCs w:val="20"/>
        </w:rPr>
        <w:t>DFT</w:t>
      </w:r>
      <w:proofErr w:type="spellEnd"/>
      <w:r>
        <w:rPr>
          <w:color w:val="000000"/>
          <w:sz w:val="20"/>
          <w:szCs w:val="20"/>
        </w:rPr>
        <w:t xml:space="preserve"> definitions were </w:t>
      </w:r>
      <w:proofErr w:type="spellStart"/>
      <w:r>
        <w:rPr>
          <w:color w:val="000000"/>
          <w:sz w:val="20"/>
          <w:szCs w:val="20"/>
        </w:rPr>
        <w:t>finsihed</w:t>
      </w:r>
      <w:proofErr w:type="spellEnd"/>
      <w:r>
        <w:rPr>
          <w:color w:val="000000"/>
          <w:sz w:val="20"/>
          <w:szCs w:val="20"/>
        </w:rPr>
        <w:t>.</w:t>
      </w:r>
    </w:p>
  </w:footnote>
  <w:footnote w:id="7">
    <w:p w:rsidR="00ED35AA" w:rsidRDefault="00ED263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"Digital Entities (DE)" in this context </w:t>
      </w:r>
      <w:proofErr w:type="gramStart"/>
      <w:r>
        <w:rPr>
          <w:color w:val="000000"/>
          <w:sz w:val="20"/>
          <w:szCs w:val="20"/>
        </w:rPr>
        <w:t>are</w:t>
      </w:r>
      <w:proofErr w:type="gramEnd"/>
      <w:r>
        <w:rPr>
          <w:color w:val="000000"/>
          <w:sz w:val="20"/>
          <w:szCs w:val="20"/>
        </w:rPr>
        <w:t xml:space="preserve"> referring to elements that do not exist as self-standing </w:t>
      </w:r>
      <w:proofErr w:type="spellStart"/>
      <w:r>
        <w:rPr>
          <w:color w:val="000000"/>
          <w:sz w:val="20"/>
          <w:szCs w:val="20"/>
        </w:rPr>
        <w:t>DOs</w:t>
      </w:r>
      <w:proofErr w:type="spellEnd"/>
      <w:r>
        <w:rPr>
          <w:color w:val="000000"/>
          <w:sz w:val="20"/>
          <w:szCs w:val="20"/>
        </w:rPr>
        <w:t xml:space="preserve">. Researchers, for example, may bundle thousands of photos to one DO without taking the effort to associate </w:t>
      </w:r>
      <w:proofErr w:type="spellStart"/>
      <w:r>
        <w:rPr>
          <w:color w:val="000000"/>
          <w:sz w:val="20"/>
          <w:szCs w:val="20"/>
        </w:rPr>
        <w:t>PIDs</w:t>
      </w:r>
      <w:proofErr w:type="spellEnd"/>
      <w:r>
        <w:rPr>
          <w:color w:val="000000"/>
          <w:sz w:val="20"/>
          <w:szCs w:val="20"/>
        </w:rPr>
        <w:t xml:space="preserve"> and metadata with all individual photos.</w:t>
      </w:r>
    </w:p>
  </w:footnote>
  <w:footnote w:id="8">
    <w:p w:rsidR="009B3B53" w:rsidRPr="009B3B53" w:rsidRDefault="009B3B53">
      <w:pPr>
        <w:pStyle w:val="FootnoteText"/>
      </w:pPr>
      <w:r>
        <w:rPr>
          <w:rStyle w:val="FootnoteReference"/>
        </w:rPr>
        <w:footnoteRef/>
      </w:r>
      <w:r>
        <w:t xml:space="preserve"> </w:t>
      </w:r>
      <w:hyperlink r:id="rId1" w:history="1">
        <w:r w:rsidRPr="00DA5087">
          <w:rPr>
            <w:rStyle w:val="Hyperlink"/>
          </w:rPr>
          <w:t>https://</w:t>
        </w:r>
        <w:proofErr w:type="spellStart"/>
        <w:r w:rsidRPr="00DA5087">
          <w:rPr>
            <w:rStyle w:val="Hyperlink"/>
          </w:rPr>
          <w:t>rd-alliance.org</w:t>
        </w:r>
        <w:proofErr w:type="spellEnd"/>
        <w:r w:rsidRPr="00DA5087">
          <w:rPr>
            <w:rStyle w:val="Hyperlink"/>
          </w:rPr>
          <w:t>/groups/practical-policy-</w:t>
        </w:r>
        <w:proofErr w:type="spellStart"/>
        <w:r w:rsidRPr="00DA5087">
          <w:rPr>
            <w:rStyle w:val="Hyperlink"/>
          </w:rPr>
          <w:t>wg.html</w:t>
        </w:r>
        <w:proofErr w:type="spellEnd"/>
      </w:hyperlink>
      <w:r>
        <w:t xml:space="preserve"> </w:t>
      </w:r>
    </w:p>
  </w:footnote>
  <w:footnote w:id="9">
    <w:p w:rsidR="009B3B53" w:rsidRPr="00752218" w:rsidRDefault="009B3B53">
      <w:pPr>
        <w:pStyle w:val="FootnoteText"/>
      </w:pPr>
      <w:r>
        <w:rPr>
          <w:rStyle w:val="FootnoteReference"/>
        </w:rPr>
        <w:footnoteRef/>
      </w:r>
      <w:r>
        <w:t xml:space="preserve"> </w:t>
      </w:r>
      <w:hyperlink r:id="rId2" w:history="1">
        <w:r w:rsidR="00752218" w:rsidRPr="00DA5087">
          <w:rPr>
            <w:rStyle w:val="Hyperlink"/>
          </w:rPr>
          <w:t>https://</w:t>
        </w:r>
        <w:proofErr w:type="spellStart"/>
        <w:r w:rsidR="00752218" w:rsidRPr="00DA5087">
          <w:rPr>
            <w:rStyle w:val="Hyperlink"/>
          </w:rPr>
          <w:t>www.rd-alliance.org</w:t>
        </w:r>
        <w:proofErr w:type="spellEnd"/>
        <w:r w:rsidR="00752218" w:rsidRPr="00DA5087">
          <w:rPr>
            <w:rStyle w:val="Hyperlink"/>
          </w:rPr>
          <w:t>/group/data-fabric-</w:t>
        </w:r>
        <w:proofErr w:type="spellStart"/>
        <w:r w:rsidR="00752218" w:rsidRPr="00DA5087">
          <w:rPr>
            <w:rStyle w:val="Hyperlink"/>
          </w:rPr>
          <w:t>ig.html</w:t>
        </w:r>
        <w:proofErr w:type="spellEnd"/>
      </w:hyperlink>
      <w:r w:rsidR="00752218">
        <w:t xml:space="preserve"> </w:t>
      </w:r>
    </w:p>
  </w:footnote>
  <w:footnote w:id="10">
    <w:p w:rsidR="00752218" w:rsidRPr="00752218" w:rsidRDefault="00752218" w:rsidP="00752218">
      <w:pPr>
        <w:autoSpaceDE w:val="0"/>
        <w:autoSpaceDN w:val="0"/>
        <w:adjustRightInd w:val="0"/>
        <w:spacing w:after="0" w:line="240" w:lineRule="auto"/>
        <w:rPr>
          <w:color w:val="000000"/>
          <w:sz w:val="20"/>
          <w:szCs w:val="20"/>
        </w:rPr>
      </w:pPr>
      <w:r w:rsidRPr="00752218">
        <w:rPr>
          <w:rStyle w:val="FootnoteReference"/>
          <w:sz w:val="20"/>
          <w:szCs w:val="20"/>
        </w:rPr>
        <w:footnoteRef/>
      </w:r>
      <w:r w:rsidRPr="00752218">
        <w:rPr>
          <w:sz w:val="20"/>
          <w:szCs w:val="20"/>
        </w:rPr>
        <w:t xml:space="preserve"> </w:t>
      </w:r>
      <w:r w:rsidRPr="00752218">
        <w:rPr>
          <w:color w:val="000000"/>
          <w:sz w:val="20"/>
          <w:szCs w:val="20"/>
        </w:rPr>
        <w:t>Digital Objects as Drivers towards Convergence in Data Infrastructures</w:t>
      </w:r>
      <w:r>
        <w:rPr>
          <w:color w:val="000000"/>
          <w:sz w:val="20"/>
          <w:szCs w:val="20"/>
        </w:rPr>
        <w:t xml:space="preserve">; </w:t>
      </w:r>
      <w:hyperlink r:id="rId3" w:history="1">
        <w:r w:rsidRPr="00752218">
          <w:rPr>
            <w:color w:val="000000"/>
            <w:sz w:val="20"/>
            <w:szCs w:val="20"/>
          </w:rPr>
          <w:t>http://</w:t>
        </w:r>
        <w:proofErr w:type="spellStart"/>
        <w:r w:rsidRPr="00752218">
          <w:rPr>
            <w:color w:val="000000"/>
            <w:sz w:val="20"/>
            <w:szCs w:val="20"/>
          </w:rPr>
          <w:t>doi.org</w:t>
        </w:r>
        <w:proofErr w:type="spellEnd"/>
        <w:r w:rsidRPr="00752218">
          <w:rPr>
            <w:color w:val="000000"/>
            <w:sz w:val="20"/>
            <w:szCs w:val="20"/>
          </w:rPr>
          <w:t>/10.23728/</w:t>
        </w:r>
        <w:proofErr w:type="spellStart"/>
        <w:r w:rsidRPr="00752218">
          <w:rPr>
            <w:color w:val="000000"/>
            <w:sz w:val="20"/>
            <w:szCs w:val="20"/>
          </w:rPr>
          <w:t>b2share.b605d85809ca45679b110719b6c6cb11</w:t>
        </w:r>
        <w:proofErr w:type="spellEnd"/>
      </w:hyperlink>
      <w:r>
        <w:rPr>
          <w:color w:val="000000"/>
          <w:sz w:val="20"/>
          <w:szCs w:val="20"/>
        </w:rPr>
        <w:t xml:space="preserve"> </w:t>
      </w:r>
    </w:p>
  </w:footnote>
  <w:footnote w:id="11">
    <w:p w:rsidR="00752218" w:rsidRPr="00752218" w:rsidRDefault="00752218">
      <w:pPr>
        <w:pStyle w:val="FootnoteText"/>
      </w:pPr>
      <w:r>
        <w:rPr>
          <w:rStyle w:val="FootnoteReference"/>
        </w:rPr>
        <w:footnoteRef/>
      </w:r>
      <w:r>
        <w:t xml:space="preserve"> </w:t>
      </w:r>
      <w:hyperlink r:id="rId4" w:history="1">
        <w:r w:rsidRPr="00DA5087">
          <w:rPr>
            <w:rStyle w:val="Hyperlink"/>
          </w:rPr>
          <w:t>https://www.rd-alliance.org/group/data-type-registries-wg/outcomes/data-type-registries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11872"/>
    <w:multiLevelType w:val="multilevel"/>
    <w:tmpl w:val="195081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64E862C4"/>
    <w:multiLevelType w:val="multilevel"/>
    <w:tmpl w:val="9814D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35AA"/>
    <w:rsid w:val="00095FF6"/>
    <w:rsid w:val="00235188"/>
    <w:rsid w:val="00542611"/>
    <w:rsid w:val="0054444C"/>
    <w:rsid w:val="00752218"/>
    <w:rsid w:val="007C6B53"/>
    <w:rsid w:val="008B3FD1"/>
    <w:rsid w:val="009B3B53"/>
    <w:rsid w:val="00ED2636"/>
    <w:rsid w:val="00ED35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188"/>
    <w:rPr>
      <w:rFonts w:ascii="Tahoma" w:hAnsi="Tahoma" w:cs="Tahoma"/>
      <w:sz w:val="16"/>
      <w:szCs w:val="16"/>
    </w:rPr>
  </w:style>
  <w:style w:type="paragraph" w:styleId="NoSpacing">
    <w:name w:val="No Spacing"/>
    <w:uiPriority w:val="1"/>
    <w:qFormat/>
    <w:rsid w:val="00235188"/>
    <w:pPr>
      <w:spacing w:after="0" w:line="240" w:lineRule="auto"/>
    </w:pPr>
  </w:style>
  <w:style w:type="paragraph" w:styleId="FootnoteText">
    <w:name w:val="footnote text"/>
    <w:basedOn w:val="Normal"/>
    <w:link w:val="FootnoteTextChar"/>
    <w:uiPriority w:val="99"/>
    <w:semiHidden/>
    <w:unhideWhenUsed/>
    <w:rsid w:val="005426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2611"/>
    <w:rPr>
      <w:sz w:val="20"/>
      <w:szCs w:val="20"/>
    </w:rPr>
  </w:style>
  <w:style w:type="character" w:styleId="FootnoteReference">
    <w:name w:val="footnote reference"/>
    <w:basedOn w:val="DefaultParagraphFont"/>
    <w:uiPriority w:val="99"/>
    <w:semiHidden/>
    <w:unhideWhenUsed/>
    <w:rsid w:val="00542611"/>
    <w:rPr>
      <w:vertAlign w:val="superscript"/>
    </w:rPr>
  </w:style>
  <w:style w:type="character" w:styleId="Hyperlink">
    <w:name w:val="Hyperlink"/>
    <w:basedOn w:val="DefaultParagraphFont"/>
    <w:uiPriority w:val="99"/>
    <w:unhideWhenUsed/>
    <w:rsid w:val="009B3B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188"/>
    <w:rPr>
      <w:rFonts w:ascii="Tahoma" w:hAnsi="Tahoma" w:cs="Tahoma"/>
      <w:sz w:val="16"/>
      <w:szCs w:val="16"/>
    </w:rPr>
  </w:style>
  <w:style w:type="paragraph" w:styleId="NoSpacing">
    <w:name w:val="No Spacing"/>
    <w:uiPriority w:val="1"/>
    <w:qFormat/>
    <w:rsid w:val="00235188"/>
    <w:pPr>
      <w:spacing w:after="0" w:line="240" w:lineRule="auto"/>
    </w:pPr>
  </w:style>
  <w:style w:type="paragraph" w:styleId="FootnoteText">
    <w:name w:val="footnote text"/>
    <w:basedOn w:val="Normal"/>
    <w:link w:val="FootnoteTextChar"/>
    <w:uiPriority w:val="99"/>
    <w:semiHidden/>
    <w:unhideWhenUsed/>
    <w:rsid w:val="005426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2611"/>
    <w:rPr>
      <w:sz w:val="20"/>
      <w:szCs w:val="20"/>
    </w:rPr>
  </w:style>
  <w:style w:type="character" w:styleId="FootnoteReference">
    <w:name w:val="footnote reference"/>
    <w:basedOn w:val="DefaultParagraphFont"/>
    <w:uiPriority w:val="99"/>
    <w:semiHidden/>
    <w:unhideWhenUsed/>
    <w:rsid w:val="00542611"/>
    <w:rPr>
      <w:vertAlign w:val="superscript"/>
    </w:rPr>
  </w:style>
  <w:style w:type="character" w:styleId="Hyperlink">
    <w:name w:val="Hyperlink"/>
    <w:basedOn w:val="DefaultParagraphFont"/>
    <w:uiPriority w:val="99"/>
    <w:unhideWhenUsed/>
    <w:rsid w:val="009B3B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oi.org/10.23728/b2share.b605d85809ca45679b110719b6c6cb11" TargetMode="External"/><Relationship Id="rId2" Type="http://schemas.openxmlformats.org/officeDocument/2006/relationships/hyperlink" Target="https://www.rd-alliance.org/group/data-fabric-ig.html" TargetMode="External"/><Relationship Id="rId1" Type="http://schemas.openxmlformats.org/officeDocument/2006/relationships/hyperlink" Target="https://rd-alliance.org/groups/practical-policy-wg.html" TargetMode="External"/><Relationship Id="rId4" Type="http://schemas.openxmlformats.org/officeDocument/2006/relationships/hyperlink" Target="https://www.rd-alliance.org/group/data-type-registries-wg/outcomes/data-type-regis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574AF-5418-4C6E-BF75-0D36F473A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cp:revision>
  <dcterms:created xsi:type="dcterms:W3CDTF">2019-02-13T16:32:00Z</dcterms:created>
  <dcterms:modified xsi:type="dcterms:W3CDTF">2019-02-14T08:09:00Z</dcterms:modified>
</cp:coreProperties>
</file>