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CE3" w:rsidRDefault="0077383F" w:rsidP="0077383F">
      <w:pPr>
        <w:pStyle w:val="Title"/>
      </w:pPr>
      <w:r>
        <w:t>GEDE - EOSC Core Group</w:t>
      </w:r>
    </w:p>
    <w:p w:rsidR="0077383F" w:rsidRDefault="0077383F" w:rsidP="0077383F">
      <w:pPr>
        <w:pStyle w:val="NoSpacing"/>
        <w:jc w:val="both"/>
      </w:pPr>
      <w:r>
        <w:t>Carlo, Peter</w:t>
      </w:r>
    </w:p>
    <w:p w:rsidR="0077383F" w:rsidRDefault="0077383F" w:rsidP="0077383F">
      <w:pPr>
        <w:pStyle w:val="NoSpacing"/>
        <w:jc w:val="both"/>
      </w:pPr>
    </w:p>
    <w:p w:rsidR="0077383F" w:rsidRDefault="0077383F" w:rsidP="0077383F">
      <w:pPr>
        <w:pStyle w:val="NoSpacing"/>
        <w:jc w:val="both"/>
      </w:pPr>
      <w:r>
        <w:t>Let's state very clearly</w:t>
      </w:r>
      <w:r w:rsidR="007D14BE">
        <w:t xml:space="preserve"> again,</w:t>
      </w:r>
      <w:r>
        <w:t xml:space="preserve"> as it was mentioned during the</w:t>
      </w:r>
      <w:r w:rsidR="007D14BE">
        <w:t xml:space="preserve"> virtual</w:t>
      </w:r>
      <w:r>
        <w:t xml:space="preserve"> meeting</w:t>
      </w:r>
      <w:r w:rsidR="007D14BE">
        <w:t>,</w:t>
      </w:r>
      <w:r>
        <w:t xml:space="preserve"> to prevent misunderstandings: </w:t>
      </w:r>
    </w:p>
    <w:p w:rsidR="0077383F" w:rsidRPr="0077383F" w:rsidRDefault="0077383F" w:rsidP="0077383F">
      <w:pPr>
        <w:pStyle w:val="NoSpacing"/>
        <w:jc w:val="both"/>
        <w:rPr>
          <w:b/>
          <w:i/>
        </w:rPr>
      </w:pPr>
      <w:r w:rsidRPr="0077383F">
        <w:rPr>
          <w:b/>
          <w:i/>
        </w:rPr>
        <w:t>GEDE will not coordinate the ESFRIs/ERICs in their way interacting with the EOSC process, but we see a chance to use the GEDE umbrella to coordinate some actions of experts interested in specific topics.</w:t>
      </w:r>
      <w:r>
        <w:rPr>
          <w:b/>
          <w:i/>
        </w:rPr>
        <w:t xml:space="preserve"> The Core Group will act in this coordinating role.</w:t>
      </w:r>
    </w:p>
    <w:p w:rsidR="0077383F" w:rsidRDefault="00790762" w:rsidP="00790762">
      <w:pPr>
        <w:pStyle w:val="Heading2"/>
      </w:pPr>
      <w:r>
        <w:t>Task of the Core Group</w:t>
      </w:r>
    </w:p>
    <w:p w:rsidR="0077383F" w:rsidRDefault="0077383F" w:rsidP="0077383F">
      <w:pPr>
        <w:pStyle w:val="NoSpacing"/>
        <w:numPr>
          <w:ilvl w:val="0"/>
          <w:numId w:val="4"/>
        </w:numPr>
      </w:pPr>
      <w:r>
        <w:t>identify typical topics where GEDE can become active (and where not)</w:t>
      </w:r>
    </w:p>
    <w:p w:rsidR="0077383F" w:rsidRDefault="0077383F" w:rsidP="0077383F">
      <w:pPr>
        <w:pStyle w:val="NoSpacing"/>
        <w:numPr>
          <w:ilvl w:val="0"/>
          <w:numId w:val="4"/>
        </w:numPr>
      </w:pPr>
      <w:r>
        <w:t>identify a short list without excluding topics in the strict sense</w:t>
      </w:r>
    </w:p>
    <w:p w:rsidR="0077383F" w:rsidRDefault="0077383F" w:rsidP="0077383F">
      <w:pPr>
        <w:pStyle w:val="NoSpacing"/>
        <w:numPr>
          <w:ilvl w:val="0"/>
          <w:numId w:val="4"/>
        </w:numPr>
      </w:pPr>
      <w:r>
        <w:t>identify care</w:t>
      </w:r>
      <w:r w:rsidR="007D14BE">
        <w:t>-</w:t>
      </w:r>
      <w:r>
        <w:t>takers that take responsibility</w:t>
      </w:r>
    </w:p>
    <w:p w:rsidR="0077383F" w:rsidRDefault="0077383F" w:rsidP="0077383F">
      <w:pPr>
        <w:pStyle w:val="NoSpacing"/>
        <w:numPr>
          <w:ilvl w:val="0"/>
          <w:numId w:val="4"/>
        </w:numPr>
      </w:pPr>
      <w:r>
        <w:t xml:space="preserve">interact </w:t>
      </w:r>
      <w:r w:rsidR="0005424F">
        <w:t xml:space="preserve">with the </w:t>
      </w:r>
      <w:proofErr w:type="spellStart"/>
      <w:r w:rsidR="0005424F">
        <w:t>EOSC</w:t>
      </w:r>
      <w:proofErr w:type="spellEnd"/>
      <w:r w:rsidR="0005424F">
        <w:t xml:space="preserve"> Sec project </w:t>
      </w:r>
      <w:r w:rsidR="00790762">
        <w:t>about modalities etc.</w:t>
      </w:r>
      <w:r w:rsidR="0005424F">
        <w:rPr>
          <w:rStyle w:val="FootnoteReference"/>
        </w:rPr>
        <w:footnoteReference w:id="1"/>
      </w:r>
    </w:p>
    <w:p w:rsidR="00790762" w:rsidRDefault="00790762" w:rsidP="0077383F">
      <w:pPr>
        <w:pStyle w:val="NoSpacing"/>
        <w:numPr>
          <w:ilvl w:val="0"/>
          <w:numId w:val="4"/>
        </w:numPr>
      </w:pPr>
      <w:r>
        <w:t>helping to get the funding requests done</w:t>
      </w:r>
    </w:p>
    <w:p w:rsidR="0077383F" w:rsidRDefault="00790762" w:rsidP="00790762">
      <w:pPr>
        <w:pStyle w:val="Heading2"/>
      </w:pPr>
      <w:r>
        <w:t>List of possible Topics</w:t>
      </w:r>
    </w:p>
    <w:p w:rsidR="00790762" w:rsidRDefault="00790762" w:rsidP="0077383F">
      <w:pPr>
        <w:pStyle w:val="NoSpacing"/>
      </w:pPr>
      <w:r>
        <w:t>A number of topics were mentioned which are listed here. These lists are not exclusive, but contain already many suggestions requiring an evaluation and rating.</w:t>
      </w:r>
    </w:p>
    <w:p w:rsidR="0077383F" w:rsidRPr="0077383F" w:rsidRDefault="0077383F" w:rsidP="00790762">
      <w:pPr>
        <w:pStyle w:val="Heading3"/>
      </w:pPr>
      <w:r w:rsidRPr="0077383F">
        <w:t>From the Co-Chairs' list:</w:t>
      </w:r>
    </w:p>
    <w:p w:rsidR="00D03D0E" w:rsidRPr="0077383F" w:rsidRDefault="007D14BE" w:rsidP="0070273F">
      <w:pPr>
        <w:pStyle w:val="NoSpacing"/>
        <w:numPr>
          <w:ilvl w:val="0"/>
          <w:numId w:val="6"/>
        </w:numPr>
      </w:pPr>
      <w:r w:rsidRPr="0077383F">
        <w:t xml:space="preserve">analysing the actual </w:t>
      </w:r>
      <w:r w:rsidR="0070273F">
        <w:t>technologies being used</w:t>
      </w:r>
      <w:r w:rsidRPr="0077383F">
        <w:t xml:space="preserve"> </w:t>
      </w:r>
      <w:r w:rsidR="0070273F">
        <w:t>by</w:t>
      </w:r>
      <w:r w:rsidRPr="0077383F">
        <w:t xml:space="preserve"> research infrastructures integrating RDA use cases and others</w:t>
      </w:r>
      <w:r w:rsidR="0070273F">
        <w:t xml:space="preserve"> (Technology Matrix), </w:t>
      </w:r>
      <w:r w:rsidRPr="0077383F">
        <w:t>identifying so called common infrastructure components and abstracting from their individual flavours</w:t>
      </w:r>
      <w:r w:rsidR="0070273F">
        <w:t xml:space="preserve"> and </w:t>
      </w:r>
      <w:r w:rsidRPr="0077383F">
        <w:t>describe their characteristics and interfaces using also knowledge from RDA groups, stimulating new RDA groups, etc.</w:t>
      </w:r>
    </w:p>
    <w:p w:rsidR="00D03D0E" w:rsidRPr="0077383F" w:rsidRDefault="007D14BE" w:rsidP="0070273F">
      <w:pPr>
        <w:pStyle w:val="NoSpacing"/>
        <w:numPr>
          <w:ilvl w:val="0"/>
          <w:numId w:val="6"/>
        </w:numPr>
      </w:pPr>
      <w:r w:rsidRPr="0077383F">
        <w:t>relate the outcome of specifications of reference architectures with work done within RIs etc.</w:t>
      </w:r>
    </w:p>
    <w:p w:rsidR="00D03D0E" w:rsidRPr="0077383F" w:rsidRDefault="007D14BE" w:rsidP="0070273F">
      <w:pPr>
        <w:pStyle w:val="NoSpacing"/>
        <w:numPr>
          <w:ilvl w:val="0"/>
          <w:numId w:val="6"/>
        </w:numPr>
      </w:pPr>
      <w:r w:rsidRPr="0077383F">
        <w:t>continue the intensive work on FAIR Digital Objects  &amp; continue the work by addressing other specific topics of interest</w:t>
      </w:r>
    </w:p>
    <w:p w:rsidR="0077383F" w:rsidRPr="0077383F" w:rsidRDefault="007D14BE" w:rsidP="0070273F">
      <w:pPr>
        <w:pStyle w:val="NoSpacing"/>
        <w:numPr>
          <w:ilvl w:val="0"/>
          <w:numId w:val="6"/>
        </w:numPr>
      </w:pPr>
      <w:r w:rsidRPr="0077383F">
        <w:t>organising surveys related to EOSC based on questionnaires &amp; analysing the outcome of these surveys</w:t>
      </w:r>
      <w:r w:rsidR="00790762">
        <w:t xml:space="preserve"> </w:t>
      </w:r>
      <w:r w:rsidR="0077383F" w:rsidRPr="0077383F">
        <w:t xml:space="preserve">(current </w:t>
      </w:r>
      <w:r w:rsidR="00790762">
        <w:t xml:space="preserve">"Technology matrix" </w:t>
      </w:r>
      <w:r w:rsidR="0077383F" w:rsidRPr="0077383F">
        <w:t xml:space="preserve">questionnaire &amp; doc is </w:t>
      </w:r>
      <w:r w:rsidR="0070273F">
        <w:t>just one</w:t>
      </w:r>
      <w:r w:rsidR="0077383F" w:rsidRPr="0077383F">
        <w:t xml:space="preserve"> example</w:t>
      </w:r>
      <w:r w:rsidR="0070273F">
        <w:t>, could be others</w:t>
      </w:r>
      <w:r w:rsidR="0077383F" w:rsidRPr="0077383F">
        <w:t>)</w:t>
      </w:r>
    </w:p>
    <w:p w:rsidR="0077383F" w:rsidRDefault="007D14BE" w:rsidP="0070273F">
      <w:pPr>
        <w:pStyle w:val="NoSpacing"/>
        <w:numPr>
          <w:ilvl w:val="0"/>
          <w:numId w:val="6"/>
        </w:numPr>
      </w:pPr>
      <w:r w:rsidRPr="0077383F">
        <w:t xml:space="preserve">organising webinars and workshops on topics related to EOSC </w:t>
      </w:r>
    </w:p>
    <w:p w:rsidR="0077383F" w:rsidRDefault="0077383F" w:rsidP="00790762">
      <w:pPr>
        <w:pStyle w:val="Heading3"/>
      </w:pPr>
      <w:r w:rsidRPr="0077383F">
        <w:t xml:space="preserve">Bert </w:t>
      </w:r>
      <w:proofErr w:type="spellStart"/>
      <w:r w:rsidRPr="0077383F">
        <w:t>Meerman's</w:t>
      </w:r>
      <w:proofErr w:type="spellEnd"/>
      <w:r w:rsidRPr="0077383F">
        <w:t xml:space="preserve"> list</w:t>
      </w:r>
      <w:r>
        <w:t xml:space="preserve"> (from what he assumes about GEDE)</w:t>
      </w:r>
    </w:p>
    <w:p w:rsidR="00D03D0E" w:rsidRPr="00B32B1E" w:rsidRDefault="007D14BE" w:rsidP="0070273F">
      <w:pPr>
        <w:pStyle w:val="NoSpacing"/>
        <w:numPr>
          <w:ilvl w:val="0"/>
          <w:numId w:val="7"/>
        </w:numPr>
      </w:pPr>
      <w:r w:rsidRPr="00B32B1E">
        <w:rPr>
          <w:iCs/>
          <w:lang w:val="en-US"/>
        </w:rPr>
        <w:t>PID Service  ( Handle / DOI’s)</w:t>
      </w:r>
    </w:p>
    <w:p w:rsidR="00D03D0E" w:rsidRPr="00B32B1E" w:rsidRDefault="007D14BE" w:rsidP="0070273F">
      <w:pPr>
        <w:pStyle w:val="NoSpacing"/>
        <w:numPr>
          <w:ilvl w:val="0"/>
          <w:numId w:val="7"/>
        </w:numPr>
      </w:pPr>
      <w:proofErr w:type="spellStart"/>
      <w:r w:rsidRPr="00B32B1E">
        <w:rPr>
          <w:iCs/>
          <w:lang w:val="en-US"/>
        </w:rPr>
        <w:t>EduGain</w:t>
      </w:r>
      <w:proofErr w:type="spellEnd"/>
      <w:r w:rsidRPr="00B32B1E">
        <w:rPr>
          <w:iCs/>
          <w:lang w:val="en-US"/>
        </w:rPr>
        <w:t xml:space="preserve"> service extension</w:t>
      </w:r>
    </w:p>
    <w:p w:rsidR="00D03D0E" w:rsidRPr="00B32B1E" w:rsidRDefault="007D14BE" w:rsidP="0070273F">
      <w:pPr>
        <w:pStyle w:val="NoSpacing"/>
        <w:numPr>
          <w:ilvl w:val="0"/>
          <w:numId w:val="7"/>
        </w:numPr>
      </w:pPr>
      <w:r w:rsidRPr="00B32B1E">
        <w:rPr>
          <w:iCs/>
          <w:lang w:val="en-US"/>
        </w:rPr>
        <w:t>D</w:t>
      </w:r>
      <w:r w:rsidR="00790762" w:rsidRPr="00B32B1E">
        <w:rPr>
          <w:iCs/>
          <w:lang w:val="en-US"/>
        </w:rPr>
        <w:t>igital Object model  -  FAIR DO</w:t>
      </w:r>
    </w:p>
    <w:p w:rsidR="00D03D0E" w:rsidRPr="00B32B1E" w:rsidRDefault="007D14BE" w:rsidP="0070273F">
      <w:pPr>
        <w:pStyle w:val="NoSpacing"/>
        <w:numPr>
          <w:ilvl w:val="0"/>
          <w:numId w:val="7"/>
        </w:numPr>
      </w:pPr>
      <w:r w:rsidRPr="00B32B1E">
        <w:rPr>
          <w:iCs/>
          <w:lang w:val="en-US"/>
        </w:rPr>
        <w:t>Semantic Mapping exercise</w:t>
      </w:r>
    </w:p>
    <w:p w:rsidR="00D03D0E" w:rsidRPr="00B32B1E" w:rsidRDefault="007D14BE" w:rsidP="0070273F">
      <w:pPr>
        <w:pStyle w:val="NoSpacing"/>
        <w:numPr>
          <w:ilvl w:val="0"/>
          <w:numId w:val="7"/>
        </w:numPr>
      </w:pPr>
      <w:r w:rsidRPr="00B32B1E">
        <w:rPr>
          <w:iCs/>
          <w:lang w:val="en-US"/>
        </w:rPr>
        <w:t>GDPR implications for data-exchange</w:t>
      </w:r>
    </w:p>
    <w:p w:rsidR="0077383F" w:rsidRPr="00B32B1E" w:rsidRDefault="007D14BE" w:rsidP="0070273F">
      <w:pPr>
        <w:pStyle w:val="NoSpacing"/>
        <w:numPr>
          <w:ilvl w:val="0"/>
          <w:numId w:val="7"/>
        </w:numPr>
      </w:pPr>
      <w:r w:rsidRPr="00B32B1E">
        <w:rPr>
          <w:iCs/>
          <w:lang w:val="en-US"/>
        </w:rPr>
        <w:t>Research Workflow Automation use case or pilot.</w:t>
      </w:r>
    </w:p>
    <w:p w:rsidR="0077383F" w:rsidRPr="00790762" w:rsidRDefault="00F2439F" w:rsidP="00790762">
      <w:pPr>
        <w:pStyle w:val="Heading3"/>
      </w:pPr>
      <w:r>
        <w:t>Topics mentioned in the interactions and the VM</w:t>
      </w:r>
    </w:p>
    <w:p w:rsidR="00790762" w:rsidRDefault="00790762" w:rsidP="00790762">
      <w:pPr>
        <w:pStyle w:val="NoSpacing"/>
        <w:numPr>
          <w:ilvl w:val="0"/>
          <w:numId w:val="5"/>
        </w:numPr>
      </w:pPr>
      <w:r>
        <w:t>policy knowledge aggregation and abstraction</w:t>
      </w:r>
    </w:p>
    <w:p w:rsidR="00790762" w:rsidRDefault="00790762" w:rsidP="00790762">
      <w:pPr>
        <w:pStyle w:val="NoSpacing"/>
        <w:numPr>
          <w:ilvl w:val="0"/>
          <w:numId w:val="5"/>
        </w:numPr>
      </w:pPr>
      <w:r>
        <w:t xml:space="preserve">Sensitive data - GDPR </w:t>
      </w:r>
    </w:p>
    <w:p w:rsidR="00F2439F" w:rsidRDefault="00F2439F" w:rsidP="00790762">
      <w:pPr>
        <w:pStyle w:val="NoSpacing"/>
        <w:numPr>
          <w:ilvl w:val="0"/>
          <w:numId w:val="5"/>
        </w:numPr>
      </w:pPr>
      <w:r>
        <w:t>Repository Setups</w:t>
      </w:r>
    </w:p>
    <w:p w:rsidR="00790762" w:rsidRDefault="00790762">
      <w:pPr>
        <w:sectPr w:rsidR="00790762">
          <w:pgSz w:w="11906" w:h="16838"/>
          <w:pgMar w:top="1417" w:right="1417" w:bottom="1134" w:left="1417" w:header="708" w:footer="708" w:gutter="0"/>
          <w:cols w:space="708"/>
          <w:docGrid w:linePitch="360"/>
        </w:sectPr>
      </w:pPr>
      <w:r>
        <w:br w:type="page"/>
      </w:r>
    </w:p>
    <w:p w:rsidR="00790762" w:rsidRDefault="00790762" w:rsidP="00790762">
      <w:pPr>
        <w:pStyle w:val="Heading2"/>
      </w:pPr>
      <w:r>
        <w:lastRenderedPageBreak/>
        <w:t>Evaluation Matrix</w:t>
      </w:r>
    </w:p>
    <w:p w:rsidR="00790762" w:rsidRDefault="00790762" w:rsidP="0077383F">
      <w:pPr>
        <w:pStyle w:val="NoSpacing"/>
      </w:pPr>
      <w:r>
        <w:t xml:space="preserve">Here we comment on all suggestions with the goal to come to a first evaluation. </w:t>
      </w:r>
      <w:r w:rsidR="00E33655">
        <w:t>Effort is categorised in days (D), weeks (W) and months (M). EOSC Relevance is categorised in low (L), medium (M) and High (H).</w:t>
      </w:r>
    </w:p>
    <w:p w:rsidR="00790762" w:rsidRDefault="00790762" w:rsidP="0077383F">
      <w:pPr>
        <w:pStyle w:val="NoSpacing"/>
      </w:pPr>
    </w:p>
    <w:tbl>
      <w:tblPr>
        <w:tblStyle w:val="TableGrid"/>
        <w:tblW w:w="0" w:type="auto"/>
        <w:tblLayout w:type="fixed"/>
        <w:tblLook w:val="04A0" w:firstRow="1" w:lastRow="0" w:firstColumn="1" w:lastColumn="0" w:noHBand="0" w:noVBand="1"/>
      </w:tblPr>
      <w:tblGrid>
        <w:gridCol w:w="3510"/>
        <w:gridCol w:w="2604"/>
        <w:gridCol w:w="798"/>
        <w:gridCol w:w="1154"/>
        <w:gridCol w:w="1114"/>
        <w:gridCol w:w="1134"/>
        <w:gridCol w:w="4189"/>
      </w:tblGrid>
      <w:tr w:rsidR="00D64876" w:rsidTr="00D64876">
        <w:tc>
          <w:tcPr>
            <w:tcW w:w="3510" w:type="dxa"/>
            <w:shd w:val="clear" w:color="auto" w:fill="D9D9D9" w:themeFill="background1" w:themeFillShade="D9"/>
            <w:vAlign w:val="center"/>
          </w:tcPr>
          <w:p w:rsidR="00D64876" w:rsidRDefault="00D64876" w:rsidP="0070273F">
            <w:pPr>
              <w:pStyle w:val="NoSpacing"/>
            </w:pPr>
            <w:r>
              <w:t>Topic</w:t>
            </w:r>
          </w:p>
        </w:tc>
        <w:tc>
          <w:tcPr>
            <w:tcW w:w="2604" w:type="dxa"/>
            <w:shd w:val="clear" w:color="auto" w:fill="D9D9D9" w:themeFill="background1" w:themeFillShade="D9"/>
            <w:vAlign w:val="center"/>
          </w:tcPr>
          <w:p w:rsidR="00D64876" w:rsidRDefault="00D64876" w:rsidP="00E33655">
            <w:pPr>
              <w:pStyle w:val="NoSpacing"/>
              <w:jc w:val="center"/>
            </w:pPr>
            <w:r>
              <w:t>State</w:t>
            </w:r>
          </w:p>
        </w:tc>
        <w:tc>
          <w:tcPr>
            <w:tcW w:w="798" w:type="dxa"/>
            <w:shd w:val="clear" w:color="auto" w:fill="D9D9D9" w:themeFill="background1" w:themeFillShade="D9"/>
            <w:vAlign w:val="center"/>
          </w:tcPr>
          <w:p w:rsidR="00D64876" w:rsidRDefault="00D64876" w:rsidP="00D64876">
            <w:pPr>
              <w:pStyle w:val="NoSpacing"/>
              <w:jc w:val="center"/>
            </w:pPr>
            <w:r>
              <w:t>RDA Group</w:t>
            </w:r>
          </w:p>
        </w:tc>
        <w:tc>
          <w:tcPr>
            <w:tcW w:w="1154" w:type="dxa"/>
            <w:shd w:val="clear" w:color="auto" w:fill="D9D9D9" w:themeFill="background1" w:themeFillShade="D9"/>
            <w:vAlign w:val="center"/>
          </w:tcPr>
          <w:p w:rsidR="00D64876" w:rsidRDefault="00D64876" w:rsidP="0070273F">
            <w:pPr>
              <w:pStyle w:val="NoSpacing"/>
              <w:jc w:val="center"/>
            </w:pPr>
            <w:r>
              <w:t>Effort</w:t>
            </w:r>
          </w:p>
        </w:tc>
        <w:tc>
          <w:tcPr>
            <w:tcW w:w="1114" w:type="dxa"/>
            <w:shd w:val="clear" w:color="auto" w:fill="D9D9D9" w:themeFill="background1" w:themeFillShade="D9"/>
            <w:vAlign w:val="center"/>
          </w:tcPr>
          <w:p w:rsidR="00D64876" w:rsidRDefault="00D64876" w:rsidP="00E33655">
            <w:pPr>
              <w:pStyle w:val="NoSpacing"/>
              <w:jc w:val="center"/>
            </w:pPr>
            <w:r>
              <w:t>Care Takers</w:t>
            </w:r>
          </w:p>
        </w:tc>
        <w:tc>
          <w:tcPr>
            <w:tcW w:w="1134" w:type="dxa"/>
            <w:shd w:val="clear" w:color="auto" w:fill="D9D9D9" w:themeFill="background1" w:themeFillShade="D9"/>
            <w:vAlign w:val="center"/>
          </w:tcPr>
          <w:p w:rsidR="00D64876" w:rsidRDefault="00D64876" w:rsidP="0070273F">
            <w:pPr>
              <w:pStyle w:val="NoSpacing"/>
              <w:jc w:val="center"/>
            </w:pPr>
            <w:r>
              <w:t>EOSC Relevance</w:t>
            </w:r>
          </w:p>
        </w:tc>
        <w:tc>
          <w:tcPr>
            <w:tcW w:w="4189" w:type="dxa"/>
            <w:shd w:val="clear" w:color="auto" w:fill="D9D9D9" w:themeFill="background1" w:themeFillShade="D9"/>
            <w:vAlign w:val="center"/>
          </w:tcPr>
          <w:p w:rsidR="00D64876" w:rsidRDefault="00D64876" w:rsidP="0070273F">
            <w:pPr>
              <w:pStyle w:val="NoSpacing"/>
            </w:pPr>
            <w:r>
              <w:t>Comment</w:t>
            </w:r>
          </w:p>
        </w:tc>
      </w:tr>
      <w:tr w:rsidR="00D64876" w:rsidTr="00D64876">
        <w:tc>
          <w:tcPr>
            <w:tcW w:w="3510" w:type="dxa"/>
            <w:vAlign w:val="center"/>
          </w:tcPr>
          <w:p w:rsidR="00D64876" w:rsidRDefault="00D64876" w:rsidP="0070273F">
            <w:pPr>
              <w:pStyle w:val="NoSpacing"/>
            </w:pPr>
            <w:r>
              <w:t>Technology Matrix and Analysis</w:t>
            </w:r>
          </w:p>
        </w:tc>
        <w:tc>
          <w:tcPr>
            <w:tcW w:w="2604" w:type="dxa"/>
            <w:vAlign w:val="center"/>
          </w:tcPr>
          <w:p w:rsidR="00D64876" w:rsidRDefault="00D64876" w:rsidP="00E33655">
            <w:pPr>
              <w:pStyle w:val="NoSpacing"/>
              <w:jc w:val="center"/>
            </w:pPr>
            <w:r>
              <w:t>Questionnaire is ready, expect many reactions which requires effort for analysis</w:t>
            </w:r>
          </w:p>
        </w:tc>
        <w:tc>
          <w:tcPr>
            <w:tcW w:w="798" w:type="dxa"/>
            <w:vAlign w:val="center"/>
          </w:tcPr>
          <w:p w:rsidR="00D64876" w:rsidRDefault="00D64876" w:rsidP="00D64876">
            <w:pPr>
              <w:pStyle w:val="NoSpacing"/>
              <w:jc w:val="center"/>
            </w:pPr>
            <w:r>
              <w:t>N</w:t>
            </w:r>
          </w:p>
        </w:tc>
        <w:tc>
          <w:tcPr>
            <w:tcW w:w="1154" w:type="dxa"/>
            <w:vAlign w:val="center"/>
          </w:tcPr>
          <w:p w:rsidR="00D64876" w:rsidRDefault="00D64876" w:rsidP="0070273F">
            <w:pPr>
              <w:pStyle w:val="NoSpacing"/>
              <w:jc w:val="center"/>
            </w:pPr>
            <w:r>
              <w:t>W</w:t>
            </w:r>
          </w:p>
        </w:tc>
        <w:tc>
          <w:tcPr>
            <w:tcW w:w="1114" w:type="dxa"/>
            <w:vAlign w:val="center"/>
          </w:tcPr>
          <w:p w:rsidR="00D64876" w:rsidRDefault="00D64876" w:rsidP="00E33655">
            <w:pPr>
              <w:pStyle w:val="NoSpacing"/>
              <w:jc w:val="center"/>
            </w:pPr>
          </w:p>
        </w:tc>
        <w:tc>
          <w:tcPr>
            <w:tcW w:w="1134" w:type="dxa"/>
            <w:vAlign w:val="center"/>
          </w:tcPr>
          <w:p w:rsidR="00D64876" w:rsidRDefault="00D64876" w:rsidP="0070273F">
            <w:pPr>
              <w:pStyle w:val="NoSpacing"/>
              <w:jc w:val="center"/>
            </w:pPr>
            <w:r>
              <w:t>H</w:t>
            </w:r>
          </w:p>
        </w:tc>
        <w:tc>
          <w:tcPr>
            <w:tcW w:w="4189" w:type="dxa"/>
            <w:vAlign w:val="center"/>
          </w:tcPr>
          <w:p w:rsidR="00D64876" w:rsidRDefault="00D64876" w:rsidP="0070273F">
            <w:pPr>
              <w:pStyle w:val="NoSpacing"/>
            </w:pPr>
            <w:r>
              <w:t xml:space="preserve">There is the hope that some analysis can be done automatically using </w:t>
            </w:r>
            <w:proofErr w:type="spellStart"/>
            <w:r>
              <w:t>nano</w:t>
            </w:r>
            <w:proofErr w:type="spellEnd"/>
            <w:r>
              <w:t xml:space="preserve"> publications, but experience shows that we need human analysis</w:t>
            </w:r>
            <w:r w:rsidR="0005424F">
              <w:t>.</w:t>
            </w:r>
          </w:p>
        </w:tc>
      </w:tr>
      <w:tr w:rsidR="00D64876" w:rsidTr="00D64876">
        <w:tc>
          <w:tcPr>
            <w:tcW w:w="3510" w:type="dxa"/>
            <w:vAlign w:val="center"/>
          </w:tcPr>
          <w:p w:rsidR="00D64876" w:rsidRDefault="00D64876" w:rsidP="0070273F">
            <w:pPr>
              <w:pStyle w:val="NoSpacing"/>
            </w:pPr>
            <w:r>
              <w:t xml:space="preserve">Analysing Reference Architectures </w:t>
            </w:r>
          </w:p>
        </w:tc>
        <w:tc>
          <w:tcPr>
            <w:tcW w:w="2604" w:type="dxa"/>
            <w:vAlign w:val="center"/>
          </w:tcPr>
          <w:p w:rsidR="00D64876" w:rsidRDefault="00D64876" w:rsidP="00E33655">
            <w:pPr>
              <w:pStyle w:val="NoSpacing"/>
              <w:jc w:val="center"/>
            </w:pPr>
            <w:r>
              <w:t>In Industry etc. reference architectures have been developed, they should be analysed on their relevance for EOSC</w:t>
            </w:r>
          </w:p>
        </w:tc>
        <w:tc>
          <w:tcPr>
            <w:tcW w:w="798" w:type="dxa"/>
            <w:vAlign w:val="center"/>
          </w:tcPr>
          <w:p w:rsidR="00D64876" w:rsidRDefault="00D64876" w:rsidP="00D64876">
            <w:pPr>
              <w:pStyle w:val="NoSpacing"/>
              <w:jc w:val="center"/>
            </w:pPr>
            <w:r>
              <w:t>N</w:t>
            </w:r>
          </w:p>
        </w:tc>
        <w:tc>
          <w:tcPr>
            <w:tcW w:w="1154" w:type="dxa"/>
            <w:vAlign w:val="center"/>
          </w:tcPr>
          <w:p w:rsidR="00D64876" w:rsidRDefault="00D64876" w:rsidP="0070273F">
            <w:pPr>
              <w:pStyle w:val="NoSpacing"/>
              <w:jc w:val="center"/>
            </w:pPr>
            <w:r>
              <w:t>W</w:t>
            </w:r>
          </w:p>
        </w:tc>
        <w:tc>
          <w:tcPr>
            <w:tcW w:w="1114" w:type="dxa"/>
            <w:vAlign w:val="center"/>
          </w:tcPr>
          <w:p w:rsidR="00D64876" w:rsidRDefault="00D64876" w:rsidP="00E33655">
            <w:pPr>
              <w:pStyle w:val="NoSpacing"/>
              <w:jc w:val="center"/>
            </w:pPr>
          </w:p>
        </w:tc>
        <w:tc>
          <w:tcPr>
            <w:tcW w:w="1134" w:type="dxa"/>
            <w:vAlign w:val="center"/>
          </w:tcPr>
          <w:p w:rsidR="00D64876" w:rsidRDefault="00D64876" w:rsidP="0070273F">
            <w:pPr>
              <w:pStyle w:val="NoSpacing"/>
              <w:jc w:val="center"/>
            </w:pPr>
            <w:r>
              <w:t>M</w:t>
            </w:r>
          </w:p>
        </w:tc>
        <w:tc>
          <w:tcPr>
            <w:tcW w:w="4189" w:type="dxa"/>
            <w:vAlign w:val="center"/>
          </w:tcPr>
          <w:p w:rsidR="00D64876" w:rsidRDefault="00D64876" w:rsidP="005237EB">
            <w:pPr>
              <w:pStyle w:val="NoSpacing"/>
            </w:pPr>
            <w:r>
              <w:t>Industry (IDS, RAMI, IIC), DOA, EOSC Pilot all claim to have designed architectures that should be used for building complex infrastructures. One could investigate their potential, but this would require the involvement of real experts.</w:t>
            </w:r>
          </w:p>
        </w:tc>
      </w:tr>
      <w:tr w:rsidR="00D64876" w:rsidTr="00D64876">
        <w:tc>
          <w:tcPr>
            <w:tcW w:w="3510" w:type="dxa"/>
            <w:vAlign w:val="center"/>
          </w:tcPr>
          <w:p w:rsidR="00D64876" w:rsidRDefault="00D64876" w:rsidP="0070273F">
            <w:pPr>
              <w:pStyle w:val="NoSpacing"/>
            </w:pPr>
            <w:r>
              <w:t>FAIR DO Related Work</w:t>
            </w:r>
          </w:p>
        </w:tc>
        <w:tc>
          <w:tcPr>
            <w:tcW w:w="2604" w:type="dxa"/>
            <w:vAlign w:val="center"/>
          </w:tcPr>
          <w:p w:rsidR="00D64876" w:rsidRDefault="00D64876" w:rsidP="00E33655">
            <w:pPr>
              <w:pStyle w:val="NoSpacing"/>
              <w:jc w:val="center"/>
            </w:pPr>
            <w:r>
              <w:t>GEDE has broad group working on this</w:t>
            </w:r>
          </w:p>
        </w:tc>
        <w:tc>
          <w:tcPr>
            <w:tcW w:w="798" w:type="dxa"/>
            <w:vAlign w:val="center"/>
          </w:tcPr>
          <w:p w:rsidR="00D64876" w:rsidRDefault="00D64876" w:rsidP="00D64876">
            <w:pPr>
              <w:pStyle w:val="NoSpacing"/>
              <w:jc w:val="center"/>
            </w:pPr>
            <w:r>
              <w:t>Y</w:t>
            </w:r>
          </w:p>
        </w:tc>
        <w:tc>
          <w:tcPr>
            <w:tcW w:w="1154" w:type="dxa"/>
            <w:vAlign w:val="center"/>
          </w:tcPr>
          <w:p w:rsidR="00D64876" w:rsidRDefault="00D64876" w:rsidP="0070273F">
            <w:pPr>
              <w:pStyle w:val="NoSpacing"/>
              <w:jc w:val="center"/>
            </w:pPr>
            <w:r>
              <w:t>W-M</w:t>
            </w:r>
          </w:p>
        </w:tc>
        <w:tc>
          <w:tcPr>
            <w:tcW w:w="1114" w:type="dxa"/>
            <w:vAlign w:val="center"/>
          </w:tcPr>
          <w:p w:rsidR="00D64876" w:rsidRDefault="00D64876" w:rsidP="00E33655">
            <w:pPr>
              <w:pStyle w:val="NoSpacing"/>
              <w:jc w:val="center"/>
            </w:pPr>
            <w:r>
              <w:t xml:space="preserve">Peter, Dimitris, </w:t>
            </w:r>
            <w:proofErr w:type="spellStart"/>
            <w:r>
              <w:t>Koenraad</w:t>
            </w:r>
            <w:proofErr w:type="spellEnd"/>
          </w:p>
        </w:tc>
        <w:tc>
          <w:tcPr>
            <w:tcW w:w="1134" w:type="dxa"/>
            <w:vAlign w:val="center"/>
          </w:tcPr>
          <w:p w:rsidR="00D64876" w:rsidRDefault="00D64876" w:rsidP="0070273F">
            <w:pPr>
              <w:pStyle w:val="NoSpacing"/>
              <w:jc w:val="center"/>
            </w:pPr>
            <w:r>
              <w:t>H</w:t>
            </w:r>
          </w:p>
        </w:tc>
        <w:tc>
          <w:tcPr>
            <w:tcW w:w="4189" w:type="dxa"/>
            <w:vAlign w:val="center"/>
          </w:tcPr>
          <w:p w:rsidR="00D64876" w:rsidRDefault="00D64876" w:rsidP="005237EB">
            <w:pPr>
              <w:pStyle w:val="NoSpacing"/>
            </w:pPr>
            <w:r>
              <w:t>The effort depends on what will concretely be done. This needs to be checked with EOSC Sec (</w:t>
            </w:r>
            <w:r w:rsidRPr="0005424F">
              <w:rPr>
                <w:b/>
              </w:rPr>
              <w:t>see note 1</w:t>
            </w:r>
            <w:r>
              <w:t>)</w:t>
            </w:r>
          </w:p>
        </w:tc>
      </w:tr>
      <w:tr w:rsidR="00D64876" w:rsidTr="00D64876">
        <w:tc>
          <w:tcPr>
            <w:tcW w:w="3510" w:type="dxa"/>
            <w:vAlign w:val="center"/>
          </w:tcPr>
          <w:p w:rsidR="00D64876" w:rsidRDefault="00D64876" w:rsidP="0070273F">
            <w:pPr>
              <w:pStyle w:val="NoSpacing"/>
            </w:pPr>
            <w:r>
              <w:t xml:space="preserve">Organising surveys for </w:t>
            </w:r>
            <w:proofErr w:type="spellStart"/>
            <w:r>
              <w:t>EOSC</w:t>
            </w:r>
            <w:proofErr w:type="spellEnd"/>
            <w:r>
              <w:t xml:space="preserve"> across RIs</w:t>
            </w:r>
          </w:p>
        </w:tc>
        <w:tc>
          <w:tcPr>
            <w:tcW w:w="2604" w:type="dxa"/>
            <w:vAlign w:val="center"/>
          </w:tcPr>
          <w:p w:rsidR="00D64876" w:rsidRDefault="00D64876" w:rsidP="00E33655">
            <w:pPr>
              <w:pStyle w:val="NoSpacing"/>
              <w:jc w:val="center"/>
            </w:pPr>
            <w:r>
              <w:t>GEDE has tools and access to many RIs</w:t>
            </w:r>
          </w:p>
        </w:tc>
        <w:tc>
          <w:tcPr>
            <w:tcW w:w="798" w:type="dxa"/>
            <w:vAlign w:val="center"/>
          </w:tcPr>
          <w:p w:rsidR="00D64876" w:rsidRDefault="00D64876" w:rsidP="00D64876">
            <w:pPr>
              <w:pStyle w:val="NoSpacing"/>
              <w:jc w:val="center"/>
            </w:pPr>
            <w:r>
              <w:t>N</w:t>
            </w:r>
          </w:p>
        </w:tc>
        <w:tc>
          <w:tcPr>
            <w:tcW w:w="1154" w:type="dxa"/>
            <w:vAlign w:val="center"/>
          </w:tcPr>
          <w:p w:rsidR="00D64876" w:rsidRDefault="00D64876" w:rsidP="0070273F">
            <w:pPr>
              <w:pStyle w:val="NoSpacing"/>
              <w:jc w:val="center"/>
            </w:pPr>
            <w:r>
              <w:t>D-W</w:t>
            </w:r>
          </w:p>
        </w:tc>
        <w:tc>
          <w:tcPr>
            <w:tcW w:w="1114" w:type="dxa"/>
            <w:vAlign w:val="center"/>
          </w:tcPr>
          <w:p w:rsidR="00D64876" w:rsidRDefault="00D64876" w:rsidP="00E33655">
            <w:pPr>
              <w:pStyle w:val="NoSpacing"/>
              <w:jc w:val="center"/>
            </w:pPr>
            <w:r>
              <w:t>Suzi, Peter</w:t>
            </w:r>
          </w:p>
        </w:tc>
        <w:tc>
          <w:tcPr>
            <w:tcW w:w="1134" w:type="dxa"/>
            <w:vAlign w:val="center"/>
          </w:tcPr>
          <w:p w:rsidR="00D64876" w:rsidRDefault="00D64876" w:rsidP="0070273F">
            <w:pPr>
              <w:pStyle w:val="NoSpacing"/>
              <w:jc w:val="center"/>
            </w:pPr>
            <w:r>
              <w:t>L-H</w:t>
            </w:r>
          </w:p>
        </w:tc>
        <w:tc>
          <w:tcPr>
            <w:tcW w:w="4189" w:type="dxa"/>
            <w:vAlign w:val="center"/>
          </w:tcPr>
          <w:p w:rsidR="00D64876" w:rsidRDefault="00D64876" w:rsidP="0070273F">
            <w:pPr>
              <w:pStyle w:val="NoSpacing"/>
            </w:pPr>
            <w:r>
              <w:t>The topics of the survey would have to be defined. A first example is the Technology Matrix.</w:t>
            </w:r>
            <w:r w:rsidR="0005424F">
              <w:t xml:space="preserve"> Needs to be made concrete.</w:t>
            </w:r>
          </w:p>
        </w:tc>
      </w:tr>
      <w:tr w:rsidR="00D64876" w:rsidTr="00D64876">
        <w:tc>
          <w:tcPr>
            <w:tcW w:w="3510" w:type="dxa"/>
            <w:vAlign w:val="center"/>
          </w:tcPr>
          <w:p w:rsidR="00D64876" w:rsidRDefault="00D64876" w:rsidP="0070273F">
            <w:pPr>
              <w:pStyle w:val="NoSpacing"/>
            </w:pPr>
            <w:r>
              <w:t xml:space="preserve">Formulating Statements on </w:t>
            </w:r>
            <w:proofErr w:type="spellStart"/>
            <w:r>
              <w:t>PID</w:t>
            </w:r>
            <w:proofErr w:type="spellEnd"/>
            <w:r>
              <w:t xml:space="preserve"> Services</w:t>
            </w:r>
          </w:p>
        </w:tc>
        <w:tc>
          <w:tcPr>
            <w:tcW w:w="2604" w:type="dxa"/>
            <w:vAlign w:val="center"/>
          </w:tcPr>
          <w:p w:rsidR="00D64876" w:rsidRDefault="00D64876" w:rsidP="00E33655">
            <w:pPr>
              <w:pStyle w:val="NoSpacing"/>
              <w:jc w:val="center"/>
            </w:pPr>
            <w:r>
              <w:t>GEDE has done an extensive analysis. We should summarise the results and make a suggestion</w:t>
            </w:r>
          </w:p>
        </w:tc>
        <w:tc>
          <w:tcPr>
            <w:tcW w:w="798" w:type="dxa"/>
            <w:vAlign w:val="center"/>
          </w:tcPr>
          <w:p w:rsidR="00D64876" w:rsidRDefault="00D64876" w:rsidP="00D64876">
            <w:pPr>
              <w:pStyle w:val="NoSpacing"/>
              <w:jc w:val="center"/>
            </w:pPr>
            <w:r>
              <w:t>Y</w:t>
            </w:r>
          </w:p>
        </w:tc>
        <w:tc>
          <w:tcPr>
            <w:tcW w:w="1154" w:type="dxa"/>
            <w:vAlign w:val="center"/>
          </w:tcPr>
          <w:p w:rsidR="00D64876" w:rsidRDefault="00D64876" w:rsidP="0070273F">
            <w:pPr>
              <w:pStyle w:val="NoSpacing"/>
              <w:jc w:val="center"/>
            </w:pPr>
            <w:r>
              <w:t>D</w:t>
            </w:r>
          </w:p>
        </w:tc>
        <w:tc>
          <w:tcPr>
            <w:tcW w:w="1114" w:type="dxa"/>
            <w:vAlign w:val="center"/>
          </w:tcPr>
          <w:p w:rsidR="00D64876" w:rsidRDefault="00D64876" w:rsidP="00E33655">
            <w:pPr>
              <w:pStyle w:val="NoSpacing"/>
              <w:jc w:val="center"/>
            </w:pPr>
            <w:r>
              <w:t>Carlo, Peter</w:t>
            </w:r>
          </w:p>
        </w:tc>
        <w:tc>
          <w:tcPr>
            <w:tcW w:w="1134" w:type="dxa"/>
            <w:vAlign w:val="center"/>
          </w:tcPr>
          <w:p w:rsidR="00D64876" w:rsidRDefault="00D64876" w:rsidP="0070273F">
            <w:pPr>
              <w:pStyle w:val="NoSpacing"/>
              <w:jc w:val="center"/>
            </w:pPr>
            <w:r>
              <w:t>H</w:t>
            </w:r>
          </w:p>
        </w:tc>
        <w:tc>
          <w:tcPr>
            <w:tcW w:w="4189" w:type="dxa"/>
            <w:vAlign w:val="center"/>
          </w:tcPr>
          <w:p w:rsidR="00D64876" w:rsidRDefault="00D64876" w:rsidP="0070273F">
            <w:pPr>
              <w:pStyle w:val="NoSpacing"/>
            </w:pPr>
            <w:r>
              <w:t xml:space="preserve">This should be done together with groups already giving services such as DONA, </w:t>
            </w:r>
            <w:proofErr w:type="spellStart"/>
            <w:r>
              <w:t>EUDAT</w:t>
            </w:r>
            <w:proofErr w:type="spellEnd"/>
            <w:r>
              <w:t xml:space="preserve">, </w:t>
            </w:r>
            <w:proofErr w:type="spellStart"/>
            <w:r>
              <w:t>ePIC</w:t>
            </w:r>
            <w:proofErr w:type="spellEnd"/>
            <w:r>
              <w:t xml:space="preserve">, </w:t>
            </w:r>
            <w:proofErr w:type="spellStart"/>
            <w:r>
              <w:t>DataCite</w:t>
            </w:r>
            <w:proofErr w:type="spellEnd"/>
            <w:r>
              <w:t>, etc. Based on the GEDE report this can and should be done asap - probably without additional funds</w:t>
            </w:r>
          </w:p>
        </w:tc>
      </w:tr>
      <w:tr w:rsidR="00D64876" w:rsidTr="00D64876">
        <w:tc>
          <w:tcPr>
            <w:tcW w:w="3510" w:type="dxa"/>
            <w:vAlign w:val="center"/>
          </w:tcPr>
          <w:p w:rsidR="00D64876" w:rsidRDefault="00D64876" w:rsidP="0070273F">
            <w:pPr>
              <w:pStyle w:val="NoSpacing"/>
            </w:pPr>
            <w:r>
              <w:t>Analysing AAI (</w:t>
            </w:r>
            <w:proofErr w:type="spellStart"/>
            <w:r>
              <w:t>eduGain</w:t>
            </w:r>
            <w:proofErr w:type="spellEnd"/>
            <w:r>
              <w:t>, etc.) Service Gaps</w:t>
            </w:r>
          </w:p>
        </w:tc>
        <w:tc>
          <w:tcPr>
            <w:tcW w:w="2604" w:type="dxa"/>
            <w:vAlign w:val="center"/>
          </w:tcPr>
          <w:p w:rsidR="00D64876" w:rsidRDefault="00D64876" w:rsidP="00E33655">
            <w:pPr>
              <w:pStyle w:val="NoSpacing"/>
              <w:jc w:val="center"/>
            </w:pPr>
            <w:r>
              <w:t>Reoccurring issue of high relevance and a roadblock still</w:t>
            </w:r>
          </w:p>
        </w:tc>
        <w:tc>
          <w:tcPr>
            <w:tcW w:w="798" w:type="dxa"/>
            <w:vAlign w:val="center"/>
          </w:tcPr>
          <w:p w:rsidR="00D64876" w:rsidRDefault="00D64876" w:rsidP="00D64876">
            <w:pPr>
              <w:pStyle w:val="NoSpacing"/>
              <w:jc w:val="center"/>
            </w:pPr>
            <w:r>
              <w:t>Y</w:t>
            </w:r>
          </w:p>
        </w:tc>
        <w:tc>
          <w:tcPr>
            <w:tcW w:w="1154" w:type="dxa"/>
            <w:vAlign w:val="center"/>
          </w:tcPr>
          <w:p w:rsidR="00D64876" w:rsidRDefault="00D64876" w:rsidP="0070273F">
            <w:pPr>
              <w:pStyle w:val="NoSpacing"/>
              <w:jc w:val="center"/>
            </w:pPr>
            <w:r>
              <w:t>W-M</w:t>
            </w:r>
          </w:p>
        </w:tc>
        <w:tc>
          <w:tcPr>
            <w:tcW w:w="1114" w:type="dxa"/>
            <w:vAlign w:val="center"/>
          </w:tcPr>
          <w:p w:rsidR="00D64876" w:rsidRDefault="00D64876" w:rsidP="00E33655">
            <w:pPr>
              <w:pStyle w:val="NoSpacing"/>
              <w:jc w:val="center"/>
            </w:pPr>
          </w:p>
        </w:tc>
        <w:tc>
          <w:tcPr>
            <w:tcW w:w="1134" w:type="dxa"/>
            <w:vAlign w:val="center"/>
          </w:tcPr>
          <w:p w:rsidR="00D64876" w:rsidRDefault="00D64876" w:rsidP="0070273F">
            <w:pPr>
              <w:pStyle w:val="NoSpacing"/>
              <w:jc w:val="center"/>
            </w:pPr>
            <w:r>
              <w:t>H</w:t>
            </w:r>
          </w:p>
        </w:tc>
        <w:tc>
          <w:tcPr>
            <w:tcW w:w="4189" w:type="dxa"/>
            <w:vAlign w:val="center"/>
          </w:tcPr>
          <w:p w:rsidR="00D64876" w:rsidRDefault="00D64876" w:rsidP="0070273F">
            <w:pPr>
              <w:pStyle w:val="NoSpacing"/>
            </w:pPr>
            <w:r>
              <w:t>The effort would depend on the formulation of the task. Within RDA there is a very active group on Federated Identity Management (</w:t>
            </w:r>
            <w:r w:rsidRPr="0005424F">
              <w:rPr>
                <w:b/>
              </w:rPr>
              <w:t>see note 2</w:t>
            </w:r>
            <w:r>
              <w:t>)</w:t>
            </w:r>
          </w:p>
        </w:tc>
      </w:tr>
      <w:tr w:rsidR="00D64876" w:rsidTr="00D64876">
        <w:tc>
          <w:tcPr>
            <w:tcW w:w="3510" w:type="dxa"/>
            <w:vAlign w:val="center"/>
          </w:tcPr>
          <w:p w:rsidR="00D64876" w:rsidRDefault="00D64876" w:rsidP="0070273F">
            <w:pPr>
              <w:pStyle w:val="NoSpacing"/>
            </w:pPr>
            <w:r>
              <w:t>Framework for Simple Semantic Mapping</w:t>
            </w:r>
          </w:p>
        </w:tc>
        <w:tc>
          <w:tcPr>
            <w:tcW w:w="2604" w:type="dxa"/>
            <w:vAlign w:val="center"/>
          </w:tcPr>
          <w:p w:rsidR="00D64876" w:rsidRDefault="00D64876" w:rsidP="00E33655">
            <w:pPr>
              <w:pStyle w:val="NoSpacing"/>
              <w:jc w:val="center"/>
            </w:pPr>
            <w:r>
              <w:t xml:space="preserve">Large ontologies are mostly underused and we </w:t>
            </w:r>
            <w:r>
              <w:lastRenderedPageBreak/>
              <w:t>still lack flexible frameworks for mapping</w:t>
            </w:r>
          </w:p>
        </w:tc>
        <w:tc>
          <w:tcPr>
            <w:tcW w:w="798" w:type="dxa"/>
            <w:vAlign w:val="center"/>
          </w:tcPr>
          <w:p w:rsidR="00D64876" w:rsidRDefault="00D64876" w:rsidP="00D64876">
            <w:pPr>
              <w:pStyle w:val="NoSpacing"/>
              <w:jc w:val="center"/>
            </w:pPr>
            <w:r>
              <w:lastRenderedPageBreak/>
              <w:t>N</w:t>
            </w:r>
          </w:p>
        </w:tc>
        <w:tc>
          <w:tcPr>
            <w:tcW w:w="1154" w:type="dxa"/>
            <w:vAlign w:val="center"/>
          </w:tcPr>
          <w:p w:rsidR="00D64876" w:rsidRDefault="00D64876" w:rsidP="0070273F">
            <w:pPr>
              <w:pStyle w:val="NoSpacing"/>
              <w:jc w:val="center"/>
            </w:pPr>
            <w:r>
              <w:t>W-M</w:t>
            </w:r>
          </w:p>
        </w:tc>
        <w:tc>
          <w:tcPr>
            <w:tcW w:w="1114" w:type="dxa"/>
            <w:vAlign w:val="center"/>
          </w:tcPr>
          <w:p w:rsidR="00D64876" w:rsidRDefault="00D64876" w:rsidP="00E33655">
            <w:pPr>
              <w:pStyle w:val="NoSpacing"/>
              <w:jc w:val="center"/>
            </w:pPr>
          </w:p>
        </w:tc>
        <w:tc>
          <w:tcPr>
            <w:tcW w:w="1134" w:type="dxa"/>
            <w:vAlign w:val="center"/>
          </w:tcPr>
          <w:p w:rsidR="00D64876" w:rsidRDefault="00D64876" w:rsidP="0070273F">
            <w:pPr>
              <w:pStyle w:val="NoSpacing"/>
              <w:jc w:val="center"/>
            </w:pPr>
            <w:r>
              <w:t>H</w:t>
            </w:r>
          </w:p>
        </w:tc>
        <w:tc>
          <w:tcPr>
            <w:tcW w:w="4189" w:type="dxa"/>
            <w:vAlign w:val="center"/>
          </w:tcPr>
          <w:p w:rsidR="00D64876" w:rsidRDefault="00D64876" w:rsidP="0070273F">
            <w:pPr>
              <w:pStyle w:val="NoSpacing"/>
            </w:pPr>
            <w:r>
              <w:t xml:space="preserve">Semantic Interoperability is one of the key tasks in EOSC. At metadata level we are all </w:t>
            </w:r>
            <w:r>
              <w:lastRenderedPageBreak/>
              <w:t>used to map semantics for a while. At scientific annotation level semantic mapping will remain a highly challenging field where pragmatic approaches are urgently required. (</w:t>
            </w:r>
            <w:r w:rsidRPr="0005424F">
              <w:rPr>
                <w:b/>
              </w:rPr>
              <w:t>see note 3</w:t>
            </w:r>
            <w:r>
              <w:t>)</w:t>
            </w:r>
          </w:p>
        </w:tc>
      </w:tr>
      <w:tr w:rsidR="00D64876" w:rsidTr="00D64876">
        <w:tc>
          <w:tcPr>
            <w:tcW w:w="3510" w:type="dxa"/>
            <w:vAlign w:val="center"/>
          </w:tcPr>
          <w:p w:rsidR="00D64876" w:rsidRDefault="00D64876" w:rsidP="0070273F">
            <w:pPr>
              <w:pStyle w:val="NoSpacing"/>
            </w:pPr>
            <w:r>
              <w:lastRenderedPageBreak/>
              <w:t>Research Workflow Automation Pilot</w:t>
            </w:r>
          </w:p>
        </w:tc>
        <w:tc>
          <w:tcPr>
            <w:tcW w:w="2604" w:type="dxa"/>
            <w:vAlign w:val="center"/>
          </w:tcPr>
          <w:p w:rsidR="00D64876" w:rsidRDefault="00D64876" w:rsidP="00E33655">
            <w:pPr>
              <w:pStyle w:val="NoSpacing"/>
              <w:jc w:val="center"/>
            </w:pPr>
            <w:r>
              <w:t>Increased automation is one of the important aspects for future data analysis, still not used broadly</w:t>
            </w:r>
          </w:p>
        </w:tc>
        <w:tc>
          <w:tcPr>
            <w:tcW w:w="798" w:type="dxa"/>
            <w:vAlign w:val="center"/>
          </w:tcPr>
          <w:p w:rsidR="00D64876" w:rsidRDefault="00D64876" w:rsidP="00D64876">
            <w:pPr>
              <w:pStyle w:val="NoSpacing"/>
              <w:jc w:val="center"/>
            </w:pPr>
            <w:r>
              <w:t>N</w:t>
            </w:r>
          </w:p>
        </w:tc>
        <w:tc>
          <w:tcPr>
            <w:tcW w:w="1154" w:type="dxa"/>
            <w:vAlign w:val="center"/>
          </w:tcPr>
          <w:p w:rsidR="00D64876" w:rsidRDefault="00D64876" w:rsidP="0070273F">
            <w:pPr>
              <w:pStyle w:val="NoSpacing"/>
              <w:jc w:val="center"/>
            </w:pPr>
            <w:r>
              <w:t>W-M</w:t>
            </w:r>
          </w:p>
        </w:tc>
        <w:tc>
          <w:tcPr>
            <w:tcW w:w="1114" w:type="dxa"/>
            <w:vAlign w:val="center"/>
          </w:tcPr>
          <w:p w:rsidR="00D64876" w:rsidRDefault="00D64876" w:rsidP="00E33655">
            <w:pPr>
              <w:pStyle w:val="NoSpacing"/>
              <w:jc w:val="center"/>
            </w:pPr>
          </w:p>
        </w:tc>
        <w:tc>
          <w:tcPr>
            <w:tcW w:w="1134" w:type="dxa"/>
            <w:vAlign w:val="center"/>
          </w:tcPr>
          <w:p w:rsidR="00D64876" w:rsidRDefault="00D64876" w:rsidP="0070273F">
            <w:pPr>
              <w:pStyle w:val="NoSpacing"/>
              <w:jc w:val="center"/>
            </w:pPr>
            <w:r>
              <w:t>H</w:t>
            </w:r>
          </w:p>
        </w:tc>
        <w:tc>
          <w:tcPr>
            <w:tcW w:w="4189" w:type="dxa"/>
            <w:vAlign w:val="center"/>
          </w:tcPr>
          <w:p w:rsidR="00D64876" w:rsidRDefault="00D64876" w:rsidP="0070273F">
            <w:pPr>
              <w:pStyle w:val="NoSpacing"/>
            </w:pPr>
            <w:r>
              <w:t xml:space="preserve">An increased automation of data analytics will be key for competitiveness in data intensive science, people are starting to use </w:t>
            </w:r>
            <w:proofErr w:type="spellStart"/>
            <w:r>
              <w:t>Jupyter</w:t>
            </w:r>
            <w:proofErr w:type="spellEnd"/>
            <w:r>
              <w:t xml:space="preserve"> and similar tools, but more could be done to facilitate creating workflows. (</w:t>
            </w:r>
            <w:r w:rsidRPr="0005424F">
              <w:rPr>
                <w:b/>
              </w:rPr>
              <w:t>see note 4</w:t>
            </w:r>
            <w:r>
              <w:t>)</w:t>
            </w:r>
          </w:p>
        </w:tc>
      </w:tr>
      <w:tr w:rsidR="00D64876" w:rsidTr="00D64876">
        <w:tc>
          <w:tcPr>
            <w:tcW w:w="3510" w:type="dxa"/>
            <w:vAlign w:val="center"/>
          </w:tcPr>
          <w:p w:rsidR="00D64876" w:rsidRDefault="00D64876" w:rsidP="0070273F">
            <w:pPr>
              <w:pStyle w:val="NoSpacing"/>
            </w:pPr>
            <w:r>
              <w:t xml:space="preserve">Sensitive Data and </w:t>
            </w:r>
            <w:proofErr w:type="spellStart"/>
            <w:r>
              <w:t>GDPR</w:t>
            </w:r>
            <w:proofErr w:type="spellEnd"/>
            <w:r>
              <w:t xml:space="preserve"> implications</w:t>
            </w:r>
          </w:p>
        </w:tc>
        <w:tc>
          <w:tcPr>
            <w:tcW w:w="2604" w:type="dxa"/>
            <w:vAlign w:val="center"/>
          </w:tcPr>
          <w:p w:rsidR="00D64876" w:rsidRDefault="00D64876" w:rsidP="00E33655">
            <w:pPr>
              <w:pStyle w:val="NoSpacing"/>
              <w:jc w:val="center"/>
            </w:pPr>
            <w:r>
              <w:t xml:space="preserve">important issue for some communities but underrepresented in EOSC discussions, </w:t>
            </w:r>
            <w:proofErr w:type="spellStart"/>
            <w:r>
              <w:t>G</w:t>
            </w:r>
            <w:r w:rsidR="00822B58">
              <w:t>EDE</w:t>
            </w:r>
            <w:proofErr w:type="spellEnd"/>
            <w:r w:rsidR="00822B58">
              <w:t xml:space="preserve"> work on </w:t>
            </w:r>
            <w:proofErr w:type="spellStart"/>
            <w:r w:rsidR="00822B58">
              <w:t>blockchains</w:t>
            </w:r>
            <w:proofErr w:type="spellEnd"/>
            <w:r w:rsidR="00822B58">
              <w:t xml:space="preserve"> could b</w:t>
            </w:r>
            <w:bookmarkStart w:id="0" w:name="_GoBack"/>
            <w:bookmarkEnd w:id="0"/>
            <w:r>
              <w:t>e integrated</w:t>
            </w:r>
          </w:p>
        </w:tc>
        <w:tc>
          <w:tcPr>
            <w:tcW w:w="798" w:type="dxa"/>
            <w:vAlign w:val="center"/>
          </w:tcPr>
          <w:p w:rsidR="00D64876" w:rsidRDefault="00D64876" w:rsidP="00D64876">
            <w:pPr>
              <w:pStyle w:val="NoSpacing"/>
              <w:jc w:val="center"/>
            </w:pPr>
            <w:r>
              <w:t>?</w:t>
            </w:r>
          </w:p>
        </w:tc>
        <w:tc>
          <w:tcPr>
            <w:tcW w:w="1154" w:type="dxa"/>
            <w:vAlign w:val="center"/>
          </w:tcPr>
          <w:p w:rsidR="00D64876" w:rsidRDefault="00D64876" w:rsidP="0070273F">
            <w:pPr>
              <w:pStyle w:val="NoSpacing"/>
              <w:jc w:val="center"/>
            </w:pPr>
            <w:r>
              <w:t>W-M</w:t>
            </w:r>
          </w:p>
        </w:tc>
        <w:tc>
          <w:tcPr>
            <w:tcW w:w="1114" w:type="dxa"/>
            <w:vAlign w:val="center"/>
          </w:tcPr>
          <w:p w:rsidR="00D64876" w:rsidRDefault="00D64876" w:rsidP="00E33655">
            <w:pPr>
              <w:pStyle w:val="NoSpacing"/>
              <w:jc w:val="center"/>
            </w:pPr>
            <w:r>
              <w:t>Jacques, Peter</w:t>
            </w:r>
          </w:p>
        </w:tc>
        <w:tc>
          <w:tcPr>
            <w:tcW w:w="1134" w:type="dxa"/>
            <w:vAlign w:val="center"/>
          </w:tcPr>
          <w:p w:rsidR="00D64876" w:rsidRDefault="00D64876" w:rsidP="0070273F">
            <w:pPr>
              <w:pStyle w:val="NoSpacing"/>
              <w:jc w:val="center"/>
            </w:pPr>
            <w:r>
              <w:t>H</w:t>
            </w:r>
          </w:p>
        </w:tc>
        <w:tc>
          <w:tcPr>
            <w:tcW w:w="4189" w:type="dxa"/>
            <w:vAlign w:val="center"/>
          </w:tcPr>
          <w:p w:rsidR="00D64876" w:rsidRDefault="00D64876" w:rsidP="0070273F">
            <w:pPr>
              <w:pStyle w:val="NoSpacing"/>
            </w:pPr>
            <w:r>
              <w:t>there are special requirements for sensitive data which need to be pushed forward to the EOSC process, within GEDE only suggestions can be worked out how this can and need to be addressed; discussions about the use of blockchains could be part and current GEDE work can be integrated.</w:t>
            </w:r>
          </w:p>
        </w:tc>
      </w:tr>
      <w:tr w:rsidR="00D64876" w:rsidTr="00D64876">
        <w:tc>
          <w:tcPr>
            <w:tcW w:w="3510" w:type="dxa"/>
            <w:vAlign w:val="center"/>
          </w:tcPr>
          <w:p w:rsidR="00D64876" w:rsidRDefault="00D64876" w:rsidP="0070273F">
            <w:pPr>
              <w:pStyle w:val="NoSpacing"/>
            </w:pPr>
            <w:r>
              <w:t>Policy Knowledge Aggregation</w:t>
            </w:r>
          </w:p>
        </w:tc>
        <w:tc>
          <w:tcPr>
            <w:tcW w:w="2604" w:type="dxa"/>
            <w:vAlign w:val="center"/>
          </w:tcPr>
          <w:p w:rsidR="00D64876" w:rsidRDefault="00D64876" w:rsidP="00F2439F">
            <w:pPr>
              <w:pStyle w:val="NoSpacing"/>
              <w:jc w:val="center"/>
            </w:pPr>
            <w:r>
              <w:t xml:space="preserve">RIs have lots of experience in this respect making sense to aggregate this knowledge </w:t>
            </w:r>
          </w:p>
        </w:tc>
        <w:tc>
          <w:tcPr>
            <w:tcW w:w="798" w:type="dxa"/>
            <w:vAlign w:val="center"/>
          </w:tcPr>
          <w:p w:rsidR="00D64876" w:rsidRDefault="00D64876" w:rsidP="00D64876">
            <w:pPr>
              <w:pStyle w:val="NoSpacing"/>
              <w:jc w:val="center"/>
            </w:pPr>
            <w:r>
              <w:t>N</w:t>
            </w:r>
          </w:p>
        </w:tc>
        <w:tc>
          <w:tcPr>
            <w:tcW w:w="1154" w:type="dxa"/>
            <w:vAlign w:val="center"/>
          </w:tcPr>
          <w:p w:rsidR="00D64876" w:rsidRDefault="00D64876" w:rsidP="0070273F">
            <w:pPr>
              <w:pStyle w:val="NoSpacing"/>
              <w:jc w:val="center"/>
            </w:pPr>
            <w:r>
              <w:t>W</w:t>
            </w:r>
          </w:p>
        </w:tc>
        <w:tc>
          <w:tcPr>
            <w:tcW w:w="1114" w:type="dxa"/>
            <w:vAlign w:val="center"/>
          </w:tcPr>
          <w:p w:rsidR="00D64876" w:rsidRDefault="00D64876" w:rsidP="00E33655">
            <w:pPr>
              <w:pStyle w:val="NoSpacing"/>
              <w:jc w:val="center"/>
            </w:pPr>
          </w:p>
        </w:tc>
        <w:tc>
          <w:tcPr>
            <w:tcW w:w="1134" w:type="dxa"/>
            <w:vAlign w:val="center"/>
          </w:tcPr>
          <w:p w:rsidR="00D64876" w:rsidRDefault="00D64876" w:rsidP="0070273F">
            <w:pPr>
              <w:pStyle w:val="NoSpacing"/>
              <w:jc w:val="center"/>
            </w:pPr>
            <w:r>
              <w:t>H</w:t>
            </w:r>
          </w:p>
        </w:tc>
        <w:tc>
          <w:tcPr>
            <w:tcW w:w="4189" w:type="dxa"/>
            <w:vAlign w:val="center"/>
          </w:tcPr>
          <w:p w:rsidR="00D64876" w:rsidRDefault="0005424F" w:rsidP="0070273F">
            <w:pPr>
              <w:pStyle w:val="NoSpacing"/>
            </w:pPr>
            <w:r>
              <w:t xml:space="preserve">This needs to be further specified to make a clear point. </w:t>
            </w:r>
          </w:p>
        </w:tc>
      </w:tr>
      <w:tr w:rsidR="00D64876" w:rsidTr="00D64876">
        <w:tc>
          <w:tcPr>
            <w:tcW w:w="3510" w:type="dxa"/>
            <w:vAlign w:val="center"/>
          </w:tcPr>
          <w:p w:rsidR="00D64876" w:rsidRDefault="00D64876" w:rsidP="0070273F">
            <w:pPr>
              <w:pStyle w:val="NoSpacing"/>
            </w:pPr>
            <w:r>
              <w:t>Organising Webinars and Workshops</w:t>
            </w:r>
          </w:p>
        </w:tc>
        <w:tc>
          <w:tcPr>
            <w:tcW w:w="2604" w:type="dxa"/>
            <w:vAlign w:val="center"/>
          </w:tcPr>
          <w:p w:rsidR="00D64876" w:rsidRDefault="00D64876" w:rsidP="00E33655">
            <w:pPr>
              <w:pStyle w:val="NoSpacing"/>
              <w:jc w:val="center"/>
            </w:pPr>
            <w:r>
              <w:t>as the last virtual meeting showed it was very important to use GEDE as a platform for bi-directional exchange</w:t>
            </w:r>
          </w:p>
        </w:tc>
        <w:tc>
          <w:tcPr>
            <w:tcW w:w="798" w:type="dxa"/>
            <w:vAlign w:val="center"/>
          </w:tcPr>
          <w:p w:rsidR="00D64876" w:rsidRDefault="00D64876" w:rsidP="00D64876">
            <w:pPr>
              <w:pStyle w:val="NoSpacing"/>
              <w:jc w:val="center"/>
            </w:pPr>
            <w:r>
              <w:t>N</w:t>
            </w:r>
          </w:p>
        </w:tc>
        <w:tc>
          <w:tcPr>
            <w:tcW w:w="1154" w:type="dxa"/>
            <w:vAlign w:val="center"/>
          </w:tcPr>
          <w:p w:rsidR="00D64876" w:rsidRDefault="00D64876" w:rsidP="0070273F">
            <w:pPr>
              <w:pStyle w:val="NoSpacing"/>
              <w:jc w:val="center"/>
            </w:pPr>
            <w:r>
              <w:t>D</w:t>
            </w:r>
          </w:p>
        </w:tc>
        <w:tc>
          <w:tcPr>
            <w:tcW w:w="1114" w:type="dxa"/>
            <w:vAlign w:val="center"/>
          </w:tcPr>
          <w:p w:rsidR="00D64876" w:rsidRDefault="00D64876" w:rsidP="00E33655">
            <w:pPr>
              <w:pStyle w:val="NoSpacing"/>
              <w:jc w:val="center"/>
            </w:pPr>
            <w:r>
              <w:t>Suzi, Carlo, Peter</w:t>
            </w:r>
          </w:p>
        </w:tc>
        <w:tc>
          <w:tcPr>
            <w:tcW w:w="1134" w:type="dxa"/>
            <w:vAlign w:val="center"/>
          </w:tcPr>
          <w:p w:rsidR="00D64876" w:rsidRDefault="00D64876" w:rsidP="0070273F">
            <w:pPr>
              <w:pStyle w:val="NoSpacing"/>
              <w:jc w:val="center"/>
            </w:pPr>
            <w:r>
              <w:t>M</w:t>
            </w:r>
          </w:p>
        </w:tc>
        <w:tc>
          <w:tcPr>
            <w:tcW w:w="4189" w:type="dxa"/>
            <w:vAlign w:val="center"/>
          </w:tcPr>
          <w:p w:rsidR="00D64876" w:rsidRDefault="0005424F" w:rsidP="0070273F">
            <w:pPr>
              <w:pStyle w:val="NoSpacing"/>
            </w:pPr>
            <w:r>
              <w:t>T</w:t>
            </w:r>
            <w:r w:rsidR="00D64876">
              <w:t xml:space="preserve">his </w:t>
            </w:r>
            <w:r w:rsidR="00822B58">
              <w:t xml:space="preserve">bi-directional </w:t>
            </w:r>
            <w:r w:rsidR="00D64876">
              <w:t>interaction should be repeated bi-annually, a saturation effect will happen over time</w:t>
            </w:r>
            <w:r>
              <w:t>. It would only be very little money.</w:t>
            </w:r>
          </w:p>
        </w:tc>
      </w:tr>
      <w:tr w:rsidR="00D64876" w:rsidTr="00D64876">
        <w:tc>
          <w:tcPr>
            <w:tcW w:w="3510" w:type="dxa"/>
            <w:vAlign w:val="center"/>
          </w:tcPr>
          <w:p w:rsidR="00D64876" w:rsidRDefault="00D64876" w:rsidP="0070273F">
            <w:pPr>
              <w:pStyle w:val="NoSpacing"/>
            </w:pPr>
            <w:r>
              <w:t>Repository Setup</w:t>
            </w:r>
          </w:p>
        </w:tc>
        <w:tc>
          <w:tcPr>
            <w:tcW w:w="2604" w:type="dxa"/>
            <w:vAlign w:val="center"/>
          </w:tcPr>
          <w:p w:rsidR="00D64876" w:rsidRDefault="00D64876" w:rsidP="00E33655">
            <w:pPr>
              <w:pStyle w:val="NoSpacing"/>
              <w:jc w:val="center"/>
            </w:pPr>
            <w:r>
              <w:t>repositories are key pillars, many would like to get guidance on how to set up FAIR compliant repositories; GEDE work can be integrated</w:t>
            </w:r>
          </w:p>
        </w:tc>
        <w:tc>
          <w:tcPr>
            <w:tcW w:w="798" w:type="dxa"/>
            <w:vAlign w:val="center"/>
          </w:tcPr>
          <w:p w:rsidR="00D64876" w:rsidRDefault="00D64876" w:rsidP="00D64876">
            <w:pPr>
              <w:pStyle w:val="NoSpacing"/>
              <w:jc w:val="center"/>
            </w:pPr>
            <w:r>
              <w:t>Y</w:t>
            </w:r>
          </w:p>
        </w:tc>
        <w:tc>
          <w:tcPr>
            <w:tcW w:w="1154" w:type="dxa"/>
            <w:vAlign w:val="center"/>
          </w:tcPr>
          <w:p w:rsidR="00D64876" w:rsidRDefault="00D64876" w:rsidP="0070273F">
            <w:pPr>
              <w:pStyle w:val="NoSpacing"/>
              <w:jc w:val="center"/>
            </w:pPr>
            <w:r>
              <w:t>W</w:t>
            </w:r>
          </w:p>
        </w:tc>
        <w:tc>
          <w:tcPr>
            <w:tcW w:w="1114" w:type="dxa"/>
            <w:vAlign w:val="center"/>
          </w:tcPr>
          <w:p w:rsidR="00D64876" w:rsidRDefault="00D64876" w:rsidP="00E33655">
            <w:pPr>
              <w:pStyle w:val="NoSpacing"/>
              <w:jc w:val="center"/>
            </w:pPr>
            <w:r>
              <w:t>Michael, Peter, etc.</w:t>
            </w:r>
          </w:p>
        </w:tc>
        <w:tc>
          <w:tcPr>
            <w:tcW w:w="1134" w:type="dxa"/>
            <w:vAlign w:val="center"/>
          </w:tcPr>
          <w:p w:rsidR="00D64876" w:rsidRDefault="00D64876" w:rsidP="0070273F">
            <w:pPr>
              <w:pStyle w:val="NoSpacing"/>
              <w:jc w:val="center"/>
            </w:pPr>
            <w:r>
              <w:t>H</w:t>
            </w:r>
          </w:p>
        </w:tc>
        <w:tc>
          <w:tcPr>
            <w:tcW w:w="4189" w:type="dxa"/>
            <w:vAlign w:val="center"/>
          </w:tcPr>
          <w:p w:rsidR="00D64876" w:rsidRDefault="00D64876" w:rsidP="0070273F">
            <w:pPr>
              <w:pStyle w:val="NoSpacing"/>
            </w:pPr>
            <w:r>
              <w:t>most of the RIs see repositories as key pillars and many asked for guidance and help, based on existing GEDE work and RDA work GEDE could be used as an umbrella to run hackathons to just show people how to do it</w:t>
            </w:r>
          </w:p>
        </w:tc>
      </w:tr>
      <w:tr w:rsidR="00D64876" w:rsidTr="00D64876">
        <w:tc>
          <w:tcPr>
            <w:tcW w:w="3510" w:type="dxa"/>
            <w:vAlign w:val="center"/>
          </w:tcPr>
          <w:p w:rsidR="00D64876" w:rsidRDefault="00D64876" w:rsidP="0070273F">
            <w:pPr>
              <w:pStyle w:val="NoSpacing"/>
            </w:pPr>
            <w:r>
              <w:lastRenderedPageBreak/>
              <w:t>Citation Harmonisation</w:t>
            </w:r>
          </w:p>
        </w:tc>
        <w:tc>
          <w:tcPr>
            <w:tcW w:w="2604" w:type="dxa"/>
            <w:vAlign w:val="center"/>
          </w:tcPr>
          <w:p w:rsidR="00D64876" w:rsidRDefault="00D64876" w:rsidP="00E33655">
            <w:pPr>
              <w:pStyle w:val="NoSpacing"/>
              <w:jc w:val="center"/>
            </w:pPr>
            <w:r>
              <w:t>citation of data is diverse and GEDE and RDA work is there to harmonise suggestions</w:t>
            </w:r>
          </w:p>
        </w:tc>
        <w:tc>
          <w:tcPr>
            <w:tcW w:w="798" w:type="dxa"/>
            <w:vAlign w:val="center"/>
          </w:tcPr>
          <w:p w:rsidR="00D64876" w:rsidRDefault="00D64876" w:rsidP="00D64876">
            <w:pPr>
              <w:pStyle w:val="NoSpacing"/>
              <w:jc w:val="center"/>
            </w:pPr>
            <w:r>
              <w:t>?</w:t>
            </w:r>
          </w:p>
        </w:tc>
        <w:tc>
          <w:tcPr>
            <w:tcW w:w="1154" w:type="dxa"/>
            <w:vAlign w:val="center"/>
          </w:tcPr>
          <w:p w:rsidR="00D64876" w:rsidRDefault="00D64876" w:rsidP="0070273F">
            <w:pPr>
              <w:pStyle w:val="NoSpacing"/>
              <w:jc w:val="center"/>
            </w:pPr>
            <w:r>
              <w:t>W</w:t>
            </w:r>
          </w:p>
        </w:tc>
        <w:tc>
          <w:tcPr>
            <w:tcW w:w="1114" w:type="dxa"/>
            <w:vAlign w:val="center"/>
          </w:tcPr>
          <w:p w:rsidR="00D64876" w:rsidRDefault="00D64876" w:rsidP="00E33655">
            <w:pPr>
              <w:pStyle w:val="NoSpacing"/>
              <w:jc w:val="center"/>
            </w:pPr>
            <w:r>
              <w:t>Carlo</w:t>
            </w:r>
          </w:p>
        </w:tc>
        <w:tc>
          <w:tcPr>
            <w:tcW w:w="1134" w:type="dxa"/>
            <w:vAlign w:val="center"/>
          </w:tcPr>
          <w:p w:rsidR="00D64876" w:rsidRDefault="00D64876" w:rsidP="0070273F">
            <w:pPr>
              <w:pStyle w:val="NoSpacing"/>
              <w:jc w:val="center"/>
            </w:pPr>
            <w:r>
              <w:t>H</w:t>
            </w:r>
          </w:p>
        </w:tc>
        <w:tc>
          <w:tcPr>
            <w:tcW w:w="4189" w:type="dxa"/>
            <w:vAlign w:val="center"/>
          </w:tcPr>
          <w:p w:rsidR="00D64876" w:rsidRDefault="00D64876" w:rsidP="0070273F">
            <w:pPr>
              <w:pStyle w:val="NoSpacing"/>
            </w:pPr>
            <w:r>
              <w:t>the many different suggestions for data citation are confusing and a harmonisation is urgently needed, GEDE could be used to express wishes and make suggestions</w:t>
            </w:r>
          </w:p>
        </w:tc>
      </w:tr>
      <w:tr w:rsidR="00D64876" w:rsidTr="00D64876">
        <w:tc>
          <w:tcPr>
            <w:tcW w:w="3510" w:type="dxa"/>
            <w:vAlign w:val="center"/>
          </w:tcPr>
          <w:p w:rsidR="00D64876" w:rsidRDefault="00D64876" w:rsidP="0070273F">
            <w:pPr>
              <w:pStyle w:val="NoSpacing"/>
            </w:pPr>
          </w:p>
        </w:tc>
        <w:tc>
          <w:tcPr>
            <w:tcW w:w="2604" w:type="dxa"/>
            <w:vAlign w:val="center"/>
          </w:tcPr>
          <w:p w:rsidR="00D64876" w:rsidRDefault="00D64876" w:rsidP="00E33655">
            <w:pPr>
              <w:pStyle w:val="NoSpacing"/>
              <w:jc w:val="center"/>
            </w:pPr>
          </w:p>
        </w:tc>
        <w:tc>
          <w:tcPr>
            <w:tcW w:w="798" w:type="dxa"/>
            <w:vAlign w:val="center"/>
          </w:tcPr>
          <w:p w:rsidR="00D64876" w:rsidRDefault="00D64876" w:rsidP="00D64876">
            <w:pPr>
              <w:pStyle w:val="NoSpacing"/>
              <w:jc w:val="center"/>
            </w:pPr>
          </w:p>
        </w:tc>
        <w:tc>
          <w:tcPr>
            <w:tcW w:w="1154" w:type="dxa"/>
            <w:vAlign w:val="center"/>
          </w:tcPr>
          <w:p w:rsidR="00D64876" w:rsidRDefault="00D64876" w:rsidP="0070273F">
            <w:pPr>
              <w:pStyle w:val="NoSpacing"/>
              <w:jc w:val="center"/>
            </w:pPr>
          </w:p>
        </w:tc>
        <w:tc>
          <w:tcPr>
            <w:tcW w:w="1114" w:type="dxa"/>
            <w:vAlign w:val="center"/>
          </w:tcPr>
          <w:p w:rsidR="00D64876" w:rsidRDefault="00D64876" w:rsidP="00E33655">
            <w:pPr>
              <w:pStyle w:val="NoSpacing"/>
              <w:jc w:val="center"/>
            </w:pPr>
          </w:p>
        </w:tc>
        <w:tc>
          <w:tcPr>
            <w:tcW w:w="1134" w:type="dxa"/>
            <w:vAlign w:val="center"/>
          </w:tcPr>
          <w:p w:rsidR="00D64876" w:rsidRDefault="00D64876" w:rsidP="0070273F">
            <w:pPr>
              <w:pStyle w:val="NoSpacing"/>
              <w:jc w:val="center"/>
            </w:pPr>
          </w:p>
        </w:tc>
        <w:tc>
          <w:tcPr>
            <w:tcW w:w="4189" w:type="dxa"/>
            <w:vAlign w:val="center"/>
          </w:tcPr>
          <w:p w:rsidR="00D64876" w:rsidRDefault="00D64876" w:rsidP="0070273F">
            <w:pPr>
              <w:pStyle w:val="NoSpacing"/>
            </w:pPr>
          </w:p>
        </w:tc>
      </w:tr>
      <w:tr w:rsidR="00D64876" w:rsidTr="00D64876">
        <w:tc>
          <w:tcPr>
            <w:tcW w:w="3510" w:type="dxa"/>
            <w:vAlign w:val="center"/>
          </w:tcPr>
          <w:p w:rsidR="00D64876" w:rsidRDefault="00D64876" w:rsidP="0070273F">
            <w:pPr>
              <w:pStyle w:val="NoSpacing"/>
            </w:pPr>
          </w:p>
        </w:tc>
        <w:tc>
          <w:tcPr>
            <w:tcW w:w="2604" w:type="dxa"/>
            <w:vAlign w:val="center"/>
          </w:tcPr>
          <w:p w:rsidR="00D64876" w:rsidRDefault="00D64876" w:rsidP="00E33655">
            <w:pPr>
              <w:pStyle w:val="NoSpacing"/>
              <w:jc w:val="center"/>
            </w:pPr>
          </w:p>
        </w:tc>
        <w:tc>
          <w:tcPr>
            <w:tcW w:w="798" w:type="dxa"/>
            <w:vAlign w:val="center"/>
          </w:tcPr>
          <w:p w:rsidR="00D64876" w:rsidRDefault="00D64876" w:rsidP="00D64876">
            <w:pPr>
              <w:pStyle w:val="NoSpacing"/>
              <w:jc w:val="center"/>
            </w:pPr>
          </w:p>
        </w:tc>
        <w:tc>
          <w:tcPr>
            <w:tcW w:w="1154" w:type="dxa"/>
            <w:vAlign w:val="center"/>
          </w:tcPr>
          <w:p w:rsidR="00D64876" w:rsidRDefault="00D64876" w:rsidP="0070273F">
            <w:pPr>
              <w:pStyle w:val="NoSpacing"/>
              <w:jc w:val="center"/>
            </w:pPr>
          </w:p>
        </w:tc>
        <w:tc>
          <w:tcPr>
            <w:tcW w:w="1114" w:type="dxa"/>
            <w:vAlign w:val="center"/>
          </w:tcPr>
          <w:p w:rsidR="00D64876" w:rsidRDefault="00D64876" w:rsidP="00E33655">
            <w:pPr>
              <w:pStyle w:val="NoSpacing"/>
              <w:jc w:val="center"/>
            </w:pPr>
          </w:p>
        </w:tc>
        <w:tc>
          <w:tcPr>
            <w:tcW w:w="1134" w:type="dxa"/>
            <w:vAlign w:val="center"/>
          </w:tcPr>
          <w:p w:rsidR="00D64876" w:rsidRDefault="00D64876" w:rsidP="0070273F">
            <w:pPr>
              <w:pStyle w:val="NoSpacing"/>
              <w:jc w:val="center"/>
            </w:pPr>
          </w:p>
        </w:tc>
        <w:tc>
          <w:tcPr>
            <w:tcW w:w="4189" w:type="dxa"/>
            <w:vAlign w:val="center"/>
          </w:tcPr>
          <w:p w:rsidR="00D64876" w:rsidRDefault="00D64876" w:rsidP="0070273F">
            <w:pPr>
              <w:pStyle w:val="NoSpacing"/>
            </w:pPr>
          </w:p>
        </w:tc>
      </w:tr>
    </w:tbl>
    <w:p w:rsidR="0077383F" w:rsidRDefault="0077383F" w:rsidP="0077383F">
      <w:pPr>
        <w:pStyle w:val="NoSpacing"/>
      </w:pPr>
    </w:p>
    <w:p w:rsidR="00790762" w:rsidRDefault="001519A2" w:rsidP="001519A2">
      <w:pPr>
        <w:pStyle w:val="Heading3"/>
      </w:pPr>
      <w:r>
        <w:t>1. FAIR DO Related Work</w:t>
      </w:r>
    </w:p>
    <w:p w:rsidR="001519A2" w:rsidRDefault="001519A2" w:rsidP="0077383F">
      <w:pPr>
        <w:pStyle w:val="NoSpacing"/>
      </w:pPr>
      <w:r>
        <w:t xml:space="preserve">The scope of work to be done is huge. Most urgent are test cases with the adaptation of repositories to DOIP. The existence of concrete software implementations to for example adapt fedora, D-Space or other concrete repositories will be crucial for acceptance. </w:t>
      </w:r>
      <w:r w:rsidR="00053F55">
        <w:t>Many other DO topics could be taken up, but this seems to be the most straightforward topic to be addressed. We will discuss this within the GEDE DO group.</w:t>
      </w:r>
    </w:p>
    <w:p w:rsidR="001519A2" w:rsidRDefault="001519A2" w:rsidP="001519A2">
      <w:pPr>
        <w:pStyle w:val="Heading3"/>
      </w:pPr>
      <w:r>
        <w:t>2. AAI</w:t>
      </w:r>
    </w:p>
    <w:p w:rsidR="001519A2" w:rsidRDefault="00053F55" w:rsidP="0077383F">
      <w:pPr>
        <w:pStyle w:val="NoSpacing"/>
      </w:pPr>
      <w:r>
        <w:t>For cross-border (disciplines, repositories, countries) work in Europe it is still a nightmare that there is no accepted generic solution for the authentication side. It is not per se a technological aspect to be solved - there are suggestions that need to be analysed, the biggest challenge to be addressed is the policy harmonisation across countries. GEDE could be used to summarise the experiences, solutions being used and suggestions for change. This work needs to be synchronised with existing groups for example in RDA without losing the biggest advantage of RIS: they understand the practical needs.</w:t>
      </w:r>
    </w:p>
    <w:p w:rsidR="001519A2" w:rsidRDefault="00053F55" w:rsidP="0077383F">
      <w:pPr>
        <w:pStyle w:val="NoSpacing"/>
      </w:pPr>
      <w:r>
        <w:t>Another unsolved aspect is the authorisation in distributed scenarios where the Finish IT providers in collaboration with EUDAT and ELIXIR worked out a solution. This solution would have to be analysed based on the RI requirements and suggestions could be made for adaptation and/or adoption.</w:t>
      </w:r>
    </w:p>
    <w:p w:rsidR="00790762" w:rsidRDefault="001519A2" w:rsidP="001519A2">
      <w:pPr>
        <w:pStyle w:val="Heading3"/>
      </w:pPr>
      <w:r>
        <w:t>3. Semantic Mapping</w:t>
      </w:r>
    </w:p>
    <w:p w:rsidR="001519A2" w:rsidRDefault="00053F55" w:rsidP="0077383F">
      <w:pPr>
        <w:pStyle w:val="NoSpacing"/>
      </w:pPr>
      <w:r>
        <w:t xml:space="preserve">Semantic Mapping of metadata is what many people have done extensively between disciplines but also mapping to semantically loosely specified sets such as DC. Often these mappings are not explicitly registered, i.e. no one else can make use of them. Problematic is the mapping at scientific annotation level due to the well-known challenges due to semantic shifts, theory-bound definitions of concepts, etc. In some disciplines complex ontologies have been built, but in daily work when data is being used across narrow boundaries these ontologies are often underused or even ignored. </w:t>
      </w:r>
      <w:r w:rsidR="00BA3CD0">
        <w:t xml:space="preserve">What is needed is a simple to use framework where researchers can easily define mapping relations in a pragmatic way, store them and share them with others. CLARIN and perhaps others made early versions. These would have to be analysed and suggestions for a cross-disciplinary framework could be made. Implementing it would be difficult </w:t>
      </w:r>
      <w:r w:rsidR="002738C9">
        <w:t>in</w:t>
      </w:r>
      <w:r w:rsidR="00BA3CD0">
        <w:t xml:space="preserve"> this EOSC Sec context. </w:t>
      </w:r>
    </w:p>
    <w:p w:rsidR="001519A2" w:rsidRDefault="001519A2" w:rsidP="001519A2">
      <w:pPr>
        <w:pStyle w:val="Heading3"/>
      </w:pPr>
      <w:r>
        <w:t>4. Automation</w:t>
      </w:r>
    </w:p>
    <w:p w:rsidR="001519A2" w:rsidRDefault="002738C9" w:rsidP="0077383F">
      <w:pPr>
        <w:pStyle w:val="NoSpacing"/>
      </w:pPr>
      <w:r>
        <w:t xml:space="preserve">Automation is a big challenge and can only be achieved stepwise. In the RDA realm a training course has been organised for example which had as goal to integrate data and metadata in a simple repository and then use </w:t>
      </w:r>
      <w:proofErr w:type="spellStart"/>
      <w:r>
        <w:t>Jupyter</w:t>
      </w:r>
      <w:proofErr w:type="spellEnd"/>
      <w:r>
        <w:t xml:space="preserve"> notebook to execute simple analytics on the data. Other initiatives may have done similar concrete exercises helping young people to learn how to use these tools. Another aspect could be to create code snippets that are required in almost all </w:t>
      </w:r>
      <w:r w:rsidR="00B32B1E">
        <w:lastRenderedPageBreak/>
        <w:t>FAIR compliant workflows such as: resolve a PID, register a PID including state information such as checksum etc., read existing metadata, create new metadata including provenance information, form packets of data &amp; Metadata to be uploaded in repositories, etc. Having a library of such snippets would make it very easy for people to create workflows that create FAIR compliant data and store them in FAIR compliant repositories. Such code library could be made open and sharable - thus being FAIR compliant.</w:t>
      </w:r>
    </w:p>
    <w:p w:rsidR="001519A2" w:rsidRDefault="001519A2" w:rsidP="0077383F">
      <w:pPr>
        <w:pStyle w:val="NoSpacing"/>
      </w:pPr>
    </w:p>
    <w:p w:rsidR="00790762" w:rsidRDefault="00790762" w:rsidP="0077383F">
      <w:pPr>
        <w:pStyle w:val="NoSpacing"/>
      </w:pPr>
    </w:p>
    <w:p w:rsidR="00790762" w:rsidRDefault="00790762" w:rsidP="0077383F">
      <w:pPr>
        <w:pStyle w:val="NoSpacing"/>
      </w:pPr>
    </w:p>
    <w:sectPr w:rsidR="00790762" w:rsidSect="00790762">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4FD" w:rsidRDefault="00B744FD" w:rsidP="0005424F">
      <w:pPr>
        <w:spacing w:after="0" w:line="240" w:lineRule="auto"/>
      </w:pPr>
      <w:r>
        <w:separator/>
      </w:r>
    </w:p>
  </w:endnote>
  <w:endnote w:type="continuationSeparator" w:id="0">
    <w:p w:rsidR="00B744FD" w:rsidRDefault="00B744FD" w:rsidP="00054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4FD" w:rsidRDefault="00B744FD" w:rsidP="0005424F">
      <w:pPr>
        <w:spacing w:after="0" w:line="240" w:lineRule="auto"/>
      </w:pPr>
      <w:r>
        <w:separator/>
      </w:r>
    </w:p>
  </w:footnote>
  <w:footnote w:type="continuationSeparator" w:id="0">
    <w:p w:rsidR="00B744FD" w:rsidRDefault="00B744FD" w:rsidP="0005424F">
      <w:pPr>
        <w:spacing w:after="0" w:line="240" w:lineRule="auto"/>
      </w:pPr>
      <w:r>
        <w:continuationSeparator/>
      </w:r>
    </w:p>
  </w:footnote>
  <w:footnote w:id="1">
    <w:p w:rsidR="0005424F" w:rsidRPr="0005424F" w:rsidRDefault="0005424F">
      <w:pPr>
        <w:pStyle w:val="FootnoteText"/>
      </w:pPr>
      <w:r>
        <w:rPr>
          <w:rStyle w:val="FootnoteReference"/>
        </w:rPr>
        <w:footnoteRef/>
      </w:r>
      <w:r>
        <w:t xml:space="preserve"> Proposals b</w:t>
      </w:r>
      <w:r w:rsidRPr="0005424F">
        <w:t xml:space="preserve">etween 100 and 150 k€ seem to be appropriate.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F79EC"/>
    <w:multiLevelType w:val="hybridMultilevel"/>
    <w:tmpl w:val="5E6CB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D71A38"/>
    <w:multiLevelType w:val="hybridMultilevel"/>
    <w:tmpl w:val="F7425B1C"/>
    <w:lvl w:ilvl="0" w:tplc="CCCE91DA">
      <w:start w:val="1"/>
      <w:numFmt w:val="bullet"/>
      <w:lvlText w:val="•"/>
      <w:lvlJc w:val="left"/>
      <w:pPr>
        <w:tabs>
          <w:tab w:val="num" w:pos="720"/>
        </w:tabs>
        <w:ind w:left="720" w:hanging="360"/>
      </w:pPr>
      <w:rPr>
        <w:rFonts w:ascii="Arial" w:hAnsi="Arial" w:hint="default"/>
      </w:rPr>
    </w:lvl>
    <w:lvl w:ilvl="1" w:tplc="004A95FC" w:tentative="1">
      <w:start w:val="1"/>
      <w:numFmt w:val="bullet"/>
      <w:lvlText w:val="•"/>
      <w:lvlJc w:val="left"/>
      <w:pPr>
        <w:tabs>
          <w:tab w:val="num" w:pos="1440"/>
        </w:tabs>
        <w:ind w:left="1440" w:hanging="360"/>
      </w:pPr>
      <w:rPr>
        <w:rFonts w:ascii="Arial" w:hAnsi="Arial" w:hint="default"/>
      </w:rPr>
    </w:lvl>
    <w:lvl w:ilvl="2" w:tplc="654A3FD8" w:tentative="1">
      <w:start w:val="1"/>
      <w:numFmt w:val="bullet"/>
      <w:lvlText w:val="•"/>
      <w:lvlJc w:val="left"/>
      <w:pPr>
        <w:tabs>
          <w:tab w:val="num" w:pos="2160"/>
        </w:tabs>
        <w:ind w:left="2160" w:hanging="360"/>
      </w:pPr>
      <w:rPr>
        <w:rFonts w:ascii="Arial" w:hAnsi="Arial" w:hint="default"/>
      </w:rPr>
    </w:lvl>
    <w:lvl w:ilvl="3" w:tplc="B344E136" w:tentative="1">
      <w:start w:val="1"/>
      <w:numFmt w:val="bullet"/>
      <w:lvlText w:val="•"/>
      <w:lvlJc w:val="left"/>
      <w:pPr>
        <w:tabs>
          <w:tab w:val="num" w:pos="2880"/>
        </w:tabs>
        <w:ind w:left="2880" w:hanging="360"/>
      </w:pPr>
      <w:rPr>
        <w:rFonts w:ascii="Arial" w:hAnsi="Arial" w:hint="default"/>
      </w:rPr>
    </w:lvl>
    <w:lvl w:ilvl="4" w:tplc="65BC762C" w:tentative="1">
      <w:start w:val="1"/>
      <w:numFmt w:val="bullet"/>
      <w:lvlText w:val="•"/>
      <w:lvlJc w:val="left"/>
      <w:pPr>
        <w:tabs>
          <w:tab w:val="num" w:pos="3600"/>
        </w:tabs>
        <w:ind w:left="3600" w:hanging="360"/>
      </w:pPr>
      <w:rPr>
        <w:rFonts w:ascii="Arial" w:hAnsi="Arial" w:hint="default"/>
      </w:rPr>
    </w:lvl>
    <w:lvl w:ilvl="5" w:tplc="E9200528" w:tentative="1">
      <w:start w:val="1"/>
      <w:numFmt w:val="bullet"/>
      <w:lvlText w:val="•"/>
      <w:lvlJc w:val="left"/>
      <w:pPr>
        <w:tabs>
          <w:tab w:val="num" w:pos="4320"/>
        </w:tabs>
        <w:ind w:left="4320" w:hanging="360"/>
      </w:pPr>
      <w:rPr>
        <w:rFonts w:ascii="Arial" w:hAnsi="Arial" w:hint="default"/>
      </w:rPr>
    </w:lvl>
    <w:lvl w:ilvl="6" w:tplc="386E4C6C" w:tentative="1">
      <w:start w:val="1"/>
      <w:numFmt w:val="bullet"/>
      <w:lvlText w:val="•"/>
      <w:lvlJc w:val="left"/>
      <w:pPr>
        <w:tabs>
          <w:tab w:val="num" w:pos="5040"/>
        </w:tabs>
        <w:ind w:left="5040" w:hanging="360"/>
      </w:pPr>
      <w:rPr>
        <w:rFonts w:ascii="Arial" w:hAnsi="Arial" w:hint="default"/>
      </w:rPr>
    </w:lvl>
    <w:lvl w:ilvl="7" w:tplc="36EC5994" w:tentative="1">
      <w:start w:val="1"/>
      <w:numFmt w:val="bullet"/>
      <w:lvlText w:val="•"/>
      <w:lvlJc w:val="left"/>
      <w:pPr>
        <w:tabs>
          <w:tab w:val="num" w:pos="5760"/>
        </w:tabs>
        <w:ind w:left="5760" w:hanging="360"/>
      </w:pPr>
      <w:rPr>
        <w:rFonts w:ascii="Arial" w:hAnsi="Arial" w:hint="default"/>
      </w:rPr>
    </w:lvl>
    <w:lvl w:ilvl="8" w:tplc="DE9A4668" w:tentative="1">
      <w:start w:val="1"/>
      <w:numFmt w:val="bullet"/>
      <w:lvlText w:val="•"/>
      <w:lvlJc w:val="left"/>
      <w:pPr>
        <w:tabs>
          <w:tab w:val="num" w:pos="6480"/>
        </w:tabs>
        <w:ind w:left="6480" w:hanging="360"/>
      </w:pPr>
      <w:rPr>
        <w:rFonts w:ascii="Arial" w:hAnsi="Arial" w:hint="default"/>
      </w:rPr>
    </w:lvl>
  </w:abstractNum>
  <w:abstractNum w:abstractNumId="2">
    <w:nsid w:val="40BC3331"/>
    <w:multiLevelType w:val="hybridMultilevel"/>
    <w:tmpl w:val="4642BC92"/>
    <w:lvl w:ilvl="0" w:tplc="AD20398A">
      <w:start w:val="1"/>
      <w:numFmt w:val="bullet"/>
      <w:lvlText w:val="•"/>
      <w:lvlJc w:val="left"/>
      <w:pPr>
        <w:tabs>
          <w:tab w:val="num" w:pos="720"/>
        </w:tabs>
        <w:ind w:left="720" w:hanging="360"/>
      </w:pPr>
      <w:rPr>
        <w:rFonts w:ascii="Arial" w:hAnsi="Arial" w:hint="default"/>
      </w:rPr>
    </w:lvl>
    <w:lvl w:ilvl="1" w:tplc="F3B2BB6A" w:tentative="1">
      <w:start w:val="1"/>
      <w:numFmt w:val="bullet"/>
      <w:lvlText w:val="•"/>
      <w:lvlJc w:val="left"/>
      <w:pPr>
        <w:tabs>
          <w:tab w:val="num" w:pos="1440"/>
        </w:tabs>
        <w:ind w:left="1440" w:hanging="360"/>
      </w:pPr>
      <w:rPr>
        <w:rFonts w:ascii="Arial" w:hAnsi="Arial" w:hint="default"/>
      </w:rPr>
    </w:lvl>
    <w:lvl w:ilvl="2" w:tplc="87147B0C" w:tentative="1">
      <w:start w:val="1"/>
      <w:numFmt w:val="bullet"/>
      <w:lvlText w:val="•"/>
      <w:lvlJc w:val="left"/>
      <w:pPr>
        <w:tabs>
          <w:tab w:val="num" w:pos="2160"/>
        </w:tabs>
        <w:ind w:left="2160" w:hanging="360"/>
      </w:pPr>
      <w:rPr>
        <w:rFonts w:ascii="Arial" w:hAnsi="Arial" w:hint="default"/>
      </w:rPr>
    </w:lvl>
    <w:lvl w:ilvl="3" w:tplc="0DC471A2" w:tentative="1">
      <w:start w:val="1"/>
      <w:numFmt w:val="bullet"/>
      <w:lvlText w:val="•"/>
      <w:lvlJc w:val="left"/>
      <w:pPr>
        <w:tabs>
          <w:tab w:val="num" w:pos="2880"/>
        </w:tabs>
        <w:ind w:left="2880" w:hanging="360"/>
      </w:pPr>
      <w:rPr>
        <w:rFonts w:ascii="Arial" w:hAnsi="Arial" w:hint="default"/>
      </w:rPr>
    </w:lvl>
    <w:lvl w:ilvl="4" w:tplc="E4BC95E4" w:tentative="1">
      <w:start w:val="1"/>
      <w:numFmt w:val="bullet"/>
      <w:lvlText w:val="•"/>
      <w:lvlJc w:val="left"/>
      <w:pPr>
        <w:tabs>
          <w:tab w:val="num" w:pos="3600"/>
        </w:tabs>
        <w:ind w:left="3600" w:hanging="360"/>
      </w:pPr>
      <w:rPr>
        <w:rFonts w:ascii="Arial" w:hAnsi="Arial" w:hint="default"/>
      </w:rPr>
    </w:lvl>
    <w:lvl w:ilvl="5" w:tplc="DA14C0AA" w:tentative="1">
      <w:start w:val="1"/>
      <w:numFmt w:val="bullet"/>
      <w:lvlText w:val="•"/>
      <w:lvlJc w:val="left"/>
      <w:pPr>
        <w:tabs>
          <w:tab w:val="num" w:pos="4320"/>
        </w:tabs>
        <w:ind w:left="4320" w:hanging="360"/>
      </w:pPr>
      <w:rPr>
        <w:rFonts w:ascii="Arial" w:hAnsi="Arial" w:hint="default"/>
      </w:rPr>
    </w:lvl>
    <w:lvl w:ilvl="6" w:tplc="F22E85AC" w:tentative="1">
      <w:start w:val="1"/>
      <w:numFmt w:val="bullet"/>
      <w:lvlText w:val="•"/>
      <w:lvlJc w:val="left"/>
      <w:pPr>
        <w:tabs>
          <w:tab w:val="num" w:pos="5040"/>
        </w:tabs>
        <w:ind w:left="5040" w:hanging="360"/>
      </w:pPr>
      <w:rPr>
        <w:rFonts w:ascii="Arial" w:hAnsi="Arial" w:hint="default"/>
      </w:rPr>
    </w:lvl>
    <w:lvl w:ilvl="7" w:tplc="7E643794" w:tentative="1">
      <w:start w:val="1"/>
      <w:numFmt w:val="bullet"/>
      <w:lvlText w:val="•"/>
      <w:lvlJc w:val="left"/>
      <w:pPr>
        <w:tabs>
          <w:tab w:val="num" w:pos="5760"/>
        </w:tabs>
        <w:ind w:left="5760" w:hanging="360"/>
      </w:pPr>
      <w:rPr>
        <w:rFonts w:ascii="Arial" w:hAnsi="Arial" w:hint="default"/>
      </w:rPr>
    </w:lvl>
    <w:lvl w:ilvl="8" w:tplc="A3DE222C" w:tentative="1">
      <w:start w:val="1"/>
      <w:numFmt w:val="bullet"/>
      <w:lvlText w:val="•"/>
      <w:lvlJc w:val="left"/>
      <w:pPr>
        <w:tabs>
          <w:tab w:val="num" w:pos="6480"/>
        </w:tabs>
        <w:ind w:left="6480" w:hanging="360"/>
      </w:pPr>
      <w:rPr>
        <w:rFonts w:ascii="Arial" w:hAnsi="Arial" w:hint="default"/>
      </w:rPr>
    </w:lvl>
  </w:abstractNum>
  <w:abstractNum w:abstractNumId="3">
    <w:nsid w:val="4C1452FC"/>
    <w:multiLevelType w:val="hybridMultilevel"/>
    <w:tmpl w:val="9E189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69260C8"/>
    <w:multiLevelType w:val="hybridMultilevel"/>
    <w:tmpl w:val="669CDFAE"/>
    <w:lvl w:ilvl="0" w:tplc="97B8D6B6">
      <w:start w:val="1"/>
      <w:numFmt w:val="bullet"/>
      <w:lvlText w:val="•"/>
      <w:lvlJc w:val="left"/>
      <w:pPr>
        <w:tabs>
          <w:tab w:val="num" w:pos="720"/>
        </w:tabs>
        <w:ind w:left="720" w:hanging="360"/>
      </w:pPr>
      <w:rPr>
        <w:rFonts w:ascii="Arial" w:hAnsi="Arial" w:hint="default"/>
      </w:rPr>
    </w:lvl>
    <w:lvl w:ilvl="1" w:tplc="B0483852" w:tentative="1">
      <w:start w:val="1"/>
      <w:numFmt w:val="bullet"/>
      <w:lvlText w:val="•"/>
      <w:lvlJc w:val="left"/>
      <w:pPr>
        <w:tabs>
          <w:tab w:val="num" w:pos="1440"/>
        </w:tabs>
        <w:ind w:left="1440" w:hanging="360"/>
      </w:pPr>
      <w:rPr>
        <w:rFonts w:ascii="Arial" w:hAnsi="Arial" w:hint="default"/>
      </w:rPr>
    </w:lvl>
    <w:lvl w:ilvl="2" w:tplc="1B0E5958" w:tentative="1">
      <w:start w:val="1"/>
      <w:numFmt w:val="bullet"/>
      <w:lvlText w:val="•"/>
      <w:lvlJc w:val="left"/>
      <w:pPr>
        <w:tabs>
          <w:tab w:val="num" w:pos="2160"/>
        </w:tabs>
        <w:ind w:left="2160" w:hanging="360"/>
      </w:pPr>
      <w:rPr>
        <w:rFonts w:ascii="Arial" w:hAnsi="Arial" w:hint="default"/>
      </w:rPr>
    </w:lvl>
    <w:lvl w:ilvl="3" w:tplc="F68CDE9C" w:tentative="1">
      <w:start w:val="1"/>
      <w:numFmt w:val="bullet"/>
      <w:lvlText w:val="•"/>
      <w:lvlJc w:val="left"/>
      <w:pPr>
        <w:tabs>
          <w:tab w:val="num" w:pos="2880"/>
        </w:tabs>
        <w:ind w:left="2880" w:hanging="360"/>
      </w:pPr>
      <w:rPr>
        <w:rFonts w:ascii="Arial" w:hAnsi="Arial" w:hint="default"/>
      </w:rPr>
    </w:lvl>
    <w:lvl w:ilvl="4" w:tplc="AB86D14E" w:tentative="1">
      <w:start w:val="1"/>
      <w:numFmt w:val="bullet"/>
      <w:lvlText w:val="•"/>
      <w:lvlJc w:val="left"/>
      <w:pPr>
        <w:tabs>
          <w:tab w:val="num" w:pos="3600"/>
        </w:tabs>
        <w:ind w:left="3600" w:hanging="360"/>
      </w:pPr>
      <w:rPr>
        <w:rFonts w:ascii="Arial" w:hAnsi="Arial" w:hint="default"/>
      </w:rPr>
    </w:lvl>
    <w:lvl w:ilvl="5" w:tplc="12B4F4FE" w:tentative="1">
      <w:start w:val="1"/>
      <w:numFmt w:val="bullet"/>
      <w:lvlText w:val="•"/>
      <w:lvlJc w:val="left"/>
      <w:pPr>
        <w:tabs>
          <w:tab w:val="num" w:pos="4320"/>
        </w:tabs>
        <w:ind w:left="4320" w:hanging="360"/>
      </w:pPr>
      <w:rPr>
        <w:rFonts w:ascii="Arial" w:hAnsi="Arial" w:hint="default"/>
      </w:rPr>
    </w:lvl>
    <w:lvl w:ilvl="6" w:tplc="6074DA24" w:tentative="1">
      <w:start w:val="1"/>
      <w:numFmt w:val="bullet"/>
      <w:lvlText w:val="•"/>
      <w:lvlJc w:val="left"/>
      <w:pPr>
        <w:tabs>
          <w:tab w:val="num" w:pos="5040"/>
        </w:tabs>
        <w:ind w:left="5040" w:hanging="360"/>
      </w:pPr>
      <w:rPr>
        <w:rFonts w:ascii="Arial" w:hAnsi="Arial" w:hint="default"/>
      </w:rPr>
    </w:lvl>
    <w:lvl w:ilvl="7" w:tplc="5A82C22A" w:tentative="1">
      <w:start w:val="1"/>
      <w:numFmt w:val="bullet"/>
      <w:lvlText w:val="•"/>
      <w:lvlJc w:val="left"/>
      <w:pPr>
        <w:tabs>
          <w:tab w:val="num" w:pos="5760"/>
        </w:tabs>
        <w:ind w:left="5760" w:hanging="360"/>
      </w:pPr>
      <w:rPr>
        <w:rFonts w:ascii="Arial" w:hAnsi="Arial" w:hint="default"/>
      </w:rPr>
    </w:lvl>
    <w:lvl w:ilvl="8" w:tplc="4FAE3E32" w:tentative="1">
      <w:start w:val="1"/>
      <w:numFmt w:val="bullet"/>
      <w:lvlText w:val="•"/>
      <w:lvlJc w:val="left"/>
      <w:pPr>
        <w:tabs>
          <w:tab w:val="num" w:pos="6480"/>
        </w:tabs>
        <w:ind w:left="6480" w:hanging="360"/>
      </w:pPr>
      <w:rPr>
        <w:rFonts w:ascii="Arial" w:hAnsi="Arial" w:hint="default"/>
      </w:rPr>
    </w:lvl>
  </w:abstractNum>
  <w:abstractNum w:abstractNumId="5">
    <w:nsid w:val="60891FC2"/>
    <w:multiLevelType w:val="hybridMultilevel"/>
    <w:tmpl w:val="0CB03B88"/>
    <w:lvl w:ilvl="0" w:tplc="08090001">
      <w:start w:val="1"/>
      <w:numFmt w:val="bullet"/>
      <w:lvlText w:val=""/>
      <w:lvlJc w:val="left"/>
      <w:pPr>
        <w:tabs>
          <w:tab w:val="num" w:pos="720"/>
        </w:tabs>
        <w:ind w:left="720" w:hanging="360"/>
      </w:pPr>
      <w:rPr>
        <w:rFonts w:ascii="Symbol" w:hAnsi="Symbol" w:hint="default"/>
      </w:rPr>
    </w:lvl>
    <w:lvl w:ilvl="1" w:tplc="B0483852" w:tentative="1">
      <w:start w:val="1"/>
      <w:numFmt w:val="bullet"/>
      <w:lvlText w:val="•"/>
      <w:lvlJc w:val="left"/>
      <w:pPr>
        <w:tabs>
          <w:tab w:val="num" w:pos="1440"/>
        </w:tabs>
        <w:ind w:left="1440" w:hanging="360"/>
      </w:pPr>
      <w:rPr>
        <w:rFonts w:ascii="Arial" w:hAnsi="Arial" w:hint="default"/>
      </w:rPr>
    </w:lvl>
    <w:lvl w:ilvl="2" w:tplc="1B0E5958" w:tentative="1">
      <w:start w:val="1"/>
      <w:numFmt w:val="bullet"/>
      <w:lvlText w:val="•"/>
      <w:lvlJc w:val="left"/>
      <w:pPr>
        <w:tabs>
          <w:tab w:val="num" w:pos="2160"/>
        </w:tabs>
        <w:ind w:left="2160" w:hanging="360"/>
      </w:pPr>
      <w:rPr>
        <w:rFonts w:ascii="Arial" w:hAnsi="Arial" w:hint="default"/>
      </w:rPr>
    </w:lvl>
    <w:lvl w:ilvl="3" w:tplc="F68CDE9C" w:tentative="1">
      <w:start w:val="1"/>
      <w:numFmt w:val="bullet"/>
      <w:lvlText w:val="•"/>
      <w:lvlJc w:val="left"/>
      <w:pPr>
        <w:tabs>
          <w:tab w:val="num" w:pos="2880"/>
        </w:tabs>
        <w:ind w:left="2880" w:hanging="360"/>
      </w:pPr>
      <w:rPr>
        <w:rFonts w:ascii="Arial" w:hAnsi="Arial" w:hint="default"/>
      </w:rPr>
    </w:lvl>
    <w:lvl w:ilvl="4" w:tplc="AB86D14E" w:tentative="1">
      <w:start w:val="1"/>
      <w:numFmt w:val="bullet"/>
      <w:lvlText w:val="•"/>
      <w:lvlJc w:val="left"/>
      <w:pPr>
        <w:tabs>
          <w:tab w:val="num" w:pos="3600"/>
        </w:tabs>
        <w:ind w:left="3600" w:hanging="360"/>
      </w:pPr>
      <w:rPr>
        <w:rFonts w:ascii="Arial" w:hAnsi="Arial" w:hint="default"/>
      </w:rPr>
    </w:lvl>
    <w:lvl w:ilvl="5" w:tplc="12B4F4FE" w:tentative="1">
      <w:start w:val="1"/>
      <w:numFmt w:val="bullet"/>
      <w:lvlText w:val="•"/>
      <w:lvlJc w:val="left"/>
      <w:pPr>
        <w:tabs>
          <w:tab w:val="num" w:pos="4320"/>
        </w:tabs>
        <w:ind w:left="4320" w:hanging="360"/>
      </w:pPr>
      <w:rPr>
        <w:rFonts w:ascii="Arial" w:hAnsi="Arial" w:hint="default"/>
      </w:rPr>
    </w:lvl>
    <w:lvl w:ilvl="6" w:tplc="6074DA24" w:tentative="1">
      <w:start w:val="1"/>
      <w:numFmt w:val="bullet"/>
      <w:lvlText w:val="•"/>
      <w:lvlJc w:val="left"/>
      <w:pPr>
        <w:tabs>
          <w:tab w:val="num" w:pos="5040"/>
        </w:tabs>
        <w:ind w:left="5040" w:hanging="360"/>
      </w:pPr>
      <w:rPr>
        <w:rFonts w:ascii="Arial" w:hAnsi="Arial" w:hint="default"/>
      </w:rPr>
    </w:lvl>
    <w:lvl w:ilvl="7" w:tplc="5A82C22A" w:tentative="1">
      <w:start w:val="1"/>
      <w:numFmt w:val="bullet"/>
      <w:lvlText w:val="•"/>
      <w:lvlJc w:val="left"/>
      <w:pPr>
        <w:tabs>
          <w:tab w:val="num" w:pos="5760"/>
        </w:tabs>
        <w:ind w:left="5760" w:hanging="360"/>
      </w:pPr>
      <w:rPr>
        <w:rFonts w:ascii="Arial" w:hAnsi="Arial" w:hint="default"/>
      </w:rPr>
    </w:lvl>
    <w:lvl w:ilvl="8" w:tplc="4FAE3E32" w:tentative="1">
      <w:start w:val="1"/>
      <w:numFmt w:val="bullet"/>
      <w:lvlText w:val="•"/>
      <w:lvlJc w:val="left"/>
      <w:pPr>
        <w:tabs>
          <w:tab w:val="num" w:pos="6480"/>
        </w:tabs>
        <w:ind w:left="6480" w:hanging="360"/>
      </w:pPr>
      <w:rPr>
        <w:rFonts w:ascii="Arial" w:hAnsi="Arial" w:hint="default"/>
      </w:rPr>
    </w:lvl>
  </w:abstractNum>
  <w:abstractNum w:abstractNumId="6">
    <w:nsid w:val="76027627"/>
    <w:multiLevelType w:val="hybridMultilevel"/>
    <w:tmpl w:val="2768104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AB2516D"/>
    <w:multiLevelType w:val="hybridMultilevel"/>
    <w:tmpl w:val="09240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83F"/>
    <w:rsid w:val="00053F55"/>
    <w:rsid w:val="0005424F"/>
    <w:rsid w:val="001519A2"/>
    <w:rsid w:val="00261CE3"/>
    <w:rsid w:val="002738C9"/>
    <w:rsid w:val="005237EB"/>
    <w:rsid w:val="0070273F"/>
    <w:rsid w:val="0077383F"/>
    <w:rsid w:val="00790762"/>
    <w:rsid w:val="007D14BE"/>
    <w:rsid w:val="00822B58"/>
    <w:rsid w:val="00856369"/>
    <w:rsid w:val="00B32B1E"/>
    <w:rsid w:val="00B744FD"/>
    <w:rsid w:val="00BA3CD0"/>
    <w:rsid w:val="00D03D0E"/>
    <w:rsid w:val="00D64876"/>
    <w:rsid w:val="00E33655"/>
    <w:rsid w:val="00F24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907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07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383F"/>
    <w:pPr>
      <w:spacing w:after="0" w:line="240" w:lineRule="auto"/>
    </w:pPr>
  </w:style>
  <w:style w:type="paragraph" w:styleId="Title">
    <w:name w:val="Title"/>
    <w:basedOn w:val="Normal"/>
    <w:next w:val="Normal"/>
    <w:link w:val="TitleChar"/>
    <w:uiPriority w:val="10"/>
    <w:qFormat/>
    <w:rsid w:val="007738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383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07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0762"/>
    <w:rPr>
      <w:rFonts w:asciiTheme="majorHAnsi" w:eastAsiaTheme="majorEastAsia" w:hAnsiTheme="majorHAnsi" w:cstheme="majorBidi"/>
      <w:b/>
      <w:bCs/>
      <w:color w:val="4F81BD" w:themeColor="accent1"/>
    </w:rPr>
  </w:style>
  <w:style w:type="table" w:styleId="TableGrid">
    <w:name w:val="Table Grid"/>
    <w:basedOn w:val="TableNormal"/>
    <w:uiPriority w:val="59"/>
    <w:rsid w:val="00790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542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424F"/>
    <w:rPr>
      <w:sz w:val="20"/>
      <w:szCs w:val="20"/>
    </w:rPr>
  </w:style>
  <w:style w:type="character" w:styleId="FootnoteReference">
    <w:name w:val="footnote reference"/>
    <w:basedOn w:val="DefaultParagraphFont"/>
    <w:uiPriority w:val="99"/>
    <w:semiHidden/>
    <w:unhideWhenUsed/>
    <w:rsid w:val="0005424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907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07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383F"/>
    <w:pPr>
      <w:spacing w:after="0" w:line="240" w:lineRule="auto"/>
    </w:pPr>
  </w:style>
  <w:style w:type="paragraph" w:styleId="Title">
    <w:name w:val="Title"/>
    <w:basedOn w:val="Normal"/>
    <w:next w:val="Normal"/>
    <w:link w:val="TitleChar"/>
    <w:uiPriority w:val="10"/>
    <w:qFormat/>
    <w:rsid w:val="007738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383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07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0762"/>
    <w:rPr>
      <w:rFonts w:asciiTheme="majorHAnsi" w:eastAsiaTheme="majorEastAsia" w:hAnsiTheme="majorHAnsi" w:cstheme="majorBidi"/>
      <w:b/>
      <w:bCs/>
      <w:color w:val="4F81BD" w:themeColor="accent1"/>
    </w:rPr>
  </w:style>
  <w:style w:type="table" w:styleId="TableGrid">
    <w:name w:val="Table Grid"/>
    <w:basedOn w:val="TableNormal"/>
    <w:uiPriority w:val="59"/>
    <w:rsid w:val="00790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542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424F"/>
    <w:rPr>
      <w:sz w:val="20"/>
      <w:szCs w:val="20"/>
    </w:rPr>
  </w:style>
  <w:style w:type="character" w:styleId="FootnoteReference">
    <w:name w:val="footnote reference"/>
    <w:basedOn w:val="DefaultParagraphFont"/>
    <w:uiPriority w:val="99"/>
    <w:semiHidden/>
    <w:unhideWhenUsed/>
    <w:rsid w:val="000542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298186">
      <w:bodyDiv w:val="1"/>
      <w:marLeft w:val="0"/>
      <w:marRight w:val="0"/>
      <w:marTop w:val="0"/>
      <w:marBottom w:val="0"/>
      <w:divBdr>
        <w:top w:val="none" w:sz="0" w:space="0" w:color="auto"/>
        <w:left w:val="none" w:sz="0" w:space="0" w:color="auto"/>
        <w:bottom w:val="none" w:sz="0" w:space="0" w:color="auto"/>
        <w:right w:val="none" w:sz="0" w:space="0" w:color="auto"/>
      </w:divBdr>
      <w:divsChild>
        <w:div w:id="77757161">
          <w:marLeft w:val="547"/>
          <w:marRight w:val="0"/>
          <w:marTop w:val="0"/>
          <w:marBottom w:val="0"/>
          <w:divBdr>
            <w:top w:val="none" w:sz="0" w:space="0" w:color="auto"/>
            <w:left w:val="none" w:sz="0" w:space="0" w:color="auto"/>
            <w:bottom w:val="none" w:sz="0" w:space="0" w:color="auto"/>
            <w:right w:val="none" w:sz="0" w:space="0" w:color="auto"/>
          </w:divBdr>
        </w:div>
        <w:div w:id="2115903641">
          <w:marLeft w:val="547"/>
          <w:marRight w:val="0"/>
          <w:marTop w:val="0"/>
          <w:marBottom w:val="0"/>
          <w:divBdr>
            <w:top w:val="none" w:sz="0" w:space="0" w:color="auto"/>
            <w:left w:val="none" w:sz="0" w:space="0" w:color="auto"/>
            <w:bottom w:val="none" w:sz="0" w:space="0" w:color="auto"/>
            <w:right w:val="none" w:sz="0" w:space="0" w:color="auto"/>
          </w:divBdr>
        </w:div>
        <w:div w:id="307442126">
          <w:marLeft w:val="547"/>
          <w:marRight w:val="0"/>
          <w:marTop w:val="0"/>
          <w:marBottom w:val="0"/>
          <w:divBdr>
            <w:top w:val="none" w:sz="0" w:space="0" w:color="auto"/>
            <w:left w:val="none" w:sz="0" w:space="0" w:color="auto"/>
            <w:bottom w:val="none" w:sz="0" w:space="0" w:color="auto"/>
            <w:right w:val="none" w:sz="0" w:space="0" w:color="auto"/>
          </w:divBdr>
        </w:div>
        <w:div w:id="774522369">
          <w:marLeft w:val="547"/>
          <w:marRight w:val="0"/>
          <w:marTop w:val="0"/>
          <w:marBottom w:val="0"/>
          <w:divBdr>
            <w:top w:val="none" w:sz="0" w:space="0" w:color="auto"/>
            <w:left w:val="none" w:sz="0" w:space="0" w:color="auto"/>
            <w:bottom w:val="none" w:sz="0" w:space="0" w:color="auto"/>
            <w:right w:val="none" w:sz="0" w:space="0" w:color="auto"/>
          </w:divBdr>
        </w:div>
        <w:div w:id="1960721407">
          <w:marLeft w:val="547"/>
          <w:marRight w:val="0"/>
          <w:marTop w:val="0"/>
          <w:marBottom w:val="0"/>
          <w:divBdr>
            <w:top w:val="none" w:sz="0" w:space="0" w:color="auto"/>
            <w:left w:val="none" w:sz="0" w:space="0" w:color="auto"/>
            <w:bottom w:val="none" w:sz="0" w:space="0" w:color="auto"/>
            <w:right w:val="none" w:sz="0" w:space="0" w:color="auto"/>
          </w:divBdr>
        </w:div>
        <w:div w:id="851383339">
          <w:marLeft w:val="547"/>
          <w:marRight w:val="0"/>
          <w:marTop w:val="0"/>
          <w:marBottom w:val="0"/>
          <w:divBdr>
            <w:top w:val="none" w:sz="0" w:space="0" w:color="auto"/>
            <w:left w:val="none" w:sz="0" w:space="0" w:color="auto"/>
            <w:bottom w:val="none" w:sz="0" w:space="0" w:color="auto"/>
            <w:right w:val="none" w:sz="0" w:space="0" w:color="auto"/>
          </w:divBdr>
        </w:div>
        <w:div w:id="1081097811">
          <w:marLeft w:val="547"/>
          <w:marRight w:val="0"/>
          <w:marTop w:val="0"/>
          <w:marBottom w:val="0"/>
          <w:divBdr>
            <w:top w:val="none" w:sz="0" w:space="0" w:color="auto"/>
            <w:left w:val="none" w:sz="0" w:space="0" w:color="auto"/>
            <w:bottom w:val="none" w:sz="0" w:space="0" w:color="auto"/>
            <w:right w:val="none" w:sz="0" w:space="0" w:color="auto"/>
          </w:divBdr>
        </w:div>
      </w:divsChild>
    </w:div>
    <w:div w:id="458308330">
      <w:bodyDiv w:val="1"/>
      <w:marLeft w:val="0"/>
      <w:marRight w:val="0"/>
      <w:marTop w:val="0"/>
      <w:marBottom w:val="0"/>
      <w:divBdr>
        <w:top w:val="none" w:sz="0" w:space="0" w:color="auto"/>
        <w:left w:val="none" w:sz="0" w:space="0" w:color="auto"/>
        <w:bottom w:val="none" w:sz="0" w:space="0" w:color="auto"/>
        <w:right w:val="none" w:sz="0" w:space="0" w:color="auto"/>
      </w:divBdr>
      <w:divsChild>
        <w:div w:id="1101681642">
          <w:marLeft w:val="360"/>
          <w:marRight w:val="0"/>
          <w:marTop w:val="200"/>
          <w:marBottom w:val="0"/>
          <w:divBdr>
            <w:top w:val="none" w:sz="0" w:space="0" w:color="auto"/>
            <w:left w:val="none" w:sz="0" w:space="0" w:color="auto"/>
            <w:bottom w:val="none" w:sz="0" w:space="0" w:color="auto"/>
            <w:right w:val="none" w:sz="0" w:space="0" w:color="auto"/>
          </w:divBdr>
        </w:div>
        <w:div w:id="18049156">
          <w:marLeft w:val="360"/>
          <w:marRight w:val="0"/>
          <w:marTop w:val="200"/>
          <w:marBottom w:val="0"/>
          <w:divBdr>
            <w:top w:val="none" w:sz="0" w:space="0" w:color="auto"/>
            <w:left w:val="none" w:sz="0" w:space="0" w:color="auto"/>
            <w:bottom w:val="none" w:sz="0" w:space="0" w:color="auto"/>
            <w:right w:val="none" w:sz="0" w:space="0" w:color="auto"/>
          </w:divBdr>
        </w:div>
        <w:div w:id="1237982726">
          <w:marLeft w:val="360"/>
          <w:marRight w:val="0"/>
          <w:marTop w:val="200"/>
          <w:marBottom w:val="0"/>
          <w:divBdr>
            <w:top w:val="none" w:sz="0" w:space="0" w:color="auto"/>
            <w:left w:val="none" w:sz="0" w:space="0" w:color="auto"/>
            <w:bottom w:val="none" w:sz="0" w:space="0" w:color="auto"/>
            <w:right w:val="none" w:sz="0" w:space="0" w:color="auto"/>
          </w:divBdr>
        </w:div>
        <w:div w:id="506791899">
          <w:marLeft w:val="360"/>
          <w:marRight w:val="0"/>
          <w:marTop w:val="200"/>
          <w:marBottom w:val="0"/>
          <w:divBdr>
            <w:top w:val="none" w:sz="0" w:space="0" w:color="auto"/>
            <w:left w:val="none" w:sz="0" w:space="0" w:color="auto"/>
            <w:bottom w:val="none" w:sz="0" w:space="0" w:color="auto"/>
            <w:right w:val="none" w:sz="0" w:space="0" w:color="auto"/>
          </w:divBdr>
        </w:div>
        <w:div w:id="1886989750">
          <w:marLeft w:val="360"/>
          <w:marRight w:val="0"/>
          <w:marTop w:val="200"/>
          <w:marBottom w:val="0"/>
          <w:divBdr>
            <w:top w:val="none" w:sz="0" w:space="0" w:color="auto"/>
            <w:left w:val="none" w:sz="0" w:space="0" w:color="auto"/>
            <w:bottom w:val="none" w:sz="0" w:space="0" w:color="auto"/>
            <w:right w:val="none" w:sz="0" w:space="0" w:color="auto"/>
          </w:divBdr>
        </w:div>
        <w:div w:id="124383199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2135C-DB50-47A6-8B4D-9E35CD689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3</cp:revision>
  <cp:lastPrinted>2019-07-02T07:09:00Z</cp:lastPrinted>
  <dcterms:created xsi:type="dcterms:W3CDTF">2019-07-08T05:38:00Z</dcterms:created>
  <dcterms:modified xsi:type="dcterms:W3CDTF">2019-07-08T05:44:00Z</dcterms:modified>
</cp:coreProperties>
</file>