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8F59B6" w:rsidRPr="00B47ED9" w:rsidRDefault="008453AA" w:rsidP="008F59B6">
      <w:pPr>
        <w:pStyle w:val="NoSpacing"/>
        <w:jc w:val="center"/>
        <w:rPr>
          <w:sz w:val="52"/>
          <w:szCs w:val="52"/>
        </w:rPr>
      </w:pPr>
      <w:r>
        <w:rPr>
          <w:sz w:val="52"/>
          <w:szCs w:val="52"/>
        </w:rPr>
        <w:t xml:space="preserve">DO Implementation of </w:t>
      </w:r>
      <w:proofErr w:type="spellStart"/>
      <w:r>
        <w:rPr>
          <w:sz w:val="52"/>
          <w:szCs w:val="52"/>
        </w:rPr>
        <w:t>FDO</w:t>
      </w:r>
      <w:proofErr w:type="spellEnd"/>
    </w:p>
    <w:p w:rsidR="008F59B6" w:rsidRDefault="008F59B6" w:rsidP="008F59B6">
      <w:pPr>
        <w:pStyle w:val="NoSpacing"/>
      </w:pPr>
    </w:p>
    <w:p w:rsidR="00535D46" w:rsidRDefault="00535D46" w:rsidP="00535D46">
      <w:pPr>
        <w:pStyle w:val="NoSpacing"/>
        <w:jc w:val="center"/>
      </w:pPr>
      <w:r>
        <w:t>Peter Wittenburg, Luiz Bonino, October 2019</w:t>
      </w:r>
    </w:p>
    <w:p w:rsidR="00535D46" w:rsidRDefault="00535D46" w:rsidP="00535D46">
      <w:pPr>
        <w:pStyle w:val="NoSpacing"/>
        <w:jc w:val="center"/>
      </w:pPr>
    </w:p>
    <w:p w:rsidR="008F59B6" w:rsidRDefault="008453AA" w:rsidP="008F59B6">
      <w:pPr>
        <w:pStyle w:val="NoSpacing"/>
        <w:jc w:val="both"/>
      </w:pPr>
      <w:r>
        <w:t xml:space="preserve">This document </w:t>
      </w:r>
      <w:r w:rsidR="008F59B6">
        <w:t xml:space="preserve">briefly </w:t>
      </w:r>
      <w:r>
        <w:t>summarizes</w:t>
      </w:r>
      <w:r w:rsidR="008F59B6">
        <w:t xml:space="preserve"> </w:t>
      </w:r>
      <w:r>
        <w:t xml:space="preserve">how </w:t>
      </w:r>
      <w:proofErr w:type="spellStart"/>
      <w:r>
        <w:t>FDOF</w:t>
      </w:r>
      <w:proofErr w:type="spellEnd"/>
      <w:r>
        <w:t xml:space="preserve"> can be implemented with the help of the Digital </w:t>
      </w:r>
      <w:proofErr w:type="gramStart"/>
      <w:r>
        <w:t>Object  methods</w:t>
      </w:r>
      <w:proofErr w:type="gramEnd"/>
      <w:r>
        <w:t xml:space="preserve"> as described by Kahn &amp; </w:t>
      </w:r>
      <w:proofErr w:type="spellStart"/>
      <w:r>
        <w:t>Wilensky</w:t>
      </w:r>
      <w:proofErr w:type="spellEnd"/>
      <w:r>
        <w:t xml:space="preserve">, RDA Data Foundation &amp; </w:t>
      </w:r>
      <w:r w:rsidR="00535D46">
        <w:t>Terminology and many others,</w:t>
      </w:r>
      <w:r>
        <w:t xml:space="preserve"> and recently extended by including Linked Data concepts</w:t>
      </w:r>
      <w:r w:rsidR="008F59B6">
        <w:t>.</w:t>
      </w:r>
    </w:p>
    <w:p w:rsidR="008F59B6" w:rsidRDefault="008F59B6" w:rsidP="008F59B6">
      <w:pPr>
        <w:pStyle w:val="NoSpacing"/>
        <w:jc w:val="both"/>
      </w:pPr>
    </w:p>
    <w:tbl>
      <w:tblPr>
        <w:tblStyle w:val="TableGrid"/>
        <w:tblW w:w="0" w:type="auto"/>
        <w:tblLook w:val="04A0" w:firstRow="1" w:lastRow="0" w:firstColumn="1" w:lastColumn="0" w:noHBand="0" w:noVBand="1"/>
      </w:tblPr>
      <w:tblGrid>
        <w:gridCol w:w="959"/>
        <w:gridCol w:w="4957"/>
        <w:gridCol w:w="3366"/>
      </w:tblGrid>
      <w:tr w:rsidR="008F59B6" w:rsidTr="00EB1B33">
        <w:tc>
          <w:tcPr>
            <w:tcW w:w="959" w:type="dxa"/>
            <w:shd w:val="clear" w:color="auto" w:fill="D9D9D9" w:themeFill="background1" w:themeFillShade="D9"/>
            <w:vAlign w:val="center"/>
          </w:tcPr>
          <w:p w:rsidR="008F59B6" w:rsidRDefault="008F59B6" w:rsidP="00EB1B33">
            <w:pPr>
              <w:pStyle w:val="NoSpacing"/>
              <w:jc w:val="center"/>
            </w:pPr>
            <w:proofErr w:type="spellStart"/>
            <w:r>
              <w:t>Req</w:t>
            </w:r>
            <w:proofErr w:type="spellEnd"/>
          </w:p>
        </w:tc>
        <w:tc>
          <w:tcPr>
            <w:tcW w:w="4961" w:type="dxa"/>
            <w:shd w:val="clear" w:color="auto" w:fill="D9D9D9" w:themeFill="background1" w:themeFillShade="D9"/>
          </w:tcPr>
          <w:p w:rsidR="008F59B6" w:rsidRDefault="008F59B6" w:rsidP="00EB1B33">
            <w:pPr>
              <w:pStyle w:val="NoSpacing"/>
              <w:jc w:val="both"/>
            </w:pPr>
            <w:r>
              <w:t>available</w:t>
            </w:r>
          </w:p>
        </w:tc>
        <w:tc>
          <w:tcPr>
            <w:tcW w:w="3368" w:type="dxa"/>
            <w:shd w:val="clear" w:color="auto" w:fill="D9D9D9" w:themeFill="background1" w:themeFillShade="D9"/>
          </w:tcPr>
          <w:p w:rsidR="008F59B6" w:rsidRDefault="008F59B6" w:rsidP="00EB1B33">
            <w:pPr>
              <w:pStyle w:val="NoSpacing"/>
              <w:jc w:val="both"/>
            </w:pPr>
            <w:r>
              <w:t>missing</w:t>
            </w:r>
          </w:p>
        </w:tc>
      </w:tr>
      <w:tr w:rsidR="008F59B6" w:rsidTr="00EB1B33">
        <w:tc>
          <w:tcPr>
            <w:tcW w:w="959" w:type="dxa"/>
            <w:vAlign w:val="center"/>
          </w:tcPr>
          <w:p w:rsidR="008F59B6" w:rsidRDefault="008F59B6" w:rsidP="00EB1B33">
            <w:pPr>
              <w:pStyle w:val="NoSpacing"/>
              <w:jc w:val="center"/>
            </w:pPr>
            <w:proofErr w:type="spellStart"/>
            <w:r>
              <w:t>G1</w:t>
            </w:r>
            <w:proofErr w:type="spellEnd"/>
          </w:p>
        </w:tc>
        <w:tc>
          <w:tcPr>
            <w:tcW w:w="4961" w:type="dxa"/>
            <w:vAlign w:val="center"/>
          </w:tcPr>
          <w:p w:rsidR="008F59B6" w:rsidRDefault="008F59B6" w:rsidP="00EB1B33">
            <w:pPr>
              <w:pStyle w:val="NoSpacing"/>
            </w:pPr>
            <w:r>
              <w:t>basic construction &amp; intention is meant to survive for many decades</w:t>
            </w:r>
          </w:p>
        </w:tc>
        <w:tc>
          <w:tcPr>
            <w:tcW w:w="3368" w:type="dxa"/>
            <w:vAlign w:val="center"/>
          </w:tcPr>
          <w:p w:rsidR="008F59B6" w:rsidRDefault="008F59B6" w:rsidP="00EB1B33">
            <w:pPr>
              <w:pStyle w:val="NoSpacing"/>
            </w:pPr>
            <w:r>
              <w:t>broadest uptake to ensure survival</w:t>
            </w:r>
          </w:p>
        </w:tc>
      </w:tr>
      <w:tr w:rsidR="008F59B6" w:rsidTr="00EB1B33">
        <w:tc>
          <w:tcPr>
            <w:tcW w:w="959" w:type="dxa"/>
            <w:vAlign w:val="center"/>
          </w:tcPr>
          <w:p w:rsidR="008F59B6" w:rsidRDefault="008F59B6" w:rsidP="00EB1B33">
            <w:pPr>
              <w:pStyle w:val="NoSpacing"/>
              <w:jc w:val="center"/>
            </w:pPr>
            <w:proofErr w:type="spellStart"/>
            <w:r>
              <w:t>G2</w:t>
            </w:r>
            <w:proofErr w:type="spellEnd"/>
          </w:p>
        </w:tc>
        <w:tc>
          <w:tcPr>
            <w:tcW w:w="4961" w:type="dxa"/>
            <w:vAlign w:val="center"/>
          </w:tcPr>
          <w:p w:rsidR="008F59B6" w:rsidRDefault="008F59B6" w:rsidP="00EB1B33">
            <w:pPr>
              <w:pStyle w:val="NoSpacing"/>
            </w:pPr>
            <w:r>
              <w:t xml:space="preserve">trustworthiness is a social concept and depends on reliability and uptake </w:t>
            </w:r>
          </w:p>
        </w:tc>
        <w:tc>
          <w:tcPr>
            <w:tcW w:w="3368" w:type="dxa"/>
            <w:vAlign w:val="center"/>
          </w:tcPr>
          <w:p w:rsidR="008F59B6" w:rsidRDefault="008F59B6" w:rsidP="00EB1B33">
            <w:pPr>
              <w:pStyle w:val="NoSpacing"/>
            </w:pPr>
            <w:r>
              <w:t xml:space="preserve">solidity of all components is given, broad </w:t>
            </w:r>
            <w:proofErr w:type="spellStart"/>
            <w:r>
              <w:t>mobilisation</w:t>
            </w:r>
            <w:proofErr w:type="spellEnd"/>
            <w:r>
              <w:t xml:space="preserve"> is to be achieved</w:t>
            </w:r>
          </w:p>
        </w:tc>
      </w:tr>
      <w:tr w:rsidR="008F59B6" w:rsidTr="00EB1B33">
        <w:tc>
          <w:tcPr>
            <w:tcW w:w="959" w:type="dxa"/>
            <w:vAlign w:val="center"/>
          </w:tcPr>
          <w:p w:rsidR="008F59B6" w:rsidRDefault="008F59B6" w:rsidP="00EB1B33">
            <w:pPr>
              <w:pStyle w:val="NoSpacing"/>
              <w:jc w:val="center"/>
            </w:pPr>
            <w:proofErr w:type="spellStart"/>
            <w:r>
              <w:t>G3</w:t>
            </w:r>
            <w:proofErr w:type="spellEnd"/>
          </w:p>
        </w:tc>
        <w:tc>
          <w:tcPr>
            <w:tcW w:w="4961" w:type="dxa"/>
            <w:vAlign w:val="center"/>
          </w:tcPr>
          <w:p w:rsidR="008F59B6" w:rsidRDefault="008F59B6" w:rsidP="00EB1B33">
            <w:pPr>
              <w:pStyle w:val="NoSpacing"/>
            </w:pPr>
            <w:r>
              <w:t>FAIR compliance to a certain extent (see below)</w:t>
            </w:r>
          </w:p>
        </w:tc>
        <w:tc>
          <w:tcPr>
            <w:tcW w:w="3368" w:type="dxa"/>
            <w:vAlign w:val="center"/>
          </w:tcPr>
          <w:p w:rsidR="008F59B6" w:rsidRDefault="008F59B6" w:rsidP="00EB1B33">
            <w:pPr>
              <w:pStyle w:val="NoSpacing"/>
            </w:pPr>
            <w:r>
              <w:t>some higher level specifications are missing</w:t>
            </w:r>
          </w:p>
        </w:tc>
      </w:tr>
      <w:tr w:rsidR="008F59B6" w:rsidTr="00EB1B33">
        <w:tc>
          <w:tcPr>
            <w:tcW w:w="959" w:type="dxa"/>
            <w:vAlign w:val="center"/>
          </w:tcPr>
          <w:p w:rsidR="008F59B6" w:rsidRDefault="008F59B6" w:rsidP="00EB1B33">
            <w:pPr>
              <w:pStyle w:val="NoSpacing"/>
              <w:jc w:val="center"/>
            </w:pPr>
            <w:proofErr w:type="spellStart"/>
            <w:r>
              <w:t>G4</w:t>
            </w:r>
            <w:proofErr w:type="spellEnd"/>
          </w:p>
        </w:tc>
        <w:tc>
          <w:tcPr>
            <w:tcW w:w="4961" w:type="dxa"/>
            <w:vAlign w:val="center"/>
          </w:tcPr>
          <w:p w:rsidR="008F59B6" w:rsidRDefault="008F59B6" w:rsidP="00EB1B33">
            <w:pPr>
              <w:pStyle w:val="NoSpacing"/>
            </w:pPr>
            <w:r>
              <w:t>all aspects of DOs specified yet are machine actionable</w:t>
            </w:r>
          </w:p>
        </w:tc>
        <w:tc>
          <w:tcPr>
            <w:tcW w:w="3368" w:type="dxa"/>
            <w:vAlign w:val="center"/>
          </w:tcPr>
          <w:p w:rsidR="008F59B6" w:rsidRDefault="008F59B6" w:rsidP="00EB1B33">
            <w:pPr>
              <w:pStyle w:val="NoSpacing"/>
            </w:pPr>
            <w:r>
              <w:t>some higher level specifications are missing</w:t>
            </w:r>
          </w:p>
        </w:tc>
      </w:tr>
      <w:tr w:rsidR="008F59B6" w:rsidTr="00EB1B33">
        <w:tc>
          <w:tcPr>
            <w:tcW w:w="959" w:type="dxa"/>
            <w:vAlign w:val="center"/>
          </w:tcPr>
          <w:p w:rsidR="008F59B6" w:rsidRDefault="008F59B6" w:rsidP="00EB1B33">
            <w:pPr>
              <w:pStyle w:val="NoSpacing"/>
              <w:jc w:val="center"/>
            </w:pPr>
            <w:proofErr w:type="spellStart"/>
            <w:r>
              <w:t>G5</w:t>
            </w:r>
            <w:proofErr w:type="spellEnd"/>
          </w:p>
        </w:tc>
        <w:tc>
          <w:tcPr>
            <w:tcW w:w="4961" w:type="dxa"/>
            <w:vAlign w:val="center"/>
          </w:tcPr>
          <w:p w:rsidR="008F59B6" w:rsidRDefault="008F59B6" w:rsidP="00EB1B33">
            <w:pPr>
              <w:pStyle w:val="NoSpacing"/>
            </w:pPr>
            <w:r>
              <w:t>abstraction is at the core of the DO concept</w:t>
            </w:r>
          </w:p>
        </w:tc>
        <w:tc>
          <w:tcPr>
            <w:tcW w:w="3368" w:type="dxa"/>
            <w:vAlign w:val="center"/>
          </w:tcPr>
          <w:p w:rsidR="008F59B6" w:rsidRDefault="008F59B6" w:rsidP="00EB1B33">
            <w:pPr>
              <w:pStyle w:val="NoSpacing"/>
            </w:pPr>
            <w:r>
              <w:t>no</w:t>
            </w:r>
          </w:p>
        </w:tc>
      </w:tr>
      <w:tr w:rsidR="008F59B6" w:rsidTr="00EB1B33">
        <w:tc>
          <w:tcPr>
            <w:tcW w:w="959" w:type="dxa"/>
            <w:vAlign w:val="center"/>
          </w:tcPr>
          <w:p w:rsidR="008F59B6" w:rsidRDefault="008F59B6" w:rsidP="00EB1B33">
            <w:pPr>
              <w:pStyle w:val="NoSpacing"/>
              <w:jc w:val="center"/>
            </w:pPr>
            <w:proofErr w:type="spellStart"/>
            <w:r>
              <w:t>G6</w:t>
            </w:r>
            <w:proofErr w:type="spellEnd"/>
          </w:p>
        </w:tc>
        <w:tc>
          <w:tcPr>
            <w:tcW w:w="4961" w:type="dxa"/>
            <w:vAlign w:val="center"/>
          </w:tcPr>
          <w:p w:rsidR="008F59B6" w:rsidRDefault="008F59B6" w:rsidP="00EB1B33">
            <w:pPr>
              <w:pStyle w:val="NoSpacing"/>
            </w:pPr>
            <w:r>
              <w:t xml:space="preserve">stable binding is </w:t>
            </w:r>
            <w:proofErr w:type="spellStart"/>
            <w:r>
              <w:t>realised</w:t>
            </w:r>
            <w:proofErr w:type="spellEnd"/>
            <w:r>
              <w:t xml:space="preserve"> by using the </w:t>
            </w:r>
            <w:proofErr w:type="spellStart"/>
            <w:r>
              <w:t>PID</w:t>
            </w:r>
            <w:proofErr w:type="spellEnd"/>
            <w:r>
              <w:t xml:space="preserve"> record</w:t>
            </w:r>
          </w:p>
        </w:tc>
        <w:tc>
          <w:tcPr>
            <w:tcW w:w="3368" w:type="dxa"/>
            <w:vAlign w:val="center"/>
          </w:tcPr>
          <w:p w:rsidR="008F59B6" w:rsidRDefault="008F59B6" w:rsidP="00EB1B33">
            <w:pPr>
              <w:pStyle w:val="NoSpacing"/>
            </w:pPr>
            <w:r>
              <w:t>no</w:t>
            </w:r>
          </w:p>
        </w:tc>
      </w:tr>
      <w:tr w:rsidR="008F59B6" w:rsidTr="00EB1B33">
        <w:tc>
          <w:tcPr>
            <w:tcW w:w="959" w:type="dxa"/>
            <w:vAlign w:val="center"/>
          </w:tcPr>
          <w:p w:rsidR="008F59B6" w:rsidRDefault="008F59B6" w:rsidP="00EB1B33">
            <w:pPr>
              <w:pStyle w:val="NoSpacing"/>
              <w:jc w:val="center"/>
            </w:pPr>
            <w:proofErr w:type="spellStart"/>
            <w:r>
              <w:t>G7</w:t>
            </w:r>
            <w:proofErr w:type="spellEnd"/>
          </w:p>
        </w:tc>
        <w:tc>
          <w:tcPr>
            <w:tcW w:w="4961" w:type="dxa"/>
            <w:vAlign w:val="center"/>
          </w:tcPr>
          <w:p w:rsidR="008F59B6" w:rsidRDefault="008F59B6" w:rsidP="00EB1B33">
            <w:pPr>
              <w:pStyle w:val="NoSpacing"/>
            </w:pPr>
            <w:r>
              <w:t xml:space="preserve">encapsulation is intended and implemented through </w:t>
            </w:r>
            <w:proofErr w:type="spellStart"/>
            <w:r>
              <w:t>DOIP</w:t>
            </w:r>
            <w:proofErr w:type="spellEnd"/>
          </w:p>
        </w:tc>
        <w:tc>
          <w:tcPr>
            <w:tcW w:w="3368" w:type="dxa"/>
            <w:vAlign w:val="center"/>
          </w:tcPr>
          <w:p w:rsidR="008F59B6" w:rsidRDefault="008F59B6" w:rsidP="00EB1B33">
            <w:pPr>
              <w:pStyle w:val="NoSpacing"/>
            </w:pPr>
            <w:r>
              <w:t>no</w:t>
            </w:r>
          </w:p>
        </w:tc>
      </w:tr>
      <w:tr w:rsidR="008F59B6" w:rsidTr="00EB1B33">
        <w:tc>
          <w:tcPr>
            <w:tcW w:w="959" w:type="dxa"/>
            <w:vAlign w:val="center"/>
          </w:tcPr>
          <w:p w:rsidR="008F59B6" w:rsidRDefault="008F59B6" w:rsidP="00EB1B33">
            <w:pPr>
              <w:pStyle w:val="NoSpacing"/>
              <w:jc w:val="center"/>
            </w:pPr>
            <w:proofErr w:type="spellStart"/>
            <w:r>
              <w:t>G8</w:t>
            </w:r>
            <w:proofErr w:type="spellEnd"/>
          </w:p>
        </w:tc>
        <w:tc>
          <w:tcPr>
            <w:tcW w:w="4961" w:type="dxa"/>
            <w:vAlign w:val="center"/>
          </w:tcPr>
          <w:p w:rsidR="008F59B6" w:rsidRDefault="008F59B6" w:rsidP="00EB1B33">
            <w:pPr>
              <w:pStyle w:val="NoSpacing"/>
            </w:pPr>
            <w:r>
              <w:t xml:space="preserve">DOs are one implementation of </w:t>
            </w:r>
            <w:proofErr w:type="spellStart"/>
            <w:r>
              <w:t>FDOF</w:t>
            </w:r>
            <w:proofErr w:type="spellEnd"/>
          </w:p>
        </w:tc>
        <w:tc>
          <w:tcPr>
            <w:tcW w:w="3368" w:type="dxa"/>
            <w:vAlign w:val="center"/>
          </w:tcPr>
          <w:p w:rsidR="008F59B6" w:rsidRDefault="008F59B6" w:rsidP="00EB1B33">
            <w:pPr>
              <w:pStyle w:val="NoSpacing"/>
            </w:pPr>
          </w:p>
        </w:tc>
      </w:tr>
      <w:tr w:rsidR="008F59B6" w:rsidTr="00EB1B33">
        <w:tc>
          <w:tcPr>
            <w:tcW w:w="959" w:type="dxa"/>
            <w:vAlign w:val="center"/>
          </w:tcPr>
          <w:p w:rsidR="008F59B6" w:rsidRDefault="008F59B6" w:rsidP="00EB1B33">
            <w:pPr>
              <w:pStyle w:val="NoSpacing"/>
              <w:jc w:val="center"/>
            </w:pPr>
            <w:proofErr w:type="spellStart"/>
            <w:r>
              <w:t>FDO1</w:t>
            </w:r>
            <w:proofErr w:type="spellEnd"/>
          </w:p>
        </w:tc>
        <w:tc>
          <w:tcPr>
            <w:tcW w:w="4961" w:type="dxa"/>
            <w:vAlign w:val="center"/>
          </w:tcPr>
          <w:p w:rsidR="008F59B6" w:rsidRDefault="008F59B6" w:rsidP="00EB1B33">
            <w:pPr>
              <w:pStyle w:val="NoSpacing"/>
            </w:pPr>
            <w:r>
              <w:t xml:space="preserve">based on clearly defined </w:t>
            </w:r>
            <w:proofErr w:type="spellStart"/>
            <w:r>
              <w:t>PID</w:t>
            </w:r>
            <w:proofErr w:type="spellEnd"/>
            <w:r>
              <w:t xml:space="preserve"> systems such as Handle</w:t>
            </w:r>
          </w:p>
        </w:tc>
        <w:tc>
          <w:tcPr>
            <w:tcW w:w="3368" w:type="dxa"/>
            <w:vAlign w:val="center"/>
          </w:tcPr>
          <w:p w:rsidR="008F59B6" w:rsidRDefault="008F59B6" w:rsidP="00EB1B33">
            <w:pPr>
              <w:pStyle w:val="NoSpacing"/>
            </w:pPr>
            <w:r>
              <w:t>no</w:t>
            </w:r>
          </w:p>
        </w:tc>
      </w:tr>
      <w:tr w:rsidR="008F59B6" w:rsidTr="00EB1B33">
        <w:tc>
          <w:tcPr>
            <w:tcW w:w="959" w:type="dxa"/>
            <w:vAlign w:val="center"/>
          </w:tcPr>
          <w:p w:rsidR="008F59B6" w:rsidRDefault="008F59B6" w:rsidP="00EB1B33">
            <w:pPr>
              <w:pStyle w:val="NoSpacing"/>
              <w:jc w:val="center"/>
            </w:pPr>
            <w:proofErr w:type="spellStart"/>
            <w:r>
              <w:t>FDO2</w:t>
            </w:r>
            <w:proofErr w:type="spellEnd"/>
          </w:p>
        </w:tc>
        <w:tc>
          <w:tcPr>
            <w:tcW w:w="4961" w:type="dxa"/>
            <w:vAlign w:val="center"/>
          </w:tcPr>
          <w:p w:rsidR="008F59B6" w:rsidRDefault="008F59B6" w:rsidP="00EB1B33">
            <w:pPr>
              <w:pStyle w:val="NoSpacing"/>
            </w:pPr>
            <w:r>
              <w:t>resolution is a structured record and attributes should be defined and registered</w:t>
            </w:r>
            <w:r>
              <w:rPr>
                <w:rStyle w:val="FootnoteReference"/>
              </w:rPr>
              <w:footnoteReference w:id="1"/>
            </w:r>
          </w:p>
        </w:tc>
        <w:tc>
          <w:tcPr>
            <w:tcW w:w="3368" w:type="dxa"/>
            <w:vAlign w:val="center"/>
          </w:tcPr>
          <w:p w:rsidR="008F59B6" w:rsidRDefault="008F59B6" w:rsidP="00EB1B33">
            <w:pPr>
              <w:pStyle w:val="NoSpacing"/>
            </w:pPr>
            <w:r>
              <w:t>miss an authority to maintain registry</w:t>
            </w:r>
          </w:p>
        </w:tc>
      </w:tr>
      <w:tr w:rsidR="008F59B6" w:rsidTr="00EB1B33">
        <w:tc>
          <w:tcPr>
            <w:tcW w:w="959" w:type="dxa"/>
            <w:vAlign w:val="center"/>
          </w:tcPr>
          <w:p w:rsidR="008F59B6" w:rsidRDefault="008F59B6" w:rsidP="00EB1B33">
            <w:pPr>
              <w:pStyle w:val="NoSpacing"/>
              <w:jc w:val="center"/>
            </w:pPr>
            <w:proofErr w:type="spellStart"/>
            <w:r>
              <w:t>FDO3</w:t>
            </w:r>
            <w:proofErr w:type="spellEnd"/>
          </w:p>
        </w:tc>
        <w:tc>
          <w:tcPr>
            <w:tcW w:w="4961" w:type="dxa"/>
            <w:vAlign w:val="center"/>
          </w:tcPr>
          <w:p w:rsidR="008F59B6" w:rsidRDefault="008F59B6" w:rsidP="00EB1B33">
            <w:pPr>
              <w:pStyle w:val="NoSpacing"/>
            </w:pPr>
            <w:r>
              <w:t xml:space="preserve">should be specified by </w:t>
            </w:r>
            <w:proofErr w:type="spellStart"/>
            <w:r>
              <w:t>FDO</w:t>
            </w:r>
            <w:proofErr w:type="spellEnd"/>
            <w:r>
              <w:t xml:space="preserve"> service providers (repositories)</w:t>
            </w:r>
          </w:p>
        </w:tc>
        <w:tc>
          <w:tcPr>
            <w:tcW w:w="3368" w:type="dxa"/>
            <w:vAlign w:val="center"/>
          </w:tcPr>
          <w:p w:rsidR="008F59B6" w:rsidRDefault="008F59B6" w:rsidP="00EB1B33">
            <w:pPr>
              <w:pStyle w:val="NoSpacing"/>
            </w:pPr>
            <w:r>
              <w:t>miss an authority to define best practices</w:t>
            </w:r>
          </w:p>
        </w:tc>
      </w:tr>
      <w:tr w:rsidR="008F59B6" w:rsidTr="00EB1B33">
        <w:tc>
          <w:tcPr>
            <w:tcW w:w="959" w:type="dxa"/>
            <w:vAlign w:val="center"/>
          </w:tcPr>
          <w:p w:rsidR="008F59B6" w:rsidRDefault="008F59B6" w:rsidP="00EB1B33">
            <w:pPr>
              <w:pStyle w:val="NoSpacing"/>
              <w:jc w:val="center"/>
            </w:pPr>
            <w:proofErr w:type="spellStart"/>
            <w:r>
              <w:t>FDO4</w:t>
            </w:r>
            <w:proofErr w:type="spellEnd"/>
          </w:p>
        </w:tc>
        <w:tc>
          <w:tcPr>
            <w:tcW w:w="4961" w:type="dxa"/>
            <w:vAlign w:val="center"/>
          </w:tcPr>
          <w:p w:rsidR="008F59B6" w:rsidRDefault="008F59B6" w:rsidP="00EB1B33">
            <w:pPr>
              <w:pStyle w:val="NoSpacing"/>
            </w:pPr>
            <w:r>
              <w:t xml:space="preserve">model allows access through PIDs, </w:t>
            </w:r>
            <w:proofErr w:type="spellStart"/>
            <w:r>
              <w:t>DOIP</w:t>
            </w:r>
            <w:proofErr w:type="spellEnd"/>
            <w:r>
              <w:t xml:space="preserve"> allows association between types and operations</w:t>
            </w:r>
          </w:p>
        </w:tc>
        <w:tc>
          <w:tcPr>
            <w:tcW w:w="3368" w:type="dxa"/>
            <w:vAlign w:val="center"/>
          </w:tcPr>
          <w:p w:rsidR="008F59B6" w:rsidRDefault="008F59B6" w:rsidP="00EB1B33">
            <w:pPr>
              <w:pStyle w:val="NoSpacing"/>
            </w:pPr>
            <w:r>
              <w:t>no</w:t>
            </w:r>
          </w:p>
        </w:tc>
      </w:tr>
      <w:tr w:rsidR="008F59B6" w:rsidTr="00EB1B33">
        <w:tc>
          <w:tcPr>
            <w:tcW w:w="959" w:type="dxa"/>
            <w:vAlign w:val="center"/>
          </w:tcPr>
          <w:p w:rsidR="008F59B6" w:rsidRDefault="008F59B6" w:rsidP="00EB1B33">
            <w:pPr>
              <w:pStyle w:val="NoSpacing"/>
              <w:jc w:val="center"/>
            </w:pPr>
            <w:proofErr w:type="spellStart"/>
            <w:r>
              <w:t>FDO5</w:t>
            </w:r>
            <w:proofErr w:type="spellEnd"/>
          </w:p>
        </w:tc>
        <w:tc>
          <w:tcPr>
            <w:tcW w:w="4961" w:type="dxa"/>
            <w:vAlign w:val="center"/>
          </w:tcPr>
          <w:p w:rsidR="008F59B6" w:rsidRDefault="008F59B6" w:rsidP="00EB1B33">
            <w:pPr>
              <w:pStyle w:val="NoSpacing"/>
            </w:pPr>
            <w:proofErr w:type="spellStart"/>
            <w:r>
              <w:t>DOIP</w:t>
            </w:r>
            <w:proofErr w:type="spellEnd"/>
            <w:r>
              <w:t xml:space="preserve"> has these features</w:t>
            </w:r>
          </w:p>
        </w:tc>
        <w:tc>
          <w:tcPr>
            <w:tcW w:w="3368" w:type="dxa"/>
            <w:vAlign w:val="center"/>
          </w:tcPr>
          <w:p w:rsidR="008F59B6" w:rsidRDefault="008F59B6" w:rsidP="00EB1B33">
            <w:pPr>
              <w:pStyle w:val="NoSpacing"/>
            </w:pPr>
            <w:r>
              <w:t>no</w:t>
            </w:r>
          </w:p>
        </w:tc>
      </w:tr>
      <w:tr w:rsidR="008F59B6" w:rsidTr="00EB1B33">
        <w:tc>
          <w:tcPr>
            <w:tcW w:w="959" w:type="dxa"/>
            <w:vAlign w:val="center"/>
          </w:tcPr>
          <w:p w:rsidR="008F59B6" w:rsidRDefault="008F59B6" w:rsidP="00EB1B33">
            <w:pPr>
              <w:pStyle w:val="NoSpacing"/>
              <w:jc w:val="center"/>
            </w:pPr>
            <w:proofErr w:type="spellStart"/>
            <w:r>
              <w:t>FDO6</w:t>
            </w:r>
            <w:proofErr w:type="spellEnd"/>
          </w:p>
        </w:tc>
        <w:tc>
          <w:tcPr>
            <w:tcW w:w="4961" w:type="dxa"/>
            <w:vAlign w:val="center"/>
          </w:tcPr>
          <w:p w:rsidR="008F59B6" w:rsidRDefault="008F59B6" w:rsidP="00EB1B33">
            <w:pPr>
              <w:pStyle w:val="NoSpacing"/>
            </w:pPr>
            <w:r>
              <w:t>RDA specified a type registry, is being used</w:t>
            </w:r>
          </w:p>
        </w:tc>
        <w:tc>
          <w:tcPr>
            <w:tcW w:w="3368" w:type="dxa"/>
            <w:vAlign w:val="center"/>
          </w:tcPr>
          <w:p w:rsidR="008F59B6" w:rsidRDefault="008F59B6" w:rsidP="00EB1B33">
            <w:pPr>
              <w:pStyle w:val="NoSpacing"/>
            </w:pPr>
            <w:r>
              <w:t xml:space="preserve">more complex ontologies might be necessary </w:t>
            </w:r>
          </w:p>
        </w:tc>
      </w:tr>
      <w:tr w:rsidR="008F59B6" w:rsidTr="00EB1B33">
        <w:tc>
          <w:tcPr>
            <w:tcW w:w="959" w:type="dxa"/>
            <w:vAlign w:val="center"/>
          </w:tcPr>
          <w:p w:rsidR="008F59B6" w:rsidRDefault="008F59B6" w:rsidP="00EB1B33">
            <w:pPr>
              <w:pStyle w:val="NoSpacing"/>
              <w:jc w:val="center"/>
            </w:pPr>
            <w:proofErr w:type="spellStart"/>
            <w:r>
              <w:t>FDO7</w:t>
            </w:r>
            <w:proofErr w:type="spellEnd"/>
          </w:p>
        </w:tc>
        <w:tc>
          <w:tcPr>
            <w:tcW w:w="4961" w:type="dxa"/>
            <w:vAlign w:val="center"/>
          </w:tcPr>
          <w:p w:rsidR="008F59B6" w:rsidRDefault="008F59B6" w:rsidP="00EB1B33">
            <w:pPr>
              <w:pStyle w:val="NoSpacing"/>
            </w:pPr>
            <w:r>
              <w:t xml:space="preserve">metadata are indeed </w:t>
            </w:r>
            <w:proofErr w:type="spellStart"/>
            <w:r>
              <w:t>FDOs</w:t>
            </w:r>
            <w:proofErr w:type="spellEnd"/>
            <w:r>
              <w:t>; metadata availability as assertions is possible</w:t>
            </w:r>
          </w:p>
        </w:tc>
        <w:tc>
          <w:tcPr>
            <w:tcW w:w="3368" w:type="dxa"/>
            <w:vAlign w:val="center"/>
          </w:tcPr>
          <w:p w:rsidR="008F59B6" w:rsidRDefault="008F59B6" w:rsidP="00EB1B33">
            <w:pPr>
              <w:pStyle w:val="NoSpacing"/>
            </w:pPr>
            <w:r>
              <w:t>miss specifications associated with the DO model</w:t>
            </w:r>
          </w:p>
        </w:tc>
      </w:tr>
      <w:tr w:rsidR="008F59B6" w:rsidTr="00EB1B33">
        <w:tc>
          <w:tcPr>
            <w:tcW w:w="959" w:type="dxa"/>
            <w:vAlign w:val="center"/>
          </w:tcPr>
          <w:p w:rsidR="008F59B6" w:rsidRDefault="008F59B6" w:rsidP="00EB1B33">
            <w:pPr>
              <w:pStyle w:val="NoSpacing"/>
              <w:jc w:val="center"/>
            </w:pPr>
            <w:proofErr w:type="spellStart"/>
            <w:r>
              <w:t>FDO8</w:t>
            </w:r>
            <w:proofErr w:type="spellEnd"/>
          </w:p>
        </w:tc>
        <w:tc>
          <w:tcPr>
            <w:tcW w:w="4961" w:type="dxa"/>
            <w:vAlign w:val="center"/>
          </w:tcPr>
          <w:p w:rsidR="008F59B6" w:rsidRDefault="008F59B6" w:rsidP="00EB1B33">
            <w:pPr>
              <w:pStyle w:val="NoSpacing"/>
            </w:pPr>
            <w:r>
              <w:t>collections are DOs; construction of collections not defined</w:t>
            </w:r>
          </w:p>
        </w:tc>
        <w:tc>
          <w:tcPr>
            <w:tcW w:w="3368" w:type="dxa"/>
            <w:vAlign w:val="center"/>
          </w:tcPr>
          <w:p w:rsidR="008F59B6" w:rsidRDefault="008F59B6" w:rsidP="00EB1B33">
            <w:pPr>
              <w:pStyle w:val="NoSpacing"/>
            </w:pPr>
            <w:r>
              <w:t>miss specifications associated with the DO model</w:t>
            </w:r>
          </w:p>
        </w:tc>
      </w:tr>
      <w:tr w:rsidR="008F59B6" w:rsidTr="00EB1B33">
        <w:tc>
          <w:tcPr>
            <w:tcW w:w="959" w:type="dxa"/>
            <w:vAlign w:val="center"/>
          </w:tcPr>
          <w:p w:rsidR="008F59B6" w:rsidRDefault="008F59B6" w:rsidP="00EB1B33">
            <w:pPr>
              <w:pStyle w:val="NoSpacing"/>
              <w:jc w:val="center"/>
            </w:pPr>
            <w:proofErr w:type="spellStart"/>
            <w:r>
              <w:t>FDO9</w:t>
            </w:r>
            <w:proofErr w:type="spellEnd"/>
          </w:p>
        </w:tc>
        <w:tc>
          <w:tcPr>
            <w:tcW w:w="4961" w:type="dxa"/>
            <w:vAlign w:val="center"/>
          </w:tcPr>
          <w:p w:rsidR="008F59B6" w:rsidRDefault="008F59B6" w:rsidP="00EB1B33">
            <w:pPr>
              <w:pStyle w:val="NoSpacing"/>
            </w:pPr>
            <w:r>
              <w:t>tombstone notes are possible, yet not defined</w:t>
            </w:r>
          </w:p>
        </w:tc>
        <w:tc>
          <w:tcPr>
            <w:tcW w:w="3368" w:type="dxa"/>
            <w:vAlign w:val="center"/>
          </w:tcPr>
          <w:p w:rsidR="008F59B6" w:rsidRDefault="008F59B6" w:rsidP="00EB1B33">
            <w:pPr>
              <w:pStyle w:val="NoSpacing"/>
            </w:pPr>
            <w:r>
              <w:t>miss an authority to define best practices</w:t>
            </w:r>
          </w:p>
        </w:tc>
      </w:tr>
    </w:tbl>
    <w:p w:rsidR="008F59B6" w:rsidRDefault="008F59B6" w:rsidP="008F59B6">
      <w:pPr>
        <w:pStyle w:val="NoSpacing"/>
      </w:pPr>
    </w:p>
    <w:p w:rsidR="008F59B6" w:rsidRDefault="008F59B6" w:rsidP="008F59B6">
      <w:pPr>
        <w:pStyle w:val="NoSpacing"/>
      </w:pPr>
      <w:r>
        <w:rPr>
          <w:rFonts w:eastAsia="Times New Roman"/>
          <w:sz w:val="20"/>
          <w:szCs w:val="20"/>
        </w:rPr>
        <w:t xml:space="preserve">The digital object approach provides a framework for the various components needed for a FAIR DO Framework but any implementation will require further specification and one unspecified piece is how to get to the explicit semantics needed for machine understanding of structured metadata and collections. </w:t>
      </w:r>
    </w:p>
    <w:p w:rsidR="008F59B6" w:rsidRDefault="008F59B6" w:rsidP="008F59B6">
      <w:pPr>
        <w:pStyle w:val="NoSpacing"/>
      </w:pPr>
    </w:p>
    <w:p w:rsidR="008F59B6" w:rsidRDefault="008F59B6" w:rsidP="008F59B6">
      <w:pPr>
        <w:pStyle w:val="NoSpacing"/>
        <w:jc w:val="both"/>
        <w:rPr>
          <w:b/>
        </w:rPr>
      </w:pPr>
      <w:r>
        <w:rPr>
          <w:b/>
        </w:rPr>
        <w:t>Available readings</w:t>
      </w:r>
    </w:p>
    <w:p w:rsidR="008F59B6" w:rsidRPr="00AE1B92" w:rsidRDefault="008F59B6" w:rsidP="008F59B6">
      <w:pPr>
        <w:pStyle w:val="NoSpacing"/>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pPr>
      <w:r w:rsidRPr="00AE1B92">
        <w:t xml:space="preserve">R. Kahn, R. </w:t>
      </w:r>
      <w:proofErr w:type="spellStart"/>
      <w:r w:rsidRPr="00AE1B92">
        <w:t>Wilensky</w:t>
      </w:r>
      <w:proofErr w:type="spellEnd"/>
      <w:r w:rsidRPr="00AE1B92">
        <w:t xml:space="preserve"> (1995): A Framework for Distributed Digital Object Services; </w:t>
      </w:r>
      <w:hyperlink r:id="rId8" w:history="1">
        <w:r w:rsidRPr="00AE1B92">
          <w:rPr>
            <w:rStyle w:val="Hyperlink"/>
            <w:color w:val="auto"/>
          </w:rPr>
          <w:t>https://</w:t>
        </w:r>
        <w:proofErr w:type="spellStart"/>
        <w:r w:rsidRPr="00AE1B92">
          <w:rPr>
            <w:rStyle w:val="Hyperlink"/>
            <w:color w:val="auto"/>
          </w:rPr>
          <w:t>www.cnri.reston.va.us</w:t>
        </w:r>
        <w:proofErr w:type="spellEnd"/>
        <w:r w:rsidRPr="00AE1B92">
          <w:rPr>
            <w:rStyle w:val="Hyperlink"/>
            <w:color w:val="auto"/>
          </w:rPr>
          <w:t>/k-</w:t>
        </w:r>
        <w:proofErr w:type="spellStart"/>
        <w:r w:rsidRPr="00AE1B92">
          <w:rPr>
            <w:rStyle w:val="Hyperlink"/>
            <w:color w:val="auto"/>
          </w:rPr>
          <w:t>w.html</w:t>
        </w:r>
        <w:proofErr w:type="spellEnd"/>
      </w:hyperlink>
      <w:r w:rsidRPr="00AE1B92">
        <w:t xml:space="preserve"> </w:t>
      </w:r>
    </w:p>
    <w:p w:rsidR="008F59B6" w:rsidRPr="00AE1B92" w:rsidRDefault="008F59B6" w:rsidP="008F59B6">
      <w:pPr>
        <w:pStyle w:val="NoSpacing"/>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pPr>
      <w:r w:rsidRPr="00AE1B92">
        <w:t xml:space="preserve">R. Kahn, R. </w:t>
      </w:r>
      <w:proofErr w:type="spellStart"/>
      <w:r w:rsidRPr="00AE1B92">
        <w:t>Wilensky</w:t>
      </w:r>
      <w:proofErr w:type="spellEnd"/>
      <w:r w:rsidRPr="00AE1B92">
        <w:t xml:space="preserve"> (2006): A Framework for Distributed Digital Object Services; </w:t>
      </w:r>
      <w:hyperlink r:id="rId9" w:history="1">
        <w:r w:rsidRPr="00AE1B92">
          <w:rPr>
            <w:rStyle w:val="Hyperlink"/>
            <w:color w:val="auto"/>
          </w:rPr>
          <w:t>https://</w:t>
        </w:r>
        <w:proofErr w:type="spellStart"/>
        <w:r w:rsidRPr="00AE1B92">
          <w:rPr>
            <w:rStyle w:val="Hyperlink"/>
            <w:color w:val="auto"/>
          </w:rPr>
          <w:t>www.doi.org</w:t>
        </w:r>
        <w:proofErr w:type="spellEnd"/>
        <w:r w:rsidRPr="00AE1B92">
          <w:rPr>
            <w:rStyle w:val="Hyperlink"/>
            <w:color w:val="auto"/>
          </w:rPr>
          <w:t>/topics/</w:t>
        </w:r>
        <w:proofErr w:type="spellStart"/>
        <w:r w:rsidRPr="00AE1B92">
          <w:rPr>
            <w:rStyle w:val="Hyperlink"/>
            <w:color w:val="auto"/>
          </w:rPr>
          <w:t>2006_05_02_Kahn_Framework.pdf</w:t>
        </w:r>
        <w:proofErr w:type="spellEnd"/>
      </w:hyperlink>
      <w:r w:rsidRPr="00AE1B92">
        <w:t xml:space="preserve"> </w:t>
      </w:r>
    </w:p>
    <w:p w:rsidR="008F59B6" w:rsidRPr="00AE1B92" w:rsidRDefault="008F59B6" w:rsidP="008F59B6">
      <w:pPr>
        <w:pStyle w:val="ListParagraph"/>
        <w:numPr>
          <w:ilvl w:val="0"/>
          <w:numId w:val="1"/>
        </w:numPr>
        <w:autoSpaceDE w:val="0"/>
        <w:autoSpaceDN w:val="0"/>
        <w:adjustRightInd w:val="0"/>
        <w:spacing w:after="0" w:line="240" w:lineRule="auto"/>
        <w:rPr>
          <w:rFonts w:ascii="Calibri" w:hAnsi="Calibri" w:cs="Calibri"/>
        </w:rPr>
      </w:pPr>
      <w:r w:rsidRPr="00AE1B92">
        <w:lastRenderedPageBreak/>
        <w:t xml:space="preserve">RDA </w:t>
      </w:r>
      <w:proofErr w:type="spellStart"/>
      <w:r w:rsidRPr="00AE1B92">
        <w:t>DFT</w:t>
      </w:r>
      <w:proofErr w:type="spellEnd"/>
      <w:r w:rsidRPr="00AE1B92">
        <w:t xml:space="preserve"> Group: </w:t>
      </w:r>
      <w:proofErr w:type="spellStart"/>
      <w:r w:rsidRPr="00AE1B92">
        <w:rPr>
          <w:rFonts w:ascii="Calibri" w:hAnsi="Calibri" w:cs="Calibri"/>
        </w:rPr>
        <w:t>DFT</w:t>
      </w:r>
      <w:proofErr w:type="spellEnd"/>
      <w:r w:rsidRPr="00AE1B92">
        <w:rPr>
          <w:rFonts w:ascii="Calibri" w:hAnsi="Calibri" w:cs="Calibri"/>
        </w:rPr>
        <w:t xml:space="preserve"> Core Terms and Model; </w:t>
      </w:r>
      <w:hyperlink r:id="rId10" w:history="1">
        <w:r w:rsidRPr="00AE1B92">
          <w:rPr>
            <w:rFonts w:ascii="Calibri" w:hAnsi="Calibri" w:cs="Calibri"/>
            <w:u w:val="single"/>
          </w:rPr>
          <w:t>http://</w:t>
        </w:r>
        <w:proofErr w:type="spellStart"/>
        <w:r w:rsidRPr="00AE1B92">
          <w:rPr>
            <w:rFonts w:ascii="Calibri" w:hAnsi="Calibri" w:cs="Calibri"/>
            <w:u w:val="single"/>
          </w:rPr>
          <w:t>hdl.handle.net</w:t>
        </w:r>
        <w:proofErr w:type="spellEnd"/>
        <w:r w:rsidRPr="00AE1B92">
          <w:rPr>
            <w:rFonts w:ascii="Calibri" w:hAnsi="Calibri" w:cs="Calibri"/>
            <w:u w:val="single"/>
          </w:rPr>
          <w:t>/11304/</w:t>
        </w:r>
        <w:proofErr w:type="spellStart"/>
        <w:r w:rsidRPr="00AE1B92">
          <w:rPr>
            <w:rFonts w:ascii="Calibri" w:hAnsi="Calibri" w:cs="Calibri"/>
            <w:u w:val="single"/>
          </w:rPr>
          <w:t>5d760a3e-991d-11e5-9bb4-2b0aad496318</w:t>
        </w:r>
        <w:proofErr w:type="spellEnd"/>
      </w:hyperlink>
      <w:r w:rsidRPr="00AE1B92">
        <w:rPr>
          <w:rFonts w:ascii="Calibri" w:hAnsi="Calibri" w:cs="Calibri"/>
          <w:u w:val="single"/>
        </w:rPr>
        <w:t xml:space="preserve"> </w:t>
      </w:r>
    </w:p>
    <w:p w:rsidR="008F59B6" w:rsidRPr="00AE1B92" w:rsidRDefault="008F59B6" w:rsidP="008F59B6">
      <w:pPr>
        <w:pStyle w:val="NoSpacing"/>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pPr>
      <w:r w:rsidRPr="00AE1B92">
        <w:t xml:space="preserve">RDA </w:t>
      </w:r>
      <w:proofErr w:type="spellStart"/>
      <w:r w:rsidRPr="00AE1B92">
        <w:t>DTR</w:t>
      </w:r>
      <w:proofErr w:type="spellEnd"/>
      <w:r w:rsidRPr="00AE1B92">
        <w:t xml:space="preserve"> Group: Data Type Registry¸ </w:t>
      </w:r>
      <w:hyperlink r:id="rId11" w:history="1">
        <w:r w:rsidRPr="00AE1B92">
          <w:rPr>
            <w:rStyle w:val="Hyperlink"/>
            <w:color w:val="auto"/>
          </w:rPr>
          <w:t>https://www.rd-alliance.org/group/data-type-registries-wg/outcomes/data-type-registries</w:t>
        </w:r>
      </w:hyperlink>
      <w:r w:rsidRPr="00AE1B92">
        <w:t xml:space="preserve"> </w:t>
      </w:r>
    </w:p>
    <w:p w:rsidR="008F59B6" w:rsidRPr="00AE1B92" w:rsidRDefault="008F59B6" w:rsidP="008F59B6">
      <w:pPr>
        <w:pStyle w:val="NoSpacing"/>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pPr>
      <w:r w:rsidRPr="00AE1B92">
        <w:t xml:space="preserve">RDA Kernel Group: Recommendation on </w:t>
      </w:r>
      <w:proofErr w:type="spellStart"/>
      <w:r w:rsidRPr="00AE1B92">
        <w:t>PPID</w:t>
      </w:r>
      <w:proofErr w:type="spellEnd"/>
      <w:r w:rsidRPr="00AE1B92">
        <w:t xml:space="preserve"> Kernel Information; </w:t>
      </w:r>
      <w:hyperlink r:id="rId12" w:history="1">
        <w:r w:rsidRPr="00AE1B92">
          <w:rPr>
            <w:rStyle w:val="Hyperlink"/>
            <w:color w:val="auto"/>
          </w:rPr>
          <w:t>https://www.rd-alliance.org/group/pid-kernel-information-wg/outcomes/recommendation-pid-kernel-information</w:t>
        </w:r>
      </w:hyperlink>
      <w:r w:rsidRPr="00AE1B92">
        <w:t xml:space="preserve"> </w:t>
      </w:r>
    </w:p>
    <w:p w:rsidR="008F59B6" w:rsidRPr="00AE1B92" w:rsidRDefault="008F59B6" w:rsidP="008F59B6">
      <w:pPr>
        <w:pStyle w:val="NoSpacing"/>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pPr>
      <w:r w:rsidRPr="00AE1B92">
        <w:t xml:space="preserve">RDA Research Collection Group: Recommendations; </w:t>
      </w:r>
      <w:hyperlink r:id="rId13" w:history="1">
        <w:r w:rsidRPr="00AE1B92">
          <w:rPr>
            <w:rStyle w:val="Hyperlink"/>
            <w:color w:val="auto"/>
          </w:rPr>
          <w:t>https://www.rd-alliance.org/group/research-data-collections-wg/outcomes/rda-research-data-collections-wg-recommendations</w:t>
        </w:r>
      </w:hyperlink>
      <w:r w:rsidRPr="00AE1B92">
        <w:t xml:space="preserve"> </w:t>
      </w:r>
    </w:p>
    <w:p w:rsidR="008F59B6" w:rsidRPr="006D1F11" w:rsidRDefault="008F59B6" w:rsidP="008F59B6">
      <w:pPr>
        <w:pStyle w:val="NoSpacing"/>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rPr>
          <w:lang w:val="pt-BR"/>
        </w:rPr>
      </w:pPr>
      <w:r w:rsidRPr="006D1F11">
        <w:rPr>
          <w:lang w:val="pt-BR"/>
        </w:rPr>
        <w:t xml:space="preserve">DONA: DOIP V2.0, </w:t>
      </w:r>
      <w:r>
        <w:fldChar w:fldCharType="begin"/>
      </w:r>
      <w:r>
        <w:instrText xml:space="preserve"> HYPERLINK "https://www.dona.net/sites/default/files/2018-11/DOIPv2Spec_1.pdf" </w:instrText>
      </w:r>
      <w:r>
        <w:fldChar w:fldCharType="separate"/>
      </w:r>
      <w:r w:rsidRPr="006D1F11">
        <w:rPr>
          <w:u w:val="single"/>
          <w:lang w:val="pt-BR"/>
        </w:rPr>
        <w:t>https://www.dona.net/sites/default/files/2018-11/DOIPv2Spec_1.pdf</w:t>
      </w:r>
      <w:r>
        <w:rPr>
          <w:u w:val="single"/>
          <w:lang w:val="pt-BR"/>
        </w:rPr>
        <w:fldChar w:fldCharType="end"/>
      </w:r>
      <w:r w:rsidRPr="006D1F11">
        <w:rPr>
          <w:u w:val="single"/>
          <w:lang w:val="pt-BR"/>
        </w:rPr>
        <w:t xml:space="preserve"> </w:t>
      </w:r>
    </w:p>
    <w:p w:rsidR="008F59B6" w:rsidRPr="00AE1B92" w:rsidRDefault="008F59B6" w:rsidP="008F59B6">
      <w:pPr>
        <w:pStyle w:val="ListParagraph"/>
        <w:numPr>
          <w:ilvl w:val="0"/>
          <w:numId w:val="1"/>
        </w:numPr>
        <w:autoSpaceDE w:val="0"/>
        <w:autoSpaceDN w:val="0"/>
        <w:adjustRightInd w:val="0"/>
        <w:spacing w:after="0" w:line="240" w:lineRule="auto"/>
        <w:rPr>
          <w:rFonts w:ascii="Calibri" w:hAnsi="Calibri" w:cs="Calibri"/>
        </w:rPr>
      </w:pPr>
      <w:bookmarkStart w:id="0" w:name="_GoBack"/>
      <w:r w:rsidRPr="00AE1B92">
        <w:t xml:space="preserve">P. </w:t>
      </w:r>
      <w:proofErr w:type="spellStart"/>
      <w:r w:rsidRPr="00AE1B92">
        <w:t>Wittenburg</w:t>
      </w:r>
      <w:proofErr w:type="spellEnd"/>
      <w:r w:rsidRPr="00AE1B92">
        <w:t xml:space="preserve">, G. Strawn: </w:t>
      </w:r>
      <w:r w:rsidRPr="00AE1B92">
        <w:rPr>
          <w:rFonts w:ascii="Calibri" w:hAnsi="Calibri" w:cs="Calibri"/>
        </w:rPr>
        <w:t xml:space="preserve">Common Patterns in Revolutionary Infrastructures and Data; </w:t>
      </w:r>
      <w:bookmarkEnd w:id="0"/>
      <w:r w:rsidR="00B74C61">
        <w:fldChar w:fldCharType="begin"/>
      </w:r>
      <w:r w:rsidR="00B74C61">
        <w:instrText xml:space="preserve"> HYPERLINK "http://doi.org/10.23728/b2share.4e8ac36c0dd343da81fd9e83e72805a0" </w:instrText>
      </w:r>
      <w:r w:rsidR="00B74C61">
        <w:fldChar w:fldCharType="separate"/>
      </w:r>
      <w:r w:rsidRPr="00AE1B92">
        <w:rPr>
          <w:rFonts w:ascii="Calibri" w:hAnsi="Calibri" w:cs="Calibri"/>
          <w:u w:val="single"/>
        </w:rPr>
        <w:t>http://</w:t>
      </w:r>
      <w:proofErr w:type="spellStart"/>
      <w:r w:rsidRPr="00AE1B92">
        <w:rPr>
          <w:rFonts w:ascii="Calibri" w:hAnsi="Calibri" w:cs="Calibri"/>
          <w:u w:val="single"/>
        </w:rPr>
        <w:t>doi.org</w:t>
      </w:r>
      <w:proofErr w:type="spellEnd"/>
      <w:r w:rsidRPr="00AE1B92">
        <w:rPr>
          <w:rFonts w:ascii="Calibri" w:hAnsi="Calibri" w:cs="Calibri"/>
          <w:u w:val="single"/>
        </w:rPr>
        <w:t>/10.23728/</w:t>
      </w:r>
      <w:proofErr w:type="spellStart"/>
      <w:r w:rsidRPr="00AE1B92">
        <w:rPr>
          <w:rFonts w:ascii="Calibri" w:hAnsi="Calibri" w:cs="Calibri"/>
          <w:u w:val="single"/>
        </w:rPr>
        <w:t>b2share.4e8ac36c0dd343da81fd9e83e72805a0</w:t>
      </w:r>
      <w:proofErr w:type="spellEnd"/>
      <w:r w:rsidR="00B74C61">
        <w:rPr>
          <w:rFonts w:ascii="Calibri" w:hAnsi="Calibri" w:cs="Calibri"/>
          <w:u w:val="single"/>
        </w:rPr>
        <w:fldChar w:fldCharType="end"/>
      </w:r>
    </w:p>
    <w:p w:rsidR="008F59B6" w:rsidRPr="00AE1B92" w:rsidRDefault="008F59B6" w:rsidP="008F59B6">
      <w:pPr>
        <w:pStyle w:val="ListParagraph"/>
        <w:numPr>
          <w:ilvl w:val="0"/>
          <w:numId w:val="1"/>
        </w:numPr>
        <w:autoSpaceDE w:val="0"/>
        <w:autoSpaceDN w:val="0"/>
        <w:adjustRightInd w:val="0"/>
        <w:spacing w:after="0" w:line="240" w:lineRule="auto"/>
        <w:rPr>
          <w:rFonts w:ascii="Calibri" w:hAnsi="Calibri" w:cs="Calibri"/>
        </w:rPr>
      </w:pPr>
      <w:r w:rsidRPr="00AE1B92">
        <w:t xml:space="preserve">P. </w:t>
      </w:r>
      <w:proofErr w:type="spellStart"/>
      <w:r w:rsidRPr="00AE1B92">
        <w:t>Wittenburg</w:t>
      </w:r>
      <w:proofErr w:type="spellEnd"/>
      <w:r w:rsidRPr="00AE1B92">
        <w:t xml:space="preserve">, G. Strawn, B. Mons, L. Bonino, E. </w:t>
      </w:r>
      <w:proofErr w:type="spellStart"/>
      <w:r w:rsidRPr="00AE1B92">
        <w:t>Schultes</w:t>
      </w:r>
      <w:proofErr w:type="spellEnd"/>
      <w:r w:rsidRPr="00AE1B92">
        <w:t xml:space="preserve">: </w:t>
      </w:r>
      <w:r w:rsidRPr="00AE1B92">
        <w:rPr>
          <w:rFonts w:ascii="Calibri" w:hAnsi="Calibri" w:cs="Calibri"/>
        </w:rPr>
        <w:t xml:space="preserve">Digital Objects as Drivers towards Convergence in Data Infrastructures; </w:t>
      </w:r>
      <w:hyperlink r:id="rId14" w:history="1">
        <w:r w:rsidRPr="00AE1B92">
          <w:rPr>
            <w:rFonts w:ascii="Calibri" w:hAnsi="Calibri" w:cs="Calibri"/>
            <w:u w:val="single"/>
          </w:rPr>
          <w:t>http://</w:t>
        </w:r>
        <w:proofErr w:type="spellStart"/>
        <w:r w:rsidRPr="00AE1B92">
          <w:rPr>
            <w:rFonts w:ascii="Calibri" w:hAnsi="Calibri" w:cs="Calibri"/>
            <w:u w:val="single"/>
          </w:rPr>
          <w:t>doi.org</w:t>
        </w:r>
        <w:proofErr w:type="spellEnd"/>
        <w:r w:rsidRPr="00AE1B92">
          <w:rPr>
            <w:rFonts w:ascii="Calibri" w:hAnsi="Calibri" w:cs="Calibri"/>
            <w:u w:val="single"/>
          </w:rPr>
          <w:t>/10.23728/</w:t>
        </w:r>
        <w:proofErr w:type="spellStart"/>
        <w:r w:rsidRPr="00AE1B92">
          <w:rPr>
            <w:rFonts w:ascii="Calibri" w:hAnsi="Calibri" w:cs="Calibri"/>
            <w:u w:val="single"/>
          </w:rPr>
          <w:t>b2share.b605d85809ca45679b110719b6c6cb11</w:t>
        </w:r>
        <w:proofErr w:type="spellEnd"/>
      </w:hyperlink>
    </w:p>
    <w:p w:rsidR="008F59B6" w:rsidRPr="00AE1B92" w:rsidRDefault="008F59B6" w:rsidP="008F59B6">
      <w:pPr>
        <w:pStyle w:val="ListParagraph"/>
        <w:numPr>
          <w:ilvl w:val="0"/>
          <w:numId w:val="1"/>
        </w:numPr>
        <w:autoSpaceDE w:val="0"/>
        <w:autoSpaceDN w:val="0"/>
        <w:adjustRightInd w:val="0"/>
        <w:spacing w:after="0" w:line="240" w:lineRule="auto"/>
        <w:rPr>
          <w:rFonts w:ascii="Calibri" w:hAnsi="Calibri" w:cs="Calibri"/>
        </w:rPr>
      </w:pPr>
      <w:r w:rsidRPr="00AE1B92">
        <w:t xml:space="preserve">S. </w:t>
      </w:r>
      <w:proofErr w:type="spellStart"/>
      <w:r w:rsidRPr="00AE1B92">
        <w:t>Hodson</w:t>
      </w:r>
      <w:proofErr w:type="spellEnd"/>
      <w:r w:rsidRPr="00AE1B92">
        <w:t xml:space="preserve"> </w:t>
      </w:r>
      <w:proofErr w:type="gramStart"/>
      <w:r w:rsidRPr="00AE1B92">
        <w:t>et</w:t>
      </w:r>
      <w:proofErr w:type="gramEnd"/>
      <w:r w:rsidRPr="00AE1B92">
        <w:t xml:space="preserve">. al.: Turning FAIR into Reality; </w:t>
      </w:r>
      <w:hyperlink r:id="rId15" w:history="1">
        <w:r w:rsidRPr="00AE1B92">
          <w:rPr>
            <w:rFonts w:ascii="Calibri" w:hAnsi="Calibri" w:cs="Calibri"/>
            <w:u w:val="single"/>
          </w:rPr>
          <w:t>https://</w:t>
        </w:r>
        <w:proofErr w:type="spellStart"/>
        <w:r w:rsidRPr="00AE1B92">
          <w:rPr>
            <w:rFonts w:ascii="Calibri" w:hAnsi="Calibri" w:cs="Calibri"/>
            <w:u w:val="single"/>
          </w:rPr>
          <w:t>doi.org</w:t>
        </w:r>
        <w:proofErr w:type="spellEnd"/>
        <w:r w:rsidRPr="00AE1B92">
          <w:rPr>
            <w:rFonts w:ascii="Calibri" w:hAnsi="Calibri" w:cs="Calibri"/>
            <w:u w:val="single"/>
          </w:rPr>
          <w:t>/10.2777/1524</w:t>
        </w:r>
      </w:hyperlink>
      <w:r w:rsidRPr="00AE1B92">
        <w:rPr>
          <w:rFonts w:ascii="Calibri" w:hAnsi="Calibri" w:cs="Calibri"/>
        </w:rPr>
        <w:t xml:space="preserve">  </w:t>
      </w:r>
    </w:p>
    <w:p w:rsidR="008F59B6" w:rsidRPr="00AE1B92" w:rsidRDefault="008F59B6" w:rsidP="008F59B6">
      <w:pPr>
        <w:pStyle w:val="ListParagraph"/>
        <w:numPr>
          <w:ilvl w:val="0"/>
          <w:numId w:val="1"/>
        </w:numPr>
        <w:autoSpaceDE w:val="0"/>
        <w:autoSpaceDN w:val="0"/>
        <w:adjustRightInd w:val="0"/>
        <w:spacing w:after="0" w:line="240" w:lineRule="auto"/>
        <w:rPr>
          <w:rFonts w:ascii="Calibri" w:hAnsi="Calibri" w:cs="Calibri"/>
        </w:rPr>
      </w:pPr>
      <w:r w:rsidRPr="00AE1B92">
        <w:t xml:space="preserve">E. </w:t>
      </w:r>
      <w:proofErr w:type="spellStart"/>
      <w:r w:rsidRPr="00AE1B92">
        <w:t>Schultes</w:t>
      </w:r>
      <w:proofErr w:type="spellEnd"/>
      <w:r w:rsidRPr="00AE1B92">
        <w:t xml:space="preserve">, P. </w:t>
      </w:r>
      <w:proofErr w:type="spellStart"/>
      <w:r w:rsidRPr="00AE1B92">
        <w:t>Wittenburg</w:t>
      </w:r>
      <w:proofErr w:type="spellEnd"/>
      <w:r w:rsidRPr="00AE1B92">
        <w:t xml:space="preserve">: </w:t>
      </w:r>
      <w:r w:rsidRPr="00AE1B92">
        <w:rPr>
          <w:rFonts w:ascii="Calibri" w:hAnsi="Calibri" w:cs="Calibri"/>
        </w:rPr>
        <w:t xml:space="preserve">FAIR Principles and Digital Objects: Accelerating Convergence on a Data Infrastructure; </w:t>
      </w:r>
      <w:hyperlink r:id="rId16" w:history="1">
        <w:r w:rsidRPr="00AE1B92">
          <w:rPr>
            <w:rFonts w:ascii="Calibri" w:hAnsi="Calibri" w:cs="Calibri"/>
            <w:u w:val="single"/>
          </w:rPr>
          <w:t>http://</w:t>
        </w:r>
        <w:proofErr w:type="spellStart"/>
        <w:r w:rsidRPr="00AE1B92">
          <w:rPr>
            <w:rFonts w:ascii="Calibri" w:hAnsi="Calibri" w:cs="Calibri"/>
            <w:u w:val="single"/>
          </w:rPr>
          <w:t>doi.org</w:t>
        </w:r>
        <w:proofErr w:type="spellEnd"/>
        <w:r w:rsidRPr="00AE1B92">
          <w:rPr>
            <w:rFonts w:ascii="Calibri" w:hAnsi="Calibri" w:cs="Calibri"/>
            <w:u w:val="single"/>
          </w:rPr>
          <w:t>/10.23728/</w:t>
        </w:r>
        <w:proofErr w:type="spellStart"/>
        <w:r w:rsidRPr="00AE1B92">
          <w:rPr>
            <w:rFonts w:ascii="Calibri" w:hAnsi="Calibri" w:cs="Calibri"/>
            <w:u w:val="single"/>
          </w:rPr>
          <w:t>b2share.166a074bff614a31b05e9df5bfd9809d</w:t>
        </w:r>
        <w:proofErr w:type="spellEnd"/>
      </w:hyperlink>
      <w:r w:rsidRPr="00AE1B92">
        <w:rPr>
          <w:rFonts w:ascii="Calibri" w:hAnsi="Calibri" w:cs="Calibri"/>
        </w:rPr>
        <w:t xml:space="preserve"> </w:t>
      </w:r>
    </w:p>
    <w:p w:rsidR="008F59B6" w:rsidRPr="00AE1B92" w:rsidRDefault="008F59B6" w:rsidP="008F59B6">
      <w:pPr>
        <w:pStyle w:val="ListParagraph"/>
        <w:numPr>
          <w:ilvl w:val="0"/>
          <w:numId w:val="1"/>
        </w:numPr>
        <w:autoSpaceDE w:val="0"/>
        <w:autoSpaceDN w:val="0"/>
        <w:adjustRightInd w:val="0"/>
        <w:spacing w:after="0" w:line="240" w:lineRule="auto"/>
        <w:rPr>
          <w:rFonts w:ascii="Calibri" w:hAnsi="Calibri" w:cs="Calibri"/>
        </w:rPr>
      </w:pPr>
      <w:r w:rsidRPr="00AE1B92">
        <w:t xml:space="preserve">G. Strawn: </w:t>
      </w:r>
      <w:r w:rsidRPr="00AE1B92">
        <w:rPr>
          <w:rFonts w:ascii="Calibri" w:hAnsi="Calibri" w:cs="Calibri"/>
        </w:rPr>
        <w:t xml:space="preserve">Open Science, Business Analytics, and FAIR Digital Objects; </w:t>
      </w:r>
      <w:hyperlink r:id="rId17" w:history="1">
        <w:r w:rsidRPr="00AE1B92">
          <w:rPr>
            <w:rFonts w:ascii="Calibri" w:hAnsi="Calibri" w:cs="Calibri"/>
            <w:u w:val="single"/>
          </w:rPr>
          <w:t>http://</w:t>
        </w:r>
        <w:proofErr w:type="spellStart"/>
        <w:r w:rsidRPr="00AE1B92">
          <w:rPr>
            <w:rFonts w:ascii="Calibri" w:hAnsi="Calibri" w:cs="Calibri"/>
            <w:u w:val="single"/>
          </w:rPr>
          <w:t>doi.org</w:t>
        </w:r>
        <w:proofErr w:type="spellEnd"/>
        <w:r w:rsidRPr="00AE1B92">
          <w:rPr>
            <w:rFonts w:ascii="Calibri" w:hAnsi="Calibri" w:cs="Calibri"/>
            <w:u w:val="single"/>
          </w:rPr>
          <w:t>/10.23728/</w:t>
        </w:r>
        <w:proofErr w:type="spellStart"/>
        <w:r w:rsidRPr="00AE1B92">
          <w:rPr>
            <w:rFonts w:ascii="Calibri" w:hAnsi="Calibri" w:cs="Calibri"/>
            <w:u w:val="single"/>
          </w:rPr>
          <w:t>b2share.6ceeed13eb6340fcb132bcb5b5e3d69a</w:t>
        </w:r>
        <w:proofErr w:type="spellEnd"/>
      </w:hyperlink>
      <w:r w:rsidRPr="00AE1B92">
        <w:rPr>
          <w:rFonts w:ascii="Calibri" w:hAnsi="Calibri" w:cs="Calibri"/>
        </w:rPr>
        <w:t xml:space="preserve">  </w:t>
      </w:r>
    </w:p>
    <w:p w:rsidR="008F59B6" w:rsidRPr="00AE1B92" w:rsidRDefault="008F59B6" w:rsidP="008F59B6">
      <w:pPr>
        <w:pStyle w:val="NoSpacing"/>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pPr>
      <w:r w:rsidRPr="00AE1B92">
        <w:t xml:space="preserve">K. de </w:t>
      </w:r>
      <w:proofErr w:type="spellStart"/>
      <w:r w:rsidRPr="00AE1B92">
        <w:t>Smedt</w:t>
      </w:r>
      <w:proofErr w:type="spellEnd"/>
      <w:r w:rsidRPr="00AE1B92">
        <w:t xml:space="preserve">, D. </w:t>
      </w:r>
      <w:proofErr w:type="spellStart"/>
      <w:r w:rsidRPr="00AE1B92">
        <w:t>Koureas</w:t>
      </w:r>
      <w:proofErr w:type="spellEnd"/>
      <w:r w:rsidRPr="00AE1B92">
        <w:t xml:space="preserve">, P. Wittenburg: Analysis of Scientific Practice towards FAIR Digital Objects; </w:t>
      </w:r>
      <w:hyperlink r:id="rId18" w:history="1">
        <w:r w:rsidRPr="00AE1B92">
          <w:rPr>
            <w:u w:val="single"/>
          </w:rPr>
          <w:t>http://</w:t>
        </w:r>
        <w:proofErr w:type="spellStart"/>
        <w:r w:rsidRPr="00AE1B92">
          <w:rPr>
            <w:u w:val="single"/>
          </w:rPr>
          <w:t>doi.org</w:t>
        </w:r>
        <w:proofErr w:type="spellEnd"/>
        <w:r w:rsidRPr="00AE1B92">
          <w:rPr>
            <w:u w:val="single"/>
          </w:rPr>
          <w:t>/10.23728/</w:t>
        </w:r>
        <w:proofErr w:type="spellStart"/>
        <w:r w:rsidRPr="00AE1B92">
          <w:rPr>
            <w:u w:val="single"/>
          </w:rPr>
          <w:t>b2share.e14269d07ce84027a7f79ee06b994ef9</w:t>
        </w:r>
        <w:proofErr w:type="spellEnd"/>
      </w:hyperlink>
    </w:p>
    <w:sectPr w:rsidR="008F59B6" w:rsidRPr="00AE1B92">
      <w:headerReference w:type="default" r:id="rId19"/>
      <w:footerReference w:type="default" r:id="rId20"/>
      <w:pgSz w:w="11900" w:h="16840"/>
      <w:pgMar w:top="1417" w:right="1417" w:bottom="1134" w:left="1417" w:header="708" w:footer="70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4C61" w:rsidRDefault="00B74C61">
      <w:r>
        <w:separator/>
      </w:r>
    </w:p>
  </w:endnote>
  <w:endnote w:type="continuationSeparator" w:id="0">
    <w:p w:rsidR="00B74C61" w:rsidRDefault="00B74C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Helvetica Neue">
    <w:altName w:val="Times New Roman"/>
    <w:charset w:val="00"/>
    <w:family w:val="roman"/>
    <w:pitch w:val="default"/>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0043" w:rsidRDefault="00EA0043">
    <w:pPr>
      <w:pStyle w:val="HeaderFooter"/>
      <w:rPr>
        <w:rFonts w:hint="eastAsia"/>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4C61" w:rsidRDefault="00B74C61">
      <w:r>
        <w:separator/>
      </w:r>
    </w:p>
  </w:footnote>
  <w:footnote w:type="continuationSeparator" w:id="0">
    <w:p w:rsidR="00B74C61" w:rsidRDefault="00B74C61">
      <w:r>
        <w:continuationSeparator/>
      </w:r>
    </w:p>
  </w:footnote>
  <w:footnote w:id="1">
    <w:p w:rsidR="008F59B6" w:rsidRPr="006512DA" w:rsidRDefault="008F59B6" w:rsidP="008F59B6">
      <w:pPr>
        <w:pStyle w:val="FootnoteText"/>
      </w:pPr>
      <w:r>
        <w:rPr>
          <w:rStyle w:val="FootnoteReference"/>
        </w:rPr>
        <w:footnoteRef/>
      </w:r>
      <w:r>
        <w:t xml:space="preserve"> </w:t>
      </w:r>
      <w:r w:rsidRPr="006512DA">
        <w:t xml:space="preserve">It should </w:t>
      </w:r>
      <w:proofErr w:type="spellStart"/>
      <w:proofErr w:type="gramStart"/>
      <w:r w:rsidRPr="006512DA">
        <w:t>noted</w:t>
      </w:r>
      <w:proofErr w:type="spellEnd"/>
      <w:proofErr w:type="gramEnd"/>
      <w:r w:rsidRPr="006512DA">
        <w:t xml:space="preserve"> that some Handle Services do not support machine actionable types</w:t>
      </w:r>
      <w:r>
        <w:t xml:space="preserve"> in the Handle record</w:t>
      </w:r>
      <w:r w:rsidRPr="006512DA">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0043" w:rsidRDefault="00EA0043">
    <w:pPr>
      <w:pStyle w:val="HeaderFooter"/>
      <w:rPr>
        <w:rFonts w:hint="eastAsi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21AF5"/>
    <w:multiLevelType w:val="hybridMultilevel"/>
    <w:tmpl w:val="99246C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77D663E"/>
    <w:multiLevelType w:val="multilevel"/>
    <w:tmpl w:val="43CC5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CB51130"/>
    <w:multiLevelType w:val="hybridMultilevel"/>
    <w:tmpl w:val="36CA4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5437037"/>
    <w:multiLevelType w:val="multilevel"/>
    <w:tmpl w:val="5F5E2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060363E"/>
    <w:multiLevelType w:val="hybridMultilevel"/>
    <w:tmpl w:val="746CBC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70BB7E8B"/>
    <w:multiLevelType w:val="hybridMultilevel"/>
    <w:tmpl w:val="E85CAE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1"/>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EA0043"/>
    <w:rsid w:val="001534DA"/>
    <w:rsid w:val="002458EF"/>
    <w:rsid w:val="002A6049"/>
    <w:rsid w:val="003814AA"/>
    <w:rsid w:val="003B2768"/>
    <w:rsid w:val="004027A1"/>
    <w:rsid w:val="00431C43"/>
    <w:rsid w:val="00465699"/>
    <w:rsid w:val="004B14C2"/>
    <w:rsid w:val="00535D46"/>
    <w:rsid w:val="006635A0"/>
    <w:rsid w:val="00671B24"/>
    <w:rsid w:val="006A35ED"/>
    <w:rsid w:val="008453AA"/>
    <w:rsid w:val="008F59B6"/>
    <w:rsid w:val="00923643"/>
    <w:rsid w:val="009528D3"/>
    <w:rsid w:val="00974D8E"/>
    <w:rsid w:val="00990D92"/>
    <w:rsid w:val="009A4D61"/>
    <w:rsid w:val="009B4E0A"/>
    <w:rsid w:val="009C2477"/>
    <w:rsid w:val="00AB10FB"/>
    <w:rsid w:val="00AF5747"/>
    <w:rsid w:val="00B321DE"/>
    <w:rsid w:val="00B37446"/>
    <w:rsid w:val="00B74C61"/>
    <w:rsid w:val="00BB1A16"/>
    <w:rsid w:val="00BE67E6"/>
    <w:rsid w:val="00C90B91"/>
    <w:rsid w:val="00E5439C"/>
    <w:rsid w:val="00EA0043"/>
    <w:rsid w:val="00F95442"/>
    <w:rsid w:val="00FB14D3"/>
    <w:rsid w:val="00FC6F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lang w:val="en-US" w:eastAsia="en-US"/>
    </w:rPr>
  </w:style>
  <w:style w:type="paragraph" w:styleId="Heading2">
    <w:name w:val="heading 2"/>
    <w:basedOn w:val="Normal"/>
    <w:next w:val="Normal"/>
    <w:link w:val="Heading2Char"/>
    <w:uiPriority w:val="9"/>
    <w:unhideWhenUsed/>
    <w:qFormat/>
    <w:rsid w:val="008F59B6"/>
    <w:pPr>
      <w:keepNext/>
      <w:keepLines/>
      <w:pBdr>
        <w:top w:val="none" w:sz="0" w:space="0" w:color="auto"/>
        <w:left w:val="none" w:sz="0" w:space="0" w:color="auto"/>
        <w:bottom w:val="none" w:sz="0" w:space="0" w:color="auto"/>
        <w:right w:val="none" w:sz="0" w:space="0" w:color="auto"/>
        <w:between w:val="none" w:sz="0" w:space="0" w:color="auto"/>
        <w:bar w:val="none" w:sz="0" w:color="auto"/>
      </w:pBdr>
      <w:spacing w:before="200" w:line="276" w:lineRule="auto"/>
      <w:outlineLvl w:val="1"/>
    </w:pPr>
    <w:rPr>
      <w:rFonts w:asciiTheme="majorHAnsi" w:eastAsiaTheme="majorEastAsia" w:hAnsiTheme="majorHAnsi" w:cstheme="majorBidi"/>
      <w:b/>
      <w:bCs/>
      <w:color w:val="4F81BD" w:themeColor="accent1"/>
      <w:sz w:val="26"/>
      <w:szCs w:val="26"/>
      <w:bdr w:val="none" w:sz="0" w:space="0" w:color="auto"/>
      <w:lang w:val="en-GB"/>
    </w:rPr>
  </w:style>
  <w:style w:type="paragraph" w:styleId="Heading3">
    <w:name w:val="heading 3"/>
    <w:basedOn w:val="Normal"/>
    <w:next w:val="Normal"/>
    <w:link w:val="Heading3Char"/>
    <w:uiPriority w:val="9"/>
    <w:unhideWhenUsed/>
    <w:qFormat/>
    <w:rsid w:val="00AB10FB"/>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styleId="NoSpacing">
    <w:name w:val="No Spacing"/>
    <w:uiPriority w:val="1"/>
    <w:qFormat/>
    <w:rPr>
      <w:rFonts w:ascii="Calibri" w:eastAsia="Calibri" w:hAnsi="Calibri" w:cs="Calibri"/>
      <w:color w:val="000000"/>
      <w:sz w:val="22"/>
      <w:szCs w:val="22"/>
      <w:u w:color="000000"/>
      <w:lang w:val="en-US"/>
    </w:rPr>
  </w:style>
  <w:style w:type="character" w:customStyle="1" w:styleId="Heading2Char">
    <w:name w:val="Heading 2 Char"/>
    <w:basedOn w:val="DefaultParagraphFont"/>
    <w:link w:val="Heading2"/>
    <w:uiPriority w:val="9"/>
    <w:rsid w:val="008F59B6"/>
    <w:rPr>
      <w:rFonts w:asciiTheme="majorHAnsi" w:eastAsiaTheme="majorEastAsia" w:hAnsiTheme="majorHAnsi" w:cstheme="majorBidi"/>
      <w:b/>
      <w:bCs/>
      <w:color w:val="4F81BD" w:themeColor="accent1"/>
      <w:sz w:val="26"/>
      <w:szCs w:val="26"/>
      <w:bdr w:val="none" w:sz="0" w:space="0" w:color="auto"/>
      <w:lang w:eastAsia="en-US"/>
    </w:rPr>
  </w:style>
  <w:style w:type="paragraph" w:styleId="FootnoteText">
    <w:name w:val="footnote text"/>
    <w:basedOn w:val="Normal"/>
    <w:link w:val="FootnoteTextChar"/>
    <w:uiPriority w:val="99"/>
    <w:semiHidden/>
    <w:unhideWhenUsed/>
    <w:rsid w:val="008F59B6"/>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HAnsi" w:hAnsiTheme="minorHAnsi" w:cstheme="minorBidi"/>
      <w:sz w:val="20"/>
      <w:szCs w:val="20"/>
      <w:bdr w:val="none" w:sz="0" w:space="0" w:color="auto"/>
      <w:lang w:val="en-GB"/>
    </w:rPr>
  </w:style>
  <w:style w:type="character" w:customStyle="1" w:styleId="FootnoteTextChar">
    <w:name w:val="Footnote Text Char"/>
    <w:basedOn w:val="DefaultParagraphFont"/>
    <w:link w:val="FootnoteText"/>
    <w:uiPriority w:val="99"/>
    <w:semiHidden/>
    <w:rsid w:val="008F59B6"/>
    <w:rPr>
      <w:rFonts w:asciiTheme="minorHAnsi" w:eastAsiaTheme="minorHAnsi" w:hAnsiTheme="minorHAnsi" w:cstheme="minorBidi"/>
      <w:bdr w:val="none" w:sz="0" w:space="0" w:color="auto"/>
      <w:lang w:eastAsia="en-US"/>
    </w:rPr>
  </w:style>
  <w:style w:type="character" w:styleId="FootnoteReference">
    <w:name w:val="footnote reference"/>
    <w:basedOn w:val="DefaultParagraphFont"/>
    <w:uiPriority w:val="99"/>
    <w:semiHidden/>
    <w:unhideWhenUsed/>
    <w:rsid w:val="008F59B6"/>
    <w:rPr>
      <w:vertAlign w:val="superscript"/>
    </w:rPr>
  </w:style>
  <w:style w:type="table" w:styleId="TableGrid">
    <w:name w:val="Table Grid"/>
    <w:basedOn w:val="TableNormal"/>
    <w:uiPriority w:val="59"/>
    <w:rsid w:val="008F59B6"/>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HAnsi" w:hAnsiTheme="minorHAnsi" w:cstheme="minorBidi"/>
      <w:sz w:val="22"/>
      <w:szCs w:val="22"/>
      <w:bdr w:val="none" w:sz="0" w:space="0" w:color="auto"/>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F59B6"/>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ind w:left="720"/>
      <w:contextualSpacing/>
    </w:pPr>
    <w:rPr>
      <w:rFonts w:asciiTheme="minorHAnsi" w:eastAsiaTheme="minorHAnsi" w:hAnsiTheme="minorHAnsi" w:cstheme="minorBidi"/>
      <w:sz w:val="22"/>
      <w:szCs w:val="22"/>
      <w:bdr w:val="none" w:sz="0" w:space="0" w:color="auto"/>
      <w:lang w:val="en-GB"/>
    </w:rPr>
  </w:style>
  <w:style w:type="paragraph" w:styleId="NormalWeb">
    <w:name w:val="Normal (Web)"/>
    <w:basedOn w:val="Normal"/>
    <w:uiPriority w:val="99"/>
    <w:semiHidden/>
    <w:unhideWhenUsed/>
    <w:rsid w:val="00923643"/>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lang w:val="en-GB" w:eastAsia="en-GB"/>
    </w:rPr>
  </w:style>
  <w:style w:type="character" w:customStyle="1" w:styleId="seosummary">
    <w:name w:val="seosummary"/>
    <w:basedOn w:val="DefaultParagraphFont"/>
    <w:rsid w:val="00C90B91"/>
  </w:style>
  <w:style w:type="character" w:styleId="Strong">
    <w:name w:val="Strong"/>
    <w:basedOn w:val="DefaultParagraphFont"/>
    <w:uiPriority w:val="22"/>
    <w:qFormat/>
    <w:rsid w:val="00C90B91"/>
    <w:rPr>
      <w:b/>
      <w:bCs/>
    </w:rPr>
  </w:style>
  <w:style w:type="paragraph" w:styleId="BalloonText">
    <w:name w:val="Balloon Text"/>
    <w:basedOn w:val="Normal"/>
    <w:link w:val="BalloonTextChar"/>
    <w:uiPriority w:val="99"/>
    <w:semiHidden/>
    <w:unhideWhenUsed/>
    <w:rsid w:val="006635A0"/>
    <w:rPr>
      <w:rFonts w:ascii="Tahoma" w:hAnsi="Tahoma" w:cs="Tahoma"/>
      <w:sz w:val="16"/>
      <w:szCs w:val="16"/>
    </w:rPr>
  </w:style>
  <w:style w:type="character" w:customStyle="1" w:styleId="BalloonTextChar">
    <w:name w:val="Balloon Text Char"/>
    <w:basedOn w:val="DefaultParagraphFont"/>
    <w:link w:val="BalloonText"/>
    <w:uiPriority w:val="99"/>
    <w:semiHidden/>
    <w:rsid w:val="006635A0"/>
    <w:rPr>
      <w:rFonts w:ascii="Tahoma" w:hAnsi="Tahoma" w:cs="Tahoma"/>
      <w:sz w:val="16"/>
      <w:szCs w:val="16"/>
      <w:lang w:val="en-US" w:eastAsia="en-US"/>
    </w:rPr>
  </w:style>
  <w:style w:type="character" w:customStyle="1" w:styleId="Heading3Char">
    <w:name w:val="Heading 3 Char"/>
    <w:basedOn w:val="DefaultParagraphFont"/>
    <w:link w:val="Heading3"/>
    <w:uiPriority w:val="9"/>
    <w:rsid w:val="00AB10FB"/>
    <w:rPr>
      <w:rFonts w:asciiTheme="majorHAnsi" w:eastAsiaTheme="majorEastAsia" w:hAnsiTheme="majorHAnsi" w:cstheme="majorBidi"/>
      <w:b/>
      <w:bCs/>
      <w:color w:val="4F81BD" w:themeColor="accent1"/>
      <w:sz w:val="24"/>
      <w:szCs w:val="24"/>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lang w:val="en-US" w:eastAsia="en-US"/>
    </w:rPr>
  </w:style>
  <w:style w:type="paragraph" w:styleId="Heading2">
    <w:name w:val="heading 2"/>
    <w:basedOn w:val="Normal"/>
    <w:next w:val="Normal"/>
    <w:link w:val="Heading2Char"/>
    <w:uiPriority w:val="9"/>
    <w:unhideWhenUsed/>
    <w:qFormat/>
    <w:rsid w:val="008F59B6"/>
    <w:pPr>
      <w:keepNext/>
      <w:keepLines/>
      <w:pBdr>
        <w:top w:val="none" w:sz="0" w:space="0" w:color="auto"/>
        <w:left w:val="none" w:sz="0" w:space="0" w:color="auto"/>
        <w:bottom w:val="none" w:sz="0" w:space="0" w:color="auto"/>
        <w:right w:val="none" w:sz="0" w:space="0" w:color="auto"/>
        <w:between w:val="none" w:sz="0" w:space="0" w:color="auto"/>
        <w:bar w:val="none" w:sz="0" w:color="auto"/>
      </w:pBdr>
      <w:spacing w:before="200" w:line="276" w:lineRule="auto"/>
      <w:outlineLvl w:val="1"/>
    </w:pPr>
    <w:rPr>
      <w:rFonts w:asciiTheme="majorHAnsi" w:eastAsiaTheme="majorEastAsia" w:hAnsiTheme="majorHAnsi" w:cstheme="majorBidi"/>
      <w:b/>
      <w:bCs/>
      <w:color w:val="4F81BD" w:themeColor="accent1"/>
      <w:sz w:val="26"/>
      <w:szCs w:val="26"/>
      <w:bdr w:val="none" w:sz="0" w:space="0" w:color="auto"/>
      <w:lang w:val="en-GB"/>
    </w:rPr>
  </w:style>
  <w:style w:type="paragraph" w:styleId="Heading3">
    <w:name w:val="heading 3"/>
    <w:basedOn w:val="Normal"/>
    <w:next w:val="Normal"/>
    <w:link w:val="Heading3Char"/>
    <w:uiPriority w:val="9"/>
    <w:unhideWhenUsed/>
    <w:qFormat/>
    <w:rsid w:val="00AB10FB"/>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styleId="NoSpacing">
    <w:name w:val="No Spacing"/>
    <w:uiPriority w:val="1"/>
    <w:qFormat/>
    <w:rPr>
      <w:rFonts w:ascii="Calibri" w:eastAsia="Calibri" w:hAnsi="Calibri" w:cs="Calibri"/>
      <w:color w:val="000000"/>
      <w:sz w:val="22"/>
      <w:szCs w:val="22"/>
      <w:u w:color="000000"/>
      <w:lang w:val="en-US"/>
    </w:rPr>
  </w:style>
  <w:style w:type="character" w:customStyle="1" w:styleId="Heading2Char">
    <w:name w:val="Heading 2 Char"/>
    <w:basedOn w:val="DefaultParagraphFont"/>
    <w:link w:val="Heading2"/>
    <w:uiPriority w:val="9"/>
    <w:rsid w:val="008F59B6"/>
    <w:rPr>
      <w:rFonts w:asciiTheme="majorHAnsi" w:eastAsiaTheme="majorEastAsia" w:hAnsiTheme="majorHAnsi" w:cstheme="majorBidi"/>
      <w:b/>
      <w:bCs/>
      <w:color w:val="4F81BD" w:themeColor="accent1"/>
      <w:sz w:val="26"/>
      <w:szCs w:val="26"/>
      <w:bdr w:val="none" w:sz="0" w:space="0" w:color="auto"/>
      <w:lang w:eastAsia="en-US"/>
    </w:rPr>
  </w:style>
  <w:style w:type="paragraph" w:styleId="FootnoteText">
    <w:name w:val="footnote text"/>
    <w:basedOn w:val="Normal"/>
    <w:link w:val="FootnoteTextChar"/>
    <w:uiPriority w:val="99"/>
    <w:semiHidden/>
    <w:unhideWhenUsed/>
    <w:rsid w:val="008F59B6"/>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HAnsi" w:hAnsiTheme="minorHAnsi" w:cstheme="minorBidi"/>
      <w:sz w:val="20"/>
      <w:szCs w:val="20"/>
      <w:bdr w:val="none" w:sz="0" w:space="0" w:color="auto"/>
      <w:lang w:val="en-GB"/>
    </w:rPr>
  </w:style>
  <w:style w:type="character" w:customStyle="1" w:styleId="FootnoteTextChar">
    <w:name w:val="Footnote Text Char"/>
    <w:basedOn w:val="DefaultParagraphFont"/>
    <w:link w:val="FootnoteText"/>
    <w:uiPriority w:val="99"/>
    <w:semiHidden/>
    <w:rsid w:val="008F59B6"/>
    <w:rPr>
      <w:rFonts w:asciiTheme="minorHAnsi" w:eastAsiaTheme="minorHAnsi" w:hAnsiTheme="minorHAnsi" w:cstheme="minorBidi"/>
      <w:bdr w:val="none" w:sz="0" w:space="0" w:color="auto"/>
      <w:lang w:eastAsia="en-US"/>
    </w:rPr>
  </w:style>
  <w:style w:type="character" w:styleId="FootnoteReference">
    <w:name w:val="footnote reference"/>
    <w:basedOn w:val="DefaultParagraphFont"/>
    <w:uiPriority w:val="99"/>
    <w:semiHidden/>
    <w:unhideWhenUsed/>
    <w:rsid w:val="008F59B6"/>
    <w:rPr>
      <w:vertAlign w:val="superscript"/>
    </w:rPr>
  </w:style>
  <w:style w:type="table" w:styleId="TableGrid">
    <w:name w:val="Table Grid"/>
    <w:basedOn w:val="TableNormal"/>
    <w:uiPriority w:val="59"/>
    <w:rsid w:val="008F59B6"/>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HAnsi" w:hAnsiTheme="minorHAnsi" w:cstheme="minorBidi"/>
      <w:sz w:val="22"/>
      <w:szCs w:val="22"/>
      <w:bdr w:val="none" w:sz="0" w:space="0" w:color="auto"/>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F59B6"/>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ind w:left="720"/>
      <w:contextualSpacing/>
    </w:pPr>
    <w:rPr>
      <w:rFonts w:asciiTheme="minorHAnsi" w:eastAsiaTheme="minorHAnsi" w:hAnsiTheme="minorHAnsi" w:cstheme="minorBidi"/>
      <w:sz w:val="22"/>
      <w:szCs w:val="22"/>
      <w:bdr w:val="none" w:sz="0" w:space="0" w:color="auto"/>
      <w:lang w:val="en-GB"/>
    </w:rPr>
  </w:style>
  <w:style w:type="paragraph" w:styleId="NormalWeb">
    <w:name w:val="Normal (Web)"/>
    <w:basedOn w:val="Normal"/>
    <w:uiPriority w:val="99"/>
    <w:semiHidden/>
    <w:unhideWhenUsed/>
    <w:rsid w:val="00923643"/>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lang w:val="en-GB" w:eastAsia="en-GB"/>
    </w:rPr>
  </w:style>
  <w:style w:type="character" w:customStyle="1" w:styleId="seosummary">
    <w:name w:val="seosummary"/>
    <w:basedOn w:val="DefaultParagraphFont"/>
    <w:rsid w:val="00C90B91"/>
  </w:style>
  <w:style w:type="character" w:styleId="Strong">
    <w:name w:val="Strong"/>
    <w:basedOn w:val="DefaultParagraphFont"/>
    <w:uiPriority w:val="22"/>
    <w:qFormat/>
    <w:rsid w:val="00C90B91"/>
    <w:rPr>
      <w:b/>
      <w:bCs/>
    </w:rPr>
  </w:style>
  <w:style w:type="paragraph" w:styleId="BalloonText">
    <w:name w:val="Balloon Text"/>
    <w:basedOn w:val="Normal"/>
    <w:link w:val="BalloonTextChar"/>
    <w:uiPriority w:val="99"/>
    <w:semiHidden/>
    <w:unhideWhenUsed/>
    <w:rsid w:val="006635A0"/>
    <w:rPr>
      <w:rFonts w:ascii="Tahoma" w:hAnsi="Tahoma" w:cs="Tahoma"/>
      <w:sz w:val="16"/>
      <w:szCs w:val="16"/>
    </w:rPr>
  </w:style>
  <w:style w:type="character" w:customStyle="1" w:styleId="BalloonTextChar">
    <w:name w:val="Balloon Text Char"/>
    <w:basedOn w:val="DefaultParagraphFont"/>
    <w:link w:val="BalloonText"/>
    <w:uiPriority w:val="99"/>
    <w:semiHidden/>
    <w:rsid w:val="006635A0"/>
    <w:rPr>
      <w:rFonts w:ascii="Tahoma" w:hAnsi="Tahoma" w:cs="Tahoma"/>
      <w:sz w:val="16"/>
      <w:szCs w:val="16"/>
      <w:lang w:val="en-US" w:eastAsia="en-US"/>
    </w:rPr>
  </w:style>
  <w:style w:type="character" w:customStyle="1" w:styleId="Heading3Char">
    <w:name w:val="Heading 3 Char"/>
    <w:basedOn w:val="DefaultParagraphFont"/>
    <w:link w:val="Heading3"/>
    <w:uiPriority w:val="9"/>
    <w:rsid w:val="00AB10FB"/>
    <w:rPr>
      <w:rFonts w:asciiTheme="majorHAnsi" w:eastAsiaTheme="majorEastAsia" w:hAnsiTheme="majorHAnsi" w:cstheme="majorBidi"/>
      <w:b/>
      <w:bCs/>
      <w:color w:val="4F81BD" w:themeColor="accent1"/>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268633">
      <w:bodyDiv w:val="1"/>
      <w:marLeft w:val="0"/>
      <w:marRight w:val="0"/>
      <w:marTop w:val="0"/>
      <w:marBottom w:val="0"/>
      <w:divBdr>
        <w:top w:val="none" w:sz="0" w:space="0" w:color="auto"/>
        <w:left w:val="none" w:sz="0" w:space="0" w:color="auto"/>
        <w:bottom w:val="none" w:sz="0" w:space="0" w:color="auto"/>
        <w:right w:val="none" w:sz="0" w:space="0" w:color="auto"/>
      </w:divBdr>
    </w:div>
    <w:div w:id="613751031">
      <w:bodyDiv w:val="1"/>
      <w:marLeft w:val="0"/>
      <w:marRight w:val="0"/>
      <w:marTop w:val="0"/>
      <w:marBottom w:val="0"/>
      <w:divBdr>
        <w:top w:val="none" w:sz="0" w:space="0" w:color="auto"/>
        <w:left w:val="none" w:sz="0" w:space="0" w:color="auto"/>
        <w:bottom w:val="none" w:sz="0" w:space="0" w:color="auto"/>
        <w:right w:val="none" w:sz="0" w:space="0" w:color="auto"/>
      </w:divBdr>
    </w:div>
    <w:div w:id="10905445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cnri.reston.va.us/k-w.html" TargetMode="External"/><Relationship Id="rId13" Type="http://schemas.openxmlformats.org/officeDocument/2006/relationships/hyperlink" Target="https://www.rd-alliance.org/group/research-data-collections-wg/outcomes/rda-research-data-collections-wg-recommendations" TargetMode="External"/><Relationship Id="rId18" Type="http://schemas.openxmlformats.org/officeDocument/2006/relationships/hyperlink" Target="http://doi.org/10.23728/b2share.e14269d07ce84027a7f79ee06b994ef9" TargetMode="Externa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rd-alliance.org/group/pid-kernel-information-wg/outcomes/recommendation-pid-kernel-information" TargetMode="External"/><Relationship Id="rId17" Type="http://schemas.openxmlformats.org/officeDocument/2006/relationships/hyperlink" Target="http://doi.org/10.23728/b2share.6ceeed13eb6340fcb132bcb5b5e3d69a" TargetMode="External"/><Relationship Id="rId2" Type="http://schemas.openxmlformats.org/officeDocument/2006/relationships/styles" Target="styles.xml"/><Relationship Id="rId16" Type="http://schemas.openxmlformats.org/officeDocument/2006/relationships/hyperlink" Target="http://doi.org/10.23728/b2share.166a074bff614a31b05e9df5bfd9809d"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rd-alliance.org/group/data-type-registries-wg/outcomes/data-type-registries" TargetMode="External"/><Relationship Id="rId5" Type="http://schemas.openxmlformats.org/officeDocument/2006/relationships/webSettings" Target="webSettings.xml"/><Relationship Id="rId15" Type="http://schemas.openxmlformats.org/officeDocument/2006/relationships/hyperlink" Target="https://doi.org/10.2777/1524" TargetMode="External"/><Relationship Id="rId10" Type="http://schemas.openxmlformats.org/officeDocument/2006/relationships/hyperlink" Target="http://hdl.handle.net/11304/5d760a3e-991d-11e5-9bb4-2b0aad496318"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doi.org/topics/2006_05_02_Kahn_Framework.pdf" TargetMode="External"/><Relationship Id="rId14" Type="http://schemas.openxmlformats.org/officeDocument/2006/relationships/hyperlink" Target="http://doi.org/10.23728/b2share.b605d85809ca45679b110719b6c6cb11" TargetMode="External"/><Relationship Id="rId22" Type="http://schemas.openxmlformats.org/officeDocument/2006/relationships/theme" Target="theme/theme1.xml"/></Relationships>
</file>

<file path=word/theme/theme1.xml><?xml version="1.0" encoding="utf-8"?>
<a:theme xmlns:a="http://schemas.openxmlformats.org/drawingml/2006/main" name="Larissa">
  <a:themeElements>
    <a:clrScheme name="Larissa">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Larissa">
      <a:majorFont>
        <a:latin typeface="Helvetica Neue"/>
        <a:ea typeface="Helvetica Neue"/>
        <a:cs typeface="Helvetica Neue"/>
      </a:majorFont>
      <a:minorFont>
        <a:latin typeface="Helvetica Neue"/>
        <a:ea typeface="Helvetica Neue"/>
        <a:cs typeface="Helvetica Neu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766</Words>
  <Characters>4369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dc:creator>
  <cp:lastModifiedBy>Peter</cp:lastModifiedBy>
  <cp:revision>3</cp:revision>
  <cp:lastPrinted>2019-11-18T13:36:00Z</cp:lastPrinted>
  <dcterms:created xsi:type="dcterms:W3CDTF">2019-11-22T08:25:00Z</dcterms:created>
  <dcterms:modified xsi:type="dcterms:W3CDTF">2019-11-22T08:29:00Z</dcterms:modified>
</cp:coreProperties>
</file>