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59B6" w:rsidRPr="00B47ED9" w:rsidRDefault="008F59B6" w:rsidP="008F59B6">
      <w:pPr>
        <w:pStyle w:val="NoSpacing"/>
        <w:jc w:val="center"/>
        <w:rPr>
          <w:sz w:val="52"/>
          <w:szCs w:val="52"/>
        </w:rPr>
      </w:pPr>
      <w:r w:rsidRPr="00B47ED9">
        <w:rPr>
          <w:sz w:val="52"/>
          <w:szCs w:val="52"/>
        </w:rPr>
        <w:t>FAIR Digital Object Framework</w:t>
      </w:r>
    </w:p>
    <w:p w:rsidR="008F59B6" w:rsidRDefault="008F59B6" w:rsidP="008F59B6">
      <w:pPr>
        <w:pStyle w:val="NoSpacing"/>
      </w:pPr>
    </w:p>
    <w:p w:rsidR="008F59B6" w:rsidRDefault="00974D8E" w:rsidP="008F59B6">
      <w:pPr>
        <w:pStyle w:val="NoSpacing"/>
        <w:jc w:val="center"/>
      </w:pPr>
      <w:r>
        <w:t>Version 1</w:t>
      </w:r>
      <w:r w:rsidR="006635A0">
        <w:t>.</w:t>
      </w:r>
      <w:r w:rsidR="00B37446">
        <w:t>0</w:t>
      </w:r>
      <w:r w:rsidR="00684492">
        <w:t>2</w:t>
      </w:r>
      <w:r>
        <w:t xml:space="preserve">, </w:t>
      </w:r>
      <w:r w:rsidR="006635A0">
        <w:t>November</w:t>
      </w:r>
      <w:r w:rsidR="008F59B6">
        <w:t xml:space="preserve"> 2019</w:t>
      </w:r>
    </w:p>
    <w:p w:rsidR="006A35ED" w:rsidRDefault="006635A0" w:rsidP="008F59B6">
      <w:pPr>
        <w:pStyle w:val="NoSpacing"/>
        <w:jc w:val="center"/>
      </w:pPr>
      <w:proofErr w:type="spellStart"/>
      <w:r>
        <w:t>FDOF</w:t>
      </w:r>
      <w:proofErr w:type="spellEnd"/>
      <w:r>
        <w:t xml:space="preserve"> Technical Implementation Guideline</w:t>
      </w:r>
    </w:p>
    <w:p w:rsidR="008F59B6" w:rsidRDefault="008F59B6" w:rsidP="008F59B6">
      <w:pPr>
        <w:pStyle w:val="NoSpacing"/>
      </w:pPr>
    </w:p>
    <w:p w:rsidR="006635A0" w:rsidRDefault="006635A0" w:rsidP="006635A0">
      <w:pPr>
        <w:jc w:val="center"/>
        <w:rPr>
          <w:rFonts w:ascii="Calibri" w:eastAsia="Times New Roman" w:hAnsi="Calibri"/>
          <w:i/>
          <w:iCs/>
        </w:rPr>
      </w:pPr>
      <w:r>
        <w:rPr>
          <w:rFonts w:ascii="Calibri" w:eastAsia="Times New Roman" w:hAnsi="Calibri"/>
          <w:i/>
          <w:iCs/>
        </w:rPr>
        <w:t>"We need a set of principles that are sufficiently specific to be useful but sufficiently abstract to exclude specific software stacks, i.e., a document that will still make sense and still be useful ten years from now."</w:t>
      </w:r>
    </w:p>
    <w:p w:rsidR="006635A0" w:rsidRDefault="006635A0" w:rsidP="008F59B6">
      <w:pPr>
        <w:pStyle w:val="NoSpacing"/>
      </w:pPr>
    </w:p>
    <w:p w:rsidR="006635A0" w:rsidRDefault="006635A0" w:rsidP="00AF5747">
      <w:pPr>
        <w:pStyle w:val="NoSpacing"/>
        <w:jc w:val="both"/>
      </w:pPr>
      <w:r>
        <w:t xml:space="preserve">This document includes </w:t>
      </w:r>
      <w:r w:rsidR="00AF5747">
        <w:t>some generic g</w:t>
      </w:r>
      <w:r w:rsidR="00684492">
        <w:t xml:space="preserve">uidelines to be met (chapter 2), </w:t>
      </w:r>
      <w:r>
        <w:t>a normative part defining the FAIR Digital Object Framework (</w:t>
      </w:r>
      <w:proofErr w:type="spellStart"/>
      <w:r>
        <w:t>FDOF</w:t>
      </w:r>
      <w:proofErr w:type="spellEnd"/>
      <w:r>
        <w:t xml:space="preserve">) at an abstract level which will develop over time </w:t>
      </w:r>
      <w:r w:rsidR="00AB10FB">
        <w:t>(chapter</w:t>
      </w:r>
      <w:r w:rsidR="00AF5747">
        <w:t xml:space="preserve"> </w:t>
      </w:r>
      <w:r w:rsidR="00AB10FB">
        <w:t>3)</w:t>
      </w:r>
      <w:r w:rsidR="00684492">
        <w:t xml:space="preserve"> and a glossary of terms (chapter 4)</w:t>
      </w:r>
      <w:bookmarkStart w:id="0" w:name="_GoBack"/>
      <w:bookmarkEnd w:id="0"/>
      <w:r w:rsidR="00684492">
        <w:t>.</w:t>
      </w:r>
      <w:r w:rsidR="00AF5747">
        <w:t xml:space="preserve"> </w:t>
      </w:r>
      <w:r w:rsidR="00684492">
        <w:t xml:space="preserve">Related documents such as implementation examples can be found at the </w:t>
      </w:r>
      <w:proofErr w:type="spellStart"/>
      <w:r w:rsidR="00684492">
        <w:t>Github</w:t>
      </w:r>
      <w:proofErr w:type="spellEnd"/>
      <w:r w:rsidR="00684492">
        <w:t xml:space="preserve"> site</w:t>
      </w:r>
      <w:r w:rsidR="00AF5747">
        <w:t>.</w:t>
      </w:r>
    </w:p>
    <w:p w:rsidR="00AB10FB" w:rsidRDefault="00AB10FB" w:rsidP="00AB10FB">
      <w:pPr>
        <w:pStyle w:val="Heading2"/>
        <w:numPr>
          <w:ilvl w:val="0"/>
          <w:numId w:val="5"/>
        </w:numPr>
      </w:pPr>
      <w:r>
        <w:t>Change History</w:t>
      </w:r>
    </w:p>
    <w:p w:rsidR="00AB10FB" w:rsidRDefault="00AB10FB" w:rsidP="008F59B6">
      <w:pPr>
        <w:pStyle w:val="NoSpacing"/>
      </w:pPr>
    </w:p>
    <w:tbl>
      <w:tblPr>
        <w:tblStyle w:val="TableGrid"/>
        <w:tblW w:w="0" w:type="auto"/>
        <w:tblLook w:val="04A0" w:firstRow="1" w:lastRow="0" w:firstColumn="1" w:lastColumn="0" w:noHBand="0" w:noVBand="1"/>
      </w:tblPr>
      <w:tblGrid>
        <w:gridCol w:w="1491"/>
        <w:gridCol w:w="1027"/>
        <w:gridCol w:w="3693"/>
        <w:gridCol w:w="3071"/>
      </w:tblGrid>
      <w:tr w:rsidR="006635A0" w:rsidTr="006635A0">
        <w:tc>
          <w:tcPr>
            <w:tcW w:w="1491" w:type="dxa"/>
            <w:vAlign w:val="center"/>
          </w:tcPr>
          <w:p w:rsidR="006635A0" w:rsidRDefault="006635A0" w:rsidP="006635A0">
            <w:pPr>
              <w:pStyle w:val="NoSpacing"/>
            </w:pPr>
            <w:r>
              <w:t>Version</w:t>
            </w:r>
          </w:p>
        </w:tc>
        <w:tc>
          <w:tcPr>
            <w:tcW w:w="1027" w:type="dxa"/>
            <w:vAlign w:val="center"/>
          </w:tcPr>
          <w:p w:rsidR="006635A0" w:rsidRDefault="006635A0" w:rsidP="006635A0">
            <w:pPr>
              <w:pStyle w:val="NoSpacing"/>
            </w:pPr>
            <w:r>
              <w:t>Date</w:t>
            </w:r>
          </w:p>
        </w:tc>
        <w:tc>
          <w:tcPr>
            <w:tcW w:w="3693" w:type="dxa"/>
            <w:vAlign w:val="center"/>
          </w:tcPr>
          <w:p w:rsidR="006635A0" w:rsidRDefault="006635A0" w:rsidP="006635A0">
            <w:pPr>
              <w:pStyle w:val="NoSpacing"/>
            </w:pPr>
            <w:r>
              <w:t>Intention</w:t>
            </w:r>
          </w:p>
        </w:tc>
        <w:tc>
          <w:tcPr>
            <w:tcW w:w="3071" w:type="dxa"/>
            <w:vAlign w:val="center"/>
          </w:tcPr>
          <w:p w:rsidR="006635A0" w:rsidRDefault="006635A0" w:rsidP="006635A0">
            <w:pPr>
              <w:pStyle w:val="NoSpacing"/>
            </w:pPr>
            <w:r>
              <w:t>Actors</w:t>
            </w:r>
          </w:p>
        </w:tc>
      </w:tr>
      <w:tr w:rsidR="006635A0" w:rsidTr="006635A0">
        <w:tc>
          <w:tcPr>
            <w:tcW w:w="1491" w:type="dxa"/>
            <w:vAlign w:val="center"/>
          </w:tcPr>
          <w:p w:rsidR="006635A0" w:rsidRDefault="006635A0" w:rsidP="006635A0">
            <w:pPr>
              <w:pStyle w:val="NoSpacing"/>
            </w:pPr>
            <w:r>
              <w:t>Version 1.0</w:t>
            </w:r>
          </w:p>
        </w:tc>
        <w:tc>
          <w:tcPr>
            <w:tcW w:w="1027" w:type="dxa"/>
            <w:vAlign w:val="center"/>
          </w:tcPr>
          <w:p w:rsidR="006635A0" w:rsidRDefault="006635A0" w:rsidP="006635A0">
            <w:pPr>
              <w:pStyle w:val="NoSpacing"/>
            </w:pPr>
            <w:r>
              <w:t>October 2019</w:t>
            </w:r>
          </w:p>
        </w:tc>
        <w:tc>
          <w:tcPr>
            <w:tcW w:w="3693" w:type="dxa"/>
            <w:vAlign w:val="center"/>
          </w:tcPr>
          <w:p w:rsidR="006635A0" w:rsidRDefault="006635A0" w:rsidP="006635A0">
            <w:pPr>
              <w:pStyle w:val="NoSpacing"/>
            </w:pPr>
            <w:r>
              <w:t>prepared for the consensus meetings in Washington and Paris in October 2019</w:t>
            </w:r>
          </w:p>
        </w:tc>
        <w:tc>
          <w:tcPr>
            <w:tcW w:w="3071" w:type="dxa"/>
            <w:vAlign w:val="center"/>
          </w:tcPr>
          <w:p w:rsidR="006635A0" w:rsidRDefault="006635A0" w:rsidP="006635A0">
            <w:pPr>
              <w:pStyle w:val="NoSpacing"/>
            </w:pPr>
            <w:r>
              <w:t xml:space="preserve">created by </w:t>
            </w:r>
            <w:r w:rsidR="00AB10FB">
              <w:t>Luiz Bonino and Peter Wittenburg</w:t>
            </w:r>
          </w:p>
        </w:tc>
      </w:tr>
      <w:tr w:rsidR="006635A0" w:rsidTr="006635A0">
        <w:tc>
          <w:tcPr>
            <w:tcW w:w="1491" w:type="dxa"/>
            <w:vAlign w:val="center"/>
          </w:tcPr>
          <w:p w:rsidR="006635A0" w:rsidRDefault="006635A0" w:rsidP="006635A0">
            <w:pPr>
              <w:pStyle w:val="NoSpacing"/>
            </w:pPr>
            <w:r>
              <w:t>Version 1.</w:t>
            </w:r>
            <w:r w:rsidR="00684492">
              <w:t>0</w:t>
            </w:r>
            <w:r>
              <w:t>1</w:t>
            </w:r>
          </w:p>
        </w:tc>
        <w:tc>
          <w:tcPr>
            <w:tcW w:w="1027" w:type="dxa"/>
            <w:vAlign w:val="center"/>
          </w:tcPr>
          <w:p w:rsidR="006635A0" w:rsidRDefault="006635A0" w:rsidP="006635A0">
            <w:pPr>
              <w:pStyle w:val="NoSpacing"/>
            </w:pPr>
            <w:r>
              <w:t>17.11. 2019</w:t>
            </w:r>
          </w:p>
        </w:tc>
        <w:tc>
          <w:tcPr>
            <w:tcW w:w="3693" w:type="dxa"/>
            <w:vAlign w:val="center"/>
          </w:tcPr>
          <w:p w:rsidR="006635A0" w:rsidRDefault="006635A0" w:rsidP="006635A0">
            <w:pPr>
              <w:pStyle w:val="NoSpacing"/>
            </w:pPr>
            <w:r>
              <w:t xml:space="preserve">created after the consensus meeting in Paris at </w:t>
            </w:r>
            <w:r w:rsidR="00AB10FB">
              <w:t>28/29.</w:t>
            </w:r>
            <w:r>
              <w:t>10.2019</w:t>
            </w:r>
          </w:p>
        </w:tc>
        <w:tc>
          <w:tcPr>
            <w:tcW w:w="3071" w:type="dxa"/>
            <w:vAlign w:val="center"/>
          </w:tcPr>
          <w:p w:rsidR="006635A0" w:rsidRDefault="006635A0" w:rsidP="006635A0">
            <w:pPr>
              <w:pStyle w:val="NoSpacing"/>
            </w:pPr>
            <w:r>
              <w:t>changes by Luiz Bonino and Peter Wittenburg</w:t>
            </w:r>
          </w:p>
        </w:tc>
      </w:tr>
      <w:tr w:rsidR="006635A0" w:rsidTr="006635A0">
        <w:tc>
          <w:tcPr>
            <w:tcW w:w="1491" w:type="dxa"/>
            <w:vAlign w:val="center"/>
          </w:tcPr>
          <w:p w:rsidR="006635A0" w:rsidRDefault="00684492" w:rsidP="006635A0">
            <w:pPr>
              <w:pStyle w:val="NoSpacing"/>
            </w:pPr>
            <w:r>
              <w:t>Version 1.02</w:t>
            </w:r>
          </w:p>
        </w:tc>
        <w:tc>
          <w:tcPr>
            <w:tcW w:w="1027" w:type="dxa"/>
            <w:vAlign w:val="center"/>
          </w:tcPr>
          <w:p w:rsidR="006635A0" w:rsidRDefault="00684492" w:rsidP="006635A0">
            <w:pPr>
              <w:pStyle w:val="NoSpacing"/>
            </w:pPr>
            <w:r>
              <w:t>22.11. 2019</w:t>
            </w:r>
          </w:p>
        </w:tc>
        <w:tc>
          <w:tcPr>
            <w:tcW w:w="3693" w:type="dxa"/>
            <w:vAlign w:val="center"/>
          </w:tcPr>
          <w:p w:rsidR="006635A0" w:rsidRDefault="00684492" w:rsidP="006635A0">
            <w:pPr>
              <w:pStyle w:val="NoSpacing"/>
            </w:pPr>
            <w:r>
              <w:t xml:space="preserve">created after various comments </w:t>
            </w:r>
          </w:p>
        </w:tc>
        <w:tc>
          <w:tcPr>
            <w:tcW w:w="3071" w:type="dxa"/>
            <w:vAlign w:val="center"/>
          </w:tcPr>
          <w:p w:rsidR="006635A0" w:rsidRDefault="00684492" w:rsidP="006635A0">
            <w:pPr>
              <w:pStyle w:val="NoSpacing"/>
            </w:pPr>
            <w:r>
              <w:t>changes by Peter Wittenburg</w:t>
            </w:r>
          </w:p>
        </w:tc>
      </w:tr>
      <w:tr w:rsidR="006635A0" w:rsidTr="006635A0">
        <w:tc>
          <w:tcPr>
            <w:tcW w:w="1491" w:type="dxa"/>
            <w:vAlign w:val="center"/>
          </w:tcPr>
          <w:p w:rsidR="006635A0" w:rsidRDefault="006635A0" w:rsidP="006635A0">
            <w:pPr>
              <w:pStyle w:val="NoSpacing"/>
            </w:pPr>
          </w:p>
        </w:tc>
        <w:tc>
          <w:tcPr>
            <w:tcW w:w="1027" w:type="dxa"/>
            <w:vAlign w:val="center"/>
          </w:tcPr>
          <w:p w:rsidR="006635A0" w:rsidRDefault="006635A0" w:rsidP="006635A0">
            <w:pPr>
              <w:pStyle w:val="NoSpacing"/>
            </w:pPr>
          </w:p>
        </w:tc>
        <w:tc>
          <w:tcPr>
            <w:tcW w:w="3693" w:type="dxa"/>
            <w:vAlign w:val="center"/>
          </w:tcPr>
          <w:p w:rsidR="006635A0" w:rsidRDefault="006635A0" w:rsidP="006635A0">
            <w:pPr>
              <w:pStyle w:val="NoSpacing"/>
            </w:pPr>
          </w:p>
        </w:tc>
        <w:tc>
          <w:tcPr>
            <w:tcW w:w="3071" w:type="dxa"/>
            <w:vAlign w:val="center"/>
          </w:tcPr>
          <w:p w:rsidR="006635A0" w:rsidRDefault="006635A0" w:rsidP="006635A0">
            <w:pPr>
              <w:pStyle w:val="NoSpacing"/>
            </w:pPr>
          </w:p>
        </w:tc>
      </w:tr>
      <w:tr w:rsidR="00AB10FB" w:rsidTr="006635A0">
        <w:tc>
          <w:tcPr>
            <w:tcW w:w="1491" w:type="dxa"/>
            <w:vAlign w:val="center"/>
          </w:tcPr>
          <w:p w:rsidR="00AB10FB" w:rsidRDefault="00AB10FB" w:rsidP="006635A0">
            <w:pPr>
              <w:pStyle w:val="NoSpacing"/>
            </w:pPr>
          </w:p>
        </w:tc>
        <w:tc>
          <w:tcPr>
            <w:tcW w:w="1027" w:type="dxa"/>
            <w:vAlign w:val="center"/>
          </w:tcPr>
          <w:p w:rsidR="00AB10FB" w:rsidRDefault="00AB10FB" w:rsidP="006635A0">
            <w:pPr>
              <w:pStyle w:val="NoSpacing"/>
            </w:pPr>
          </w:p>
        </w:tc>
        <w:tc>
          <w:tcPr>
            <w:tcW w:w="3693" w:type="dxa"/>
            <w:vAlign w:val="center"/>
          </w:tcPr>
          <w:p w:rsidR="00AB10FB" w:rsidRDefault="00AB10FB" w:rsidP="006635A0">
            <w:pPr>
              <w:pStyle w:val="NoSpacing"/>
            </w:pPr>
          </w:p>
        </w:tc>
        <w:tc>
          <w:tcPr>
            <w:tcW w:w="3071" w:type="dxa"/>
            <w:vAlign w:val="center"/>
          </w:tcPr>
          <w:p w:rsidR="00AB10FB" w:rsidRDefault="00AB10FB" w:rsidP="006635A0">
            <w:pPr>
              <w:pStyle w:val="NoSpacing"/>
            </w:pPr>
          </w:p>
        </w:tc>
      </w:tr>
      <w:tr w:rsidR="00AB10FB" w:rsidTr="006635A0">
        <w:tc>
          <w:tcPr>
            <w:tcW w:w="1491" w:type="dxa"/>
            <w:vAlign w:val="center"/>
          </w:tcPr>
          <w:p w:rsidR="00AB10FB" w:rsidRDefault="00AB10FB" w:rsidP="006635A0">
            <w:pPr>
              <w:pStyle w:val="NoSpacing"/>
            </w:pPr>
          </w:p>
        </w:tc>
        <w:tc>
          <w:tcPr>
            <w:tcW w:w="1027" w:type="dxa"/>
            <w:vAlign w:val="center"/>
          </w:tcPr>
          <w:p w:rsidR="00AB10FB" w:rsidRDefault="00AB10FB" w:rsidP="006635A0">
            <w:pPr>
              <w:pStyle w:val="NoSpacing"/>
            </w:pPr>
          </w:p>
        </w:tc>
        <w:tc>
          <w:tcPr>
            <w:tcW w:w="3693" w:type="dxa"/>
            <w:vAlign w:val="center"/>
          </w:tcPr>
          <w:p w:rsidR="00AB10FB" w:rsidRDefault="00AB10FB" w:rsidP="006635A0">
            <w:pPr>
              <w:pStyle w:val="NoSpacing"/>
            </w:pPr>
          </w:p>
        </w:tc>
        <w:tc>
          <w:tcPr>
            <w:tcW w:w="3071" w:type="dxa"/>
            <w:vAlign w:val="center"/>
          </w:tcPr>
          <w:p w:rsidR="00AB10FB" w:rsidRDefault="00AB10FB" w:rsidP="006635A0">
            <w:pPr>
              <w:pStyle w:val="NoSpacing"/>
            </w:pPr>
          </w:p>
        </w:tc>
      </w:tr>
    </w:tbl>
    <w:p w:rsidR="006A35ED" w:rsidRDefault="006A35ED" w:rsidP="008F59B6">
      <w:pPr>
        <w:pStyle w:val="NoSpacing"/>
      </w:pPr>
    </w:p>
    <w:p w:rsidR="00AB10FB" w:rsidRPr="00AB10FB" w:rsidRDefault="00AB10FB" w:rsidP="008F59B6">
      <w:pPr>
        <w:pStyle w:val="NoSpacing"/>
        <w:rPr>
          <w:b/>
        </w:rPr>
      </w:pPr>
      <w:r w:rsidRPr="00AB10FB">
        <w:rPr>
          <w:b/>
        </w:rPr>
        <w:t xml:space="preserve">Changes from </w:t>
      </w:r>
      <w:proofErr w:type="spellStart"/>
      <w:r w:rsidRPr="00AB10FB">
        <w:rPr>
          <w:b/>
        </w:rPr>
        <w:t>V1.0</w:t>
      </w:r>
      <w:proofErr w:type="spellEnd"/>
      <w:r w:rsidRPr="00AB10FB">
        <w:rPr>
          <w:b/>
        </w:rPr>
        <w:t xml:space="preserve"> to </w:t>
      </w:r>
      <w:proofErr w:type="spellStart"/>
      <w:r w:rsidRPr="00AB10FB">
        <w:rPr>
          <w:b/>
        </w:rPr>
        <w:t>V1.</w:t>
      </w:r>
      <w:r w:rsidR="001534DA">
        <w:rPr>
          <w:b/>
        </w:rPr>
        <w:t>0</w:t>
      </w:r>
      <w:r w:rsidRPr="00AB10FB">
        <w:rPr>
          <w:b/>
        </w:rPr>
        <w:t>1</w:t>
      </w:r>
      <w:proofErr w:type="spellEnd"/>
    </w:p>
    <w:p w:rsidR="00BE67E6" w:rsidRDefault="00BE67E6" w:rsidP="00AB10FB">
      <w:pPr>
        <w:pStyle w:val="NoSpacing"/>
        <w:numPr>
          <w:ilvl w:val="0"/>
          <w:numId w:val="6"/>
        </w:numPr>
        <w:rPr>
          <w:sz w:val="20"/>
          <w:szCs w:val="20"/>
        </w:rPr>
      </w:pPr>
      <w:r>
        <w:rPr>
          <w:sz w:val="20"/>
          <w:szCs w:val="20"/>
        </w:rPr>
        <w:t>Restructuring the Document and improving some formulations.</w:t>
      </w:r>
    </w:p>
    <w:p w:rsidR="00AB10FB" w:rsidRPr="00AF5747" w:rsidRDefault="00AF5747" w:rsidP="00AB10FB">
      <w:pPr>
        <w:pStyle w:val="NoSpacing"/>
        <w:numPr>
          <w:ilvl w:val="0"/>
          <w:numId w:val="6"/>
        </w:numPr>
        <w:rPr>
          <w:sz w:val="20"/>
          <w:szCs w:val="20"/>
        </w:rPr>
      </w:pPr>
      <w:r w:rsidRPr="00AF5747">
        <w:rPr>
          <w:sz w:val="20"/>
          <w:szCs w:val="20"/>
        </w:rPr>
        <w:t xml:space="preserve">Leaving </w:t>
      </w:r>
      <w:r w:rsidR="00AB10FB" w:rsidRPr="00AF5747">
        <w:rPr>
          <w:sz w:val="20"/>
          <w:szCs w:val="20"/>
        </w:rPr>
        <w:t>out concretization footnotes from the normative part.</w:t>
      </w:r>
    </w:p>
    <w:p w:rsidR="00AB10FB" w:rsidRPr="00AF5747" w:rsidRDefault="00AF5747" w:rsidP="00AB10FB">
      <w:pPr>
        <w:pStyle w:val="NoSpacing"/>
        <w:numPr>
          <w:ilvl w:val="0"/>
          <w:numId w:val="6"/>
        </w:numPr>
        <w:rPr>
          <w:sz w:val="20"/>
          <w:szCs w:val="20"/>
        </w:rPr>
      </w:pPr>
      <w:r w:rsidRPr="00AF5747">
        <w:rPr>
          <w:sz w:val="20"/>
          <w:szCs w:val="20"/>
        </w:rPr>
        <w:t>Leaving out footnotes about matters explained in the glossary.</w:t>
      </w:r>
    </w:p>
    <w:p w:rsidR="00AF5747" w:rsidRPr="00AF5747" w:rsidRDefault="00FB14D3" w:rsidP="00AB10FB">
      <w:pPr>
        <w:pStyle w:val="NoSpacing"/>
        <w:numPr>
          <w:ilvl w:val="0"/>
          <w:numId w:val="6"/>
        </w:numPr>
        <w:rPr>
          <w:sz w:val="20"/>
          <w:szCs w:val="20"/>
        </w:rPr>
      </w:pPr>
      <w:r>
        <w:rPr>
          <w:sz w:val="20"/>
          <w:szCs w:val="20"/>
        </w:rPr>
        <w:t xml:space="preserve">Making more statements about metadata to indicate their importance. </w:t>
      </w:r>
    </w:p>
    <w:p w:rsidR="00684492" w:rsidRPr="00AB10FB" w:rsidRDefault="00684492" w:rsidP="00684492">
      <w:pPr>
        <w:pStyle w:val="NoSpacing"/>
        <w:numPr>
          <w:ilvl w:val="0"/>
          <w:numId w:val="6"/>
        </w:numPr>
        <w:rPr>
          <w:b/>
        </w:rPr>
      </w:pPr>
      <w:r w:rsidRPr="00AB10FB">
        <w:rPr>
          <w:b/>
        </w:rPr>
        <w:t xml:space="preserve">Changes from </w:t>
      </w:r>
      <w:proofErr w:type="spellStart"/>
      <w:r w:rsidRPr="00AB10FB">
        <w:rPr>
          <w:b/>
        </w:rPr>
        <w:t>V1.0</w:t>
      </w:r>
      <w:r>
        <w:rPr>
          <w:b/>
        </w:rPr>
        <w:t>1</w:t>
      </w:r>
      <w:proofErr w:type="spellEnd"/>
      <w:r w:rsidRPr="00AB10FB">
        <w:rPr>
          <w:b/>
        </w:rPr>
        <w:t xml:space="preserve"> to </w:t>
      </w:r>
      <w:proofErr w:type="spellStart"/>
      <w:r w:rsidRPr="00AB10FB">
        <w:rPr>
          <w:b/>
        </w:rPr>
        <w:t>V1.</w:t>
      </w:r>
      <w:r>
        <w:rPr>
          <w:b/>
        </w:rPr>
        <w:t>0</w:t>
      </w:r>
      <w:r>
        <w:rPr>
          <w:b/>
        </w:rPr>
        <w:t>2</w:t>
      </w:r>
      <w:proofErr w:type="spellEnd"/>
    </w:p>
    <w:p w:rsidR="00AB10FB" w:rsidRDefault="00684492" w:rsidP="00684492">
      <w:pPr>
        <w:pStyle w:val="NoSpacing"/>
        <w:numPr>
          <w:ilvl w:val="0"/>
          <w:numId w:val="6"/>
        </w:numPr>
      </w:pPr>
      <w:r>
        <w:rPr>
          <w:sz w:val="20"/>
          <w:szCs w:val="20"/>
        </w:rPr>
        <w:t xml:space="preserve">The illustration examples of possible implementations were separated from the </w:t>
      </w:r>
      <w:proofErr w:type="spellStart"/>
      <w:r>
        <w:rPr>
          <w:sz w:val="20"/>
          <w:szCs w:val="20"/>
        </w:rPr>
        <w:t>FDOF</w:t>
      </w:r>
      <w:proofErr w:type="spellEnd"/>
      <w:r>
        <w:rPr>
          <w:sz w:val="20"/>
          <w:szCs w:val="20"/>
        </w:rPr>
        <w:t xml:space="preserve"> core document</w:t>
      </w:r>
    </w:p>
    <w:p w:rsidR="00AB10FB" w:rsidRDefault="00AB10FB" w:rsidP="008F59B6">
      <w:pPr>
        <w:pStyle w:val="NoSpacing"/>
      </w:pPr>
    </w:p>
    <w:p w:rsidR="008F59B6" w:rsidRDefault="00BE67E6" w:rsidP="00AB10FB">
      <w:pPr>
        <w:pStyle w:val="Heading2"/>
        <w:numPr>
          <w:ilvl w:val="0"/>
          <w:numId w:val="5"/>
        </w:numPr>
        <w:rPr>
          <w:rFonts w:eastAsia="Times New Roman"/>
        </w:rPr>
      </w:pPr>
      <w:r>
        <w:t>Generic</w:t>
      </w:r>
      <w:r w:rsidR="008F59B6">
        <w:t xml:space="preserve"> Guidelines</w:t>
      </w:r>
    </w:p>
    <w:p w:rsidR="008F59B6" w:rsidRDefault="00BE67E6" w:rsidP="008F59B6">
      <w:pPr>
        <w:pStyle w:val="NoSpacing"/>
      </w:pPr>
      <w:r>
        <w:t xml:space="preserve">Some </w:t>
      </w:r>
      <w:r w:rsidR="008F59B6">
        <w:t>overall guidelines need to be met by the FAIR DO Framework (</w:t>
      </w:r>
      <w:proofErr w:type="spellStart"/>
      <w:r w:rsidR="008F59B6">
        <w:t>FDOF</w:t>
      </w:r>
      <w:proofErr w:type="spellEnd"/>
      <w:r w:rsidR="008F59B6">
        <w:t xml:space="preserve">). </w:t>
      </w:r>
    </w:p>
    <w:p w:rsidR="00BE67E6" w:rsidRDefault="00BE67E6" w:rsidP="008F59B6">
      <w:pPr>
        <w:pStyle w:val="NoSpacing"/>
      </w:pPr>
    </w:p>
    <w:p w:rsidR="008F59B6" w:rsidRDefault="008F59B6" w:rsidP="008F59B6">
      <w:pPr>
        <w:pStyle w:val="NoSpacing"/>
        <w:ind w:left="709" w:hanging="425"/>
        <w:rPr>
          <w:b/>
        </w:rPr>
      </w:pPr>
      <w:proofErr w:type="spellStart"/>
      <w:r w:rsidRPr="00350074">
        <w:rPr>
          <w:b/>
        </w:rPr>
        <w:t>G1</w:t>
      </w:r>
      <w:proofErr w:type="spellEnd"/>
      <w:r w:rsidR="00AF5747">
        <w:t>: S</w:t>
      </w:r>
      <w:r>
        <w:t xml:space="preserve">how a path for infrastructure investments for </w:t>
      </w:r>
      <w:r w:rsidRPr="00DB161B">
        <w:rPr>
          <w:b/>
        </w:rPr>
        <w:t>many decades</w:t>
      </w:r>
      <w:r w:rsidR="00AF5747">
        <w:rPr>
          <w:b/>
        </w:rPr>
        <w:t>.</w:t>
      </w:r>
    </w:p>
    <w:p w:rsidR="008F59B6" w:rsidRDefault="008F59B6" w:rsidP="008F59B6">
      <w:pPr>
        <w:pStyle w:val="NoSpacing"/>
        <w:ind w:left="709" w:hanging="425"/>
      </w:pPr>
      <w:proofErr w:type="spellStart"/>
      <w:r>
        <w:rPr>
          <w:b/>
        </w:rPr>
        <w:t>G2</w:t>
      </w:r>
      <w:proofErr w:type="spellEnd"/>
      <w:r>
        <w:rPr>
          <w:b/>
        </w:rPr>
        <w:t xml:space="preserve">: </w:t>
      </w:r>
      <w:r w:rsidR="00AF5747">
        <w:t>D</w:t>
      </w:r>
      <w:r w:rsidRPr="00DB161B">
        <w:t>emonstrate</w:t>
      </w:r>
      <w:r>
        <w:rPr>
          <w:b/>
        </w:rPr>
        <w:t xml:space="preserve"> trustworthiness </w:t>
      </w:r>
      <w:r w:rsidRPr="00DB161B">
        <w:t xml:space="preserve">to researchers </w:t>
      </w:r>
      <w:r>
        <w:t>and developers to become engaged</w:t>
      </w:r>
      <w:r w:rsidR="00AF5747">
        <w:t>.</w:t>
      </w:r>
    </w:p>
    <w:p w:rsidR="008F59B6" w:rsidRDefault="008F59B6" w:rsidP="008F59B6">
      <w:pPr>
        <w:pStyle w:val="NoSpacing"/>
        <w:ind w:left="709" w:hanging="425"/>
      </w:pPr>
      <w:proofErr w:type="spellStart"/>
      <w:r w:rsidRPr="00350074">
        <w:rPr>
          <w:b/>
        </w:rPr>
        <w:t>G3</w:t>
      </w:r>
      <w:proofErr w:type="spellEnd"/>
      <w:r w:rsidR="00AF5747">
        <w:t>: O</w:t>
      </w:r>
      <w:r>
        <w:t xml:space="preserve">ffer compliance with the </w:t>
      </w:r>
      <w:r w:rsidRPr="00DB161B">
        <w:rPr>
          <w:b/>
        </w:rPr>
        <w:t>FAIR principles</w:t>
      </w:r>
      <w:r>
        <w:t xml:space="preserve"> being tur</w:t>
      </w:r>
      <w:r w:rsidR="00AF5747">
        <w:t xml:space="preserve">ned into indicators of </w:t>
      </w:r>
      <w:proofErr w:type="spellStart"/>
      <w:r w:rsidR="00AF5747">
        <w:t>FAIRness</w:t>
      </w:r>
      <w:proofErr w:type="spellEnd"/>
      <w:r w:rsidR="00AF5747">
        <w:t xml:space="preserve"> by an RDA Working Group (</w:t>
      </w:r>
      <w:hyperlink r:id="rId8" w:history="1">
        <w:r w:rsidR="00AF5747" w:rsidRPr="007D2F1D">
          <w:rPr>
            <w:rStyle w:val="Hyperlink"/>
          </w:rPr>
          <w:t>https://www.rd-alliance.org/groups/fair-data-maturity-model-wg</w:t>
        </w:r>
      </w:hyperlink>
      <w:r w:rsidR="00AF5747">
        <w:t xml:space="preserve">).  </w:t>
      </w:r>
    </w:p>
    <w:p w:rsidR="008F59B6" w:rsidRDefault="008F59B6" w:rsidP="008F59B6">
      <w:pPr>
        <w:pStyle w:val="NoSpacing"/>
        <w:ind w:left="709" w:hanging="425"/>
      </w:pPr>
      <w:proofErr w:type="spellStart"/>
      <w:r w:rsidRPr="00350074">
        <w:rPr>
          <w:b/>
        </w:rPr>
        <w:t>G4</w:t>
      </w:r>
      <w:proofErr w:type="spellEnd"/>
      <w:r w:rsidR="00AF5747">
        <w:t>: S</w:t>
      </w:r>
      <w:r>
        <w:t xml:space="preserve">upport </w:t>
      </w:r>
      <w:r w:rsidRPr="00DB161B">
        <w:rPr>
          <w:b/>
        </w:rPr>
        <w:t xml:space="preserve">machine </w:t>
      </w:r>
      <w:proofErr w:type="spellStart"/>
      <w:r w:rsidRPr="00DB161B">
        <w:rPr>
          <w:b/>
        </w:rPr>
        <w:t>actionability</w:t>
      </w:r>
      <w:proofErr w:type="spellEnd"/>
      <w:r>
        <w:t xml:space="preserve"> which includes referential integrity, which states that all references need to be valid without temporal limitation, and explicitness of semantic relationships</w:t>
      </w:r>
      <w:r w:rsidR="00AF5747">
        <w:t xml:space="preserve">. </w:t>
      </w:r>
    </w:p>
    <w:p w:rsidR="008F59B6" w:rsidRDefault="008F59B6" w:rsidP="008F59B6">
      <w:pPr>
        <w:pStyle w:val="NoSpacing"/>
        <w:ind w:left="709" w:hanging="425"/>
      </w:pPr>
      <w:proofErr w:type="spellStart"/>
      <w:r w:rsidRPr="00350074">
        <w:rPr>
          <w:b/>
        </w:rPr>
        <w:t>G5</w:t>
      </w:r>
      <w:proofErr w:type="spellEnd"/>
      <w:r w:rsidR="00AF5747">
        <w:t>: S</w:t>
      </w:r>
      <w:r>
        <w:t xml:space="preserve">upport the </w:t>
      </w:r>
      <w:r w:rsidRPr="00DB161B">
        <w:rPr>
          <w:b/>
        </w:rPr>
        <w:t>abstraction principle</w:t>
      </w:r>
      <w:r>
        <w:t>, i.e. abstract away from details that are not needed at a specific layer</w:t>
      </w:r>
      <w:r w:rsidR="00AF5747">
        <w:t>.</w:t>
      </w:r>
      <w:r>
        <w:t xml:space="preserve"> </w:t>
      </w:r>
      <w:r w:rsidR="00AF5747">
        <w:t>At the</w:t>
      </w:r>
      <w:r>
        <w:t xml:space="preserve"> management layer there is no difference to be made between data, metadata, software, semantic assertions, etc.</w:t>
      </w:r>
    </w:p>
    <w:p w:rsidR="008F59B6" w:rsidRDefault="008F59B6" w:rsidP="008F59B6">
      <w:pPr>
        <w:pStyle w:val="NoSpacing"/>
        <w:ind w:left="709" w:hanging="425"/>
      </w:pPr>
      <w:proofErr w:type="spellStart"/>
      <w:r w:rsidRPr="00350074">
        <w:rPr>
          <w:b/>
        </w:rPr>
        <w:lastRenderedPageBreak/>
        <w:t>G6</w:t>
      </w:r>
      <w:proofErr w:type="spellEnd"/>
      <w:r w:rsidR="00AF5747">
        <w:t>: S</w:t>
      </w:r>
      <w:r>
        <w:t xml:space="preserve">upport </w:t>
      </w:r>
      <w:r w:rsidRPr="00DB161B">
        <w:rPr>
          <w:b/>
        </w:rPr>
        <w:t>stable binding</w:t>
      </w:r>
      <w:r>
        <w:t xml:space="preserve"> between all informational entities that are required for machines to act</w:t>
      </w:r>
      <w:r w:rsidR="00AF5747">
        <w:t>.</w:t>
      </w:r>
    </w:p>
    <w:p w:rsidR="008F59B6" w:rsidRDefault="008F59B6" w:rsidP="008F59B6">
      <w:pPr>
        <w:pStyle w:val="NoSpacing"/>
        <w:ind w:left="709" w:hanging="425"/>
      </w:pPr>
      <w:proofErr w:type="spellStart"/>
      <w:r w:rsidRPr="00350074">
        <w:rPr>
          <w:b/>
        </w:rPr>
        <w:t>G7</w:t>
      </w:r>
      <w:proofErr w:type="spellEnd"/>
      <w:r w:rsidR="00AF5747">
        <w:t>: S</w:t>
      </w:r>
      <w:r>
        <w:t xml:space="preserve">upport </w:t>
      </w:r>
      <w:r w:rsidRPr="00DB161B">
        <w:rPr>
          <w:b/>
        </w:rPr>
        <w:t>encapsulation</w:t>
      </w:r>
      <w:r>
        <w:t xml:space="preserve"> which means that operations can be </w:t>
      </w:r>
      <w:r w:rsidR="00BE67E6">
        <w:t>associated with</w:t>
      </w:r>
      <w:r>
        <w:t xml:space="preserve"> types </w:t>
      </w:r>
      <w:r w:rsidR="00BE67E6">
        <w:t xml:space="preserve">of </w:t>
      </w:r>
      <w:proofErr w:type="spellStart"/>
      <w:r w:rsidR="00BE67E6">
        <w:t>FDOs</w:t>
      </w:r>
      <w:proofErr w:type="spellEnd"/>
      <w:r w:rsidR="00BE67E6">
        <w:t>.</w:t>
      </w:r>
    </w:p>
    <w:p w:rsidR="008F59B6" w:rsidRDefault="008F59B6" w:rsidP="008F59B6">
      <w:pPr>
        <w:pStyle w:val="NoSpacing"/>
        <w:ind w:left="709" w:hanging="425"/>
      </w:pPr>
      <w:proofErr w:type="spellStart"/>
      <w:r w:rsidRPr="00350074">
        <w:rPr>
          <w:b/>
        </w:rPr>
        <w:t>G8</w:t>
      </w:r>
      <w:proofErr w:type="spellEnd"/>
      <w:r w:rsidR="00BE67E6">
        <w:t>: S</w:t>
      </w:r>
      <w:r>
        <w:t xml:space="preserve">upport </w:t>
      </w:r>
      <w:r w:rsidRPr="00890817">
        <w:rPr>
          <w:b/>
        </w:rPr>
        <w:t>technology independence</w:t>
      </w:r>
      <w:r>
        <w:t xml:space="preserve"> allowing implementations using different technologies </w:t>
      </w:r>
    </w:p>
    <w:p w:rsidR="008F59B6" w:rsidRDefault="008F59B6" w:rsidP="008F59B6">
      <w:pPr>
        <w:pStyle w:val="NoSpacing"/>
      </w:pPr>
    </w:p>
    <w:p w:rsidR="008F59B6" w:rsidRDefault="008F59B6" w:rsidP="00AB10FB">
      <w:pPr>
        <w:pStyle w:val="Heading2"/>
        <w:numPr>
          <w:ilvl w:val="0"/>
          <w:numId w:val="5"/>
        </w:numPr>
      </w:pPr>
      <w:r>
        <w:t xml:space="preserve">Requirements for </w:t>
      </w:r>
      <w:proofErr w:type="spellStart"/>
      <w:r>
        <w:t>FDOF</w:t>
      </w:r>
      <w:proofErr w:type="spellEnd"/>
    </w:p>
    <w:p w:rsidR="00BE67E6" w:rsidRDefault="00BE67E6" w:rsidP="008F59B6">
      <w:pPr>
        <w:pStyle w:val="NoSpacing"/>
      </w:pPr>
      <w:r>
        <w:t xml:space="preserve">The requirements for </w:t>
      </w:r>
      <w:proofErr w:type="spellStart"/>
      <w:r>
        <w:t>FDOF</w:t>
      </w:r>
      <w:proofErr w:type="spellEnd"/>
      <w:r>
        <w:t xml:space="preserve"> describe rules that need to be met by any implementation of the </w:t>
      </w:r>
      <w:proofErr w:type="spellStart"/>
      <w:r>
        <w:t>FDO</w:t>
      </w:r>
      <w:proofErr w:type="spellEnd"/>
      <w:r>
        <w:t xml:space="preserve"> concept. These requirements will develop dependent on the insights.</w:t>
      </w:r>
    </w:p>
    <w:p w:rsidR="00BE67E6" w:rsidRDefault="00BE67E6" w:rsidP="008F59B6">
      <w:pPr>
        <w:pStyle w:val="NoSpacing"/>
      </w:pPr>
    </w:p>
    <w:p w:rsidR="008F59B6" w:rsidRDefault="008F59B6" w:rsidP="008F59B6">
      <w:pPr>
        <w:pStyle w:val="NoSpacing"/>
        <w:ind w:left="993" w:hanging="709"/>
      </w:pPr>
      <w:proofErr w:type="spellStart"/>
      <w:r w:rsidRPr="00350074">
        <w:rPr>
          <w:b/>
        </w:rPr>
        <w:t>FDOF1</w:t>
      </w:r>
      <w:proofErr w:type="spellEnd"/>
      <w:r>
        <w:t xml:space="preserve">: A </w:t>
      </w:r>
      <w:proofErr w:type="spellStart"/>
      <w:r>
        <w:t>PID</w:t>
      </w:r>
      <w:proofErr w:type="spellEnd"/>
      <w:r>
        <w:t xml:space="preserve">, standing for a globally unique, persistent and resolvable identifier, is assumed to be the basis of the Internet of FAIR Data and Services. </w:t>
      </w:r>
    </w:p>
    <w:p w:rsidR="008F59B6" w:rsidRDefault="008F59B6" w:rsidP="008F59B6">
      <w:pPr>
        <w:pStyle w:val="NoSpacing"/>
        <w:ind w:left="993" w:hanging="709"/>
      </w:pPr>
      <w:proofErr w:type="spellStart"/>
      <w:r w:rsidRPr="00350074">
        <w:rPr>
          <w:b/>
        </w:rPr>
        <w:t>FDOF2</w:t>
      </w:r>
      <w:proofErr w:type="spellEnd"/>
      <w:r>
        <w:t xml:space="preserve">: A </w:t>
      </w:r>
      <w:proofErr w:type="spellStart"/>
      <w:r>
        <w:t>PID</w:t>
      </w:r>
      <w:proofErr w:type="spellEnd"/>
      <w:r>
        <w:t xml:space="preserve"> is resolved to a structured record with attributes which are semantically defined </w:t>
      </w:r>
      <w:r w:rsidR="00BE67E6">
        <w:t>within a type</w:t>
      </w:r>
      <w:r>
        <w:t xml:space="preserve"> ontology</w:t>
      </w:r>
      <w:r w:rsidR="00AB10FB">
        <w:t xml:space="preserve"> </w:t>
      </w:r>
      <w:r w:rsidR="00AF5747">
        <w:t>which can have different forms</w:t>
      </w:r>
      <w:r>
        <w:t xml:space="preserve">. </w:t>
      </w:r>
    </w:p>
    <w:p w:rsidR="008F59B6" w:rsidRDefault="008F59B6" w:rsidP="008F59B6">
      <w:pPr>
        <w:pStyle w:val="NoSpacing"/>
        <w:ind w:left="993" w:hanging="709"/>
      </w:pPr>
      <w:proofErr w:type="spellStart"/>
      <w:r w:rsidRPr="00350074">
        <w:rPr>
          <w:b/>
        </w:rPr>
        <w:t>FDOF3</w:t>
      </w:r>
      <w:proofErr w:type="spellEnd"/>
      <w:r>
        <w:t>: The structured record includes at least a reference to the locations where the bit-sequences encoding the content of a FAIR-DO (</w:t>
      </w:r>
      <w:proofErr w:type="spellStart"/>
      <w:r>
        <w:t>FDO</w:t>
      </w:r>
      <w:proofErr w:type="spellEnd"/>
      <w:r>
        <w:t xml:space="preserve">) can be accessed, a </w:t>
      </w:r>
      <w:proofErr w:type="spellStart"/>
      <w:r>
        <w:t>PID</w:t>
      </w:r>
      <w:proofErr w:type="spellEnd"/>
      <w:r>
        <w:t xml:space="preserve"> pointing to the metadata </w:t>
      </w:r>
      <w:proofErr w:type="spellStart"/>
      <w:r>
        <w:t>FDO</w:t>
      </w:r>
      <w:proofErr w:type="spellEnd"/>
      <w:r>
        <w:t>(</w:t>
      </w:r>
      <w:r w:rsidR="00BE67E6">
        <w:t xml:space="preserve">s) describing properties of </w:t>
      </w:r>
      <w:proofErr w:type="gramStart"/>
      <w:r w:rsidR="00BE67E6">
        <w:t>it  and</w:t>
      </w:r>
      <w:proofErr w:type="gramEnd"/>
      <w:r w:rsidR="00BE67E6">
        <w:t xml:space="preserve"> </w:t>
      </w:r>
      <w:r>
        <w:t xml:space="preserve">the </w:t>
      </w:r>
      <w:proofErr w:type="spellStart"/>
      <w:r>
        <w:t>DO's</w:t>
      </w:r>
      <w:proofErr w:type="spellEnd"/>
      <w:r>
        <w:t xml:space="preserve"> type.</w:t>
      </w:r>
      <w:r w:rsidR="00BE67E6">
        <w:t xml:space="preserve"> </w:t>
      </w:r>
    </w:p>
    <w:p w:rsidR="00BE67E6" w:rsidRDefault="00BE67E6" w:rsidP="008F59B6">
      <w:pPr>
        <w:pStyle w:val="NoSpacing"/>
        <w:ind w:left="993" w:hanging="709"/>
      </w:pPr>
      <w:proofErr w:type="spellStart"/>
      <w:r>
        <w:rPr>
          <w:b/>
        </w:rPr>
        <w:t>FDOF4</w:t>
      </w:r>
      <w:proofErr w:type="spellEnd"/>
      <w:r w:rsidRPr="00BE67E6">
        <w:t>:</w:t>
      </w:r>
      <w:r>
        <w:t xml:space="preserve"> Th</w:t>
      </w:r>
      <w:r w:rsidR="00FB14D3">
        <w:t>e</w:t>
      </w:r>
      <w:r>
        <w:t xml:space="preserve"> structured record can include other attributes that are important to characterize specific types of </w:t>
      </w:r>
      <w:proofErr w:type="spellStart"/>
      <w:r>
        <w:t>FDO</w:t>
      </w:r>
      <w:proofErr w:type="spellEnd"/>
      <w:r>
        <w:t xml:space="preserve"> or that are required by applications. </w:t>
      </w:r>
      <w:r w:rsidR="00FB14D3">
        <w:t>It is required that these attributes are registered in a type registry.</w:t>
      </w:r>
    </w:p>
    <w:p w:rsidR="008F59B6" w:rsidRDefault="00FB14D3" w:rsidP="008F59B6">
      <w:pPr>
        <w:pStyle w:val="NoSpacing"/>
        <w:ind w:left="993" w:hanging="709"/>
      </w:pPr>
      <w:proofErr w:type="spellStart"/>
      <w:r>
        <w:rPr>
          <w:b/>
        </w:rPr>
        <w:t>FDOF5</w:t>
      </w:r>
      <w:proofErr w:type="spellEnd"/>
      <w:r w:rsidR="008F59B6">
        <w:t xml:space="preserve">: Each </w:t>
      </w:r>
      <w:proofErr w:type="spellStart"/>
      <w:r w:rsidR="008F59B6">
        <w:t>FDO</w:t>
      </w:r>
      <w:proofErr w:type="spellEnd"/>
      <w:r w:rsidR="008F59B6">
        <w:t xml:space="preserve"> identified by a </w:t>
      </w:r>
      <w:proofErr w:type="spellStart"/>
      <w:r w:rsidR="008F59B6">
        <w:t>PID</w:t>
      </w:r>
      <w:proofErr w:type="spellEnd"/>
      <w:r w:rsidR="008F59B6">
        <w:t xml:space="preserve"> can be accessed or operated on using an interface protocol by specifying the </w:t>
      </w:r>
      <w:proofErr w:type="spellStart"/>
      <w:r w:rsidR="008F59B6">
        <w:t>PID</w:t>
      </w:r>
      <w:proofErr w:type="spellEnd"/>
      <w:r w:rsidR="008F59B6">
        <w:t xml:space="preserve"> of a registered operation and the </w:t>
      </w:r>
      <w:proofErr w:type="spellStart"/>
      <w:r w:rsidR="008F59B6">
        <w:t>PID</w:t>
      </w:r>
      <w:proofErr w:type="spellEnd"/>
      <w:r w:rsidR="008F59B6">
        <w:t xml:space="preserve"> of the access point. </w:t>
      </w:r>
    </w:p>
    <w:p w:rsidR="008F59B6" w:rsidRDefault="00FB14D3" w:rsidP="008F59B6">
      <w:pPr>
        <w:pStyle w:val="NoSpacing"/>
        <w:ind w:left="993" w:hanging="709"/>
      </w:pPr>
      <w:proofErr w:type="spellStart"/>
      <w:r>
        <w:rPr>
          <w:b/>
        </w:rPr>
        <w:t>FDOF6</w:t>
      </w:r>
      <w:proofErr w:type="spellEnd"/>
      <w:r w:rsidR="008F59B6">
        <w:t xml:space="preserve">: This protocol offers the typical CRUD operations on </w:t>
      </w:r>
      <w:proofErr w:type="spellStart"/>
      <w:r w:rsidR="008F59B6">
        <w:t>FDOs</w:t>
      </w:r>
      <w:proofErr w:type="spellEnd"/>
      <w:r w:rsidR="008F59B6">
        <w:t xml:space="preserve"> and a possibility to use extended operations. </w:t>
      </w:r>
    </w:p>
    <w:p w:rsidR="008F59B6" w:rsidRDefault="00FB14D3" w:rsidP="008F59B6">
      <w:pPr>
        <w:pStyle w:val="NoSpacing"/>
        <w:ind w:left="993" w:hanging="709"/>
      </w:pPr>
      <w:proofErr w:type="spellStart"/>
      <w:r>
        <w:rPr>
          <w:b/>
        </w:rPr>
        <w:t>FDOF7</w:t>
      </w:r>
      <w:proofErr w:type="spellEnd"/>
      <w:r w:rsidR="008F59B6">
        <w:t xml:space="preserve">: The relations between </w:t>
      </w:r>
      <w:proofErr w:type="spellStart"/>
      <w:r w:rsidR="008F59B6">
        <w:t>FDO</w:t>
      </w:r>
      <w:proofErr w:type="spellEnd"/>
      <w:r w:rsidR="008F59B6">
        <w:t xml:space="preserve"> Types and operations are maintained </w:t>
      </w:r>
      <w:r w:rsidR="00BE67E6">
        <w:t>in</w:t>
      </w:r>
      <w:r w:rsidR="008F59B6">
        <w:t xml:space="preserve"> </w:t>
      </w:r>
      <w:proofErr w:type="gramStart"/>
      <w:r w:rsidR="008F59B6">
        <w:t>a type</w:t>
      </w:r>
      <w:proofErr w:type="gramEnd"/>
      <w:r w:rsidR="008F59B6">
        <w:t xml:space="preserve"> ontology. </w:t>
      </w:r>
    </w:p>
    <w:p w:rsidR="008F59B6" w:rsidRDefault="00FB14D3" w:rsidP="008F59B6">
      <w:pPr>
        <w:pStyle w:val="NoSpacing"/>
        <w:ind w:left="993" w:hanging="709"/>
      </w:pPr>
      <w:proofErr w:type="spellStart"/>
      <w:r>
        <w:rPr>
          <w:b/>
        </w:rPr>
        <w:t>FDOF8</w:t>
      </w:r>
      <w:proofErr w:type="spellEnd"/>
      <w:r w:rsidR="008F59B6">
        <w:t xml:space="preserve">: Metadata descriptions being </w:t>
      </w:r>
      <w:proofErr w:type="spellStart"/>
      <w:r w:rsidR="008F59B6">
        <w:t>FDOs</w:t>
      </w:r>
      <w:proofErr w:type="spellEnd"/>
      <w:r w:rsidR="008F59B6">
        <w:t xml:space="preserve"> and describing the properties of the </w:t>
      </w:r>
      <w:proofErr w:type="spellStart"/>
      <w:r w:rsidR="008F59B6">
        <w:t>FDO</w:t>
      </w:r>
      <w:proofErr w:type="spellEnd"/>
      <w:r w:rsidR="008F59B6">
        <w:t xml:space="preserve"> are made available as semantic assertions</w:t>
      </w:r>
      <w:r w:rsidR="00BE67E6">
        <w:t xml:space="preserve"> enabling machines to act</w:t>
      </w:r>
      <w:r w:rsidR="008F59B6">
        <w:t xml:space="preserve">. </w:t>
      </w:r>
    </w:p>
    <w:p w:rsidR="00FB14D3" w:rsidRDefault="00FB14D3" w:rsidP="008F59B6">
      <w:pPr>
        <w:pStyle w:val="NoSpacing"/>
        <w:ind w:left="993" w:hanging="709"/>
      </w:pPr>
      <w:proofErr w:type="spellStart"/>
      <w:r>
        <w:rPr>
          <w:b/>
        </w:rPr>
        <w:t>FDOF9</w:t>
      </w:r>
      <w:proofErr w:type="spellEnd"/>
      <w:r w:rsidRPr="00FB14D3">
        <w:t>:</w:t>
      </w:r>
      <w:r>
        <w:t xml:space="preserve"> Metadata assertions can be of different types such as descriptive, deep scientific, provenance, system, access permissions, transactions, etc.</w:t>
      </w:r>
    </w:p>
    <w:p w:rsidR="00FB14D3" w:rsidRDefault="00FB14D3" w:rsidP="008F59B6">
      <w:pPr>
        <w:pStyle w:val="NoSpacing"/>
        <w:ind w:left="993" w:hanging="709"/>
      </w:pPr>
      <w:proofErr w:type="spellStart"/>
      <w:r>
        <w:rPr>
          <w:b/>
        </w:rPr>
        <w:t>FDOF10</w:t>
      </w:r>
      <w:proofErr w:type="spellEnd"/>
      <w:r w:rsidRPr="00FB14D3">
        <w:t>:</w:t>
      </w:r>
      <w:r>
        <w:t xml:space="preserve"> Metadata schemas are maintained by communities of practice. </w:t>
      </w:r>
      <w:proofErr w:type="spellStart"/>
      <w:r>
        <w:t>FDOF</w:t>
      </w:r>
      <w:proofErr w:type="spellEnd"/>
      <w:r>
        <w:t xml:space="preserve"> requires that such metadata are FAIR. </w:t>
      </w:r>
    </w:p>
    <w:p w:rsidR="008F59B6" w:rsidRDefault="00FB14D3" w:rsidP="008F59B6">
      <w:pPr>
        <w:pStyle w:val="NoSpacing"/>
        <w:ind w:left="993" w:hanging="709"/>
      </w:pPr>
      <w:proofErr w:type="spellStart"/>
      <w:r>
        <w:rPr>
          <w:b/>
        </w:rPr>
        <w:t>FDOF11</w:t>
      </w:r>
      <w:proofErr w:type="spellEnd"/>
      <w:r w:rsidR="008F59B6">
        <w:t xml:space="preserve">: A collection of </w:t>
      </w:r>
      <w:proofErr w:type="spellStart"/>
      <w:r w:rsidR="008F59B6">
        <w:t>FDOs</w:t>
      </w:r>
      <w:proofErr w:type="spellEnd"/>
      <w:r w:rsidR="008F59B6">
        <w:t xml:space="preserve"> is an </w:t>
      </w:r>
      <w:proofErr w:type="spellStart"/>
      <w:r w:rsidR="008F59B6">
        <w:t>FDO</w:t>
      </w:r>
      <w:proofErr w:type="spellEnd"/>
      <w:r w:rsidR="008F59B6">
        <w:t xml:space="preserve"> and semantic assertions are to be used to describe their construction</w:t>
      </w:r>
      <w:r>
        <w:t>, i.e. the relationships of their constituents</w:t>
      </w:r>
      <w:r w:rsidR="008F59B6">
        <w:t>.</w:t>
      </w:r>
    </w:p>
    <w:p w:rsidR="008F59B6" w:rsidRDefault="00FB14D3" w:rsidP="008F59B6">
      <w:pPr>
        <w:pStyle w:val="NoSpacing"/>
        <w:ind w:left="993" w:hanging="709"/>
      </w:pPr>
      <w:proofErr w:type="spellStart"/>
      <w:r>
        <w:rPr>
          <w:b/>
        </w:rPr>
        <w:t>FDOF12</w:t>
      </w:r>
      <w:proofErr w:type="spellEnd"/>
      <w:r w:rsidR="008F59B6">
        <w:t xml:space="preserve">: The "Deletion" of a </w:t>
      </w:r>
      <w:proofErr w:type="spellStart"/>
      <w:r w:rsidR="008F59B6">
        <w:t>FDO</w:t>
      </w:r>
      <w:proofErr w:type="spellEnd"/>
      <w:r w:rsidR="008F59B6">
        <w:t xml:space="preserve"> leads to </w:t>
      </w:r>
      <w:proofErr w:type="spellStart"/>
      <w:r w:rsidR="008F59B6">
        <w:t>standardised</w:t>
      </w:r>
      <w:proofErr w:type="spellEnd"/>
      <w:r w:rsidR="008F59B6">
        <w:t xml:space="preserve"> and thus machine interpretable tombstone notes in the metadata and </w:t>
      </w:r>
      <w:proofErr w:type="spellStart"/>
      <w:r w:rsidR="008F59B6">
        <w:t>PID</w:t>
      </w:r>
      <w:proofErr w:type="spellEnd"/>
      <w:r w:rsidR="008F59B6">
        <w:t xml:space="preserve"> records, i.e. </w:t>
      </w:r>
      <w:r>
        <w:t>PIDs and metadata should not be deleted</w:t>
      </w:r>
      <w:r w:rsidR="008F59B6">
        <w:t>.</w:t>
      </w:r>
    </w:p>
    <w:p w:rsidR="008F59B6" w:rsidRDefault="008F59B6" w:rsidP="008F59B6">
      <w:pPr>
        <w:pStyle w:val="NoSpacing"/>
      </w:pPr>
    </w:p>
    <w:p w:rsidR="008F59B6" w:rsidRDefault="008F59B6">
      <w:pPr>
        <w:rPr>
          <w:rFonts w:asciiTheme="majorHAnsi" w:eastAsiaTheme="majorEastAsia" w:hAnsiTheme="majorHAnsi" w:cstheme="majorBidi"/>
          <w:b/>
          <w:bCs/>
          <w:color w:val="4F81BD" w:themeColor="accent1"/>
          <w:sz w:val="26"/>
          <w:szCs w:val="26"/>
          <w:bdr w:val="none" w:sz="0" w:space="0" w:color="auto"/>
          <w:lang w:val="en-GB"/>
        </w:rPr>
      </w:pPr>
      <w:r>
        <w:br w:type="page"/>
      </w:r>
    </w:p>
    <w:p w:rsidR="008F59B6" w:rsidRDefault="008F59B6" w:rsidP="00684492">
      <w:pPr>
        <w:pStyle w:val="Heading2"/>
        <w:numPr>
          <w:ilvl w:val="0"/>
          <w:numId w:val="7"/>
        </w:numPr>
      </w:pPr>
      <w:r>
        <w:lastRenderedPageBreak/>
        <w:t>Appendix: Glossary</w:t>
      </w:r>
    </w:p>
    <w:p w:rsidR="008F59B6" w:rsidRPr="008009BB" w:rsidRDefault="00431C43" w:rsidP="008F59B6">
      <w:pPr>
        <w:pStyle w:val="NoSpacing"/>
        <w:jc w:val="both"/>
      </w:pPr>
      <w:r>
        <w:t>A</w:t>
      </w:r>
      <w:r w:rsidR="008F59B6">
        <w:t xml:space="preserve"> short glossary </w:t>
      </w:r>
      <w:r>
        <w:t xml:space="preserve">with explanations </w:t>
      </w:r>
      <w:r w:rsidR="008F59B6">
        <w:t>about crucial terms such as "repository", "encapsulation" etc.</w:t>
      </w:r>
      <w:r>
        <w:t xml:space="preserve"> will help in clarifications</w:t>
      </w:r>
      <w:r w:rsidR="008F59B6">
        <w:t xml:space="preserve">, since </w:t>
      </w:r>
      <w:r>
        <w:t>some terms</w:t>
      </w:r>
      <w:r w:rsidR="008F59B6">
        <w:t xml:space="preserve"> may be interpreted differently by the participants. </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1668"/>
        <w:gridCol w:w="7614"/>
      </w:tblGrid>
      <w:tr w:rsidR="008F59B6" w:rsidTr="00671B24">
        <w:tc>
          <w:tcPr>
            <w:tcW w:w="1668" w:type="dxa"/>
            <w:shd w:val="clear" w:color="auto" w:fill="D9D9D9" w:themeFill="background1" w:themeFillShade="D9"/>
            <w:vAlign w:val="center"/>
          </w:tcPr>
          <w:p w:rsidR="008F59B6" w:rsidRDefault="00990D92" w:rsidP="00671B24">
            <w:pPr>
              <w:pStyle w:val="NoSpacing"/>
            </w:pPr>
            <w:r>
              <w:t>T</w:t>
            </w:r>
            <w:r w:rsidR="008F59B6">
              <w:t>erm</w:t>
            </w:r>
          </w:p>
        </w:tc>
        <w:tc>
          <w:tcPr>
            <w:tcW w:w="7614" w:type="dxa"/>
            <w:shd w:val="clear" w:color="auto" w:fill="D9D9D9" w:themeFill="background1" w:themeFillShade="D9"/>
            <w:vAlign w:val="center"/>
          </w:tcPr>
          <w:p w:rsidR="008F59B6" w:rsidRDefault="00990D92" w:rsidP="00671B24">
            <w:pPr>
              <w:pStyle w:val="NoSpacing"/>
            </w:pPr>
            <w:r>
              <w:t>Explanation</w:t>
            </w:r>
          </w:p>
        </w:tc>
      </w:tr>
      <w:tr w:rsidR="00431C43" w:rsidTr="00671B24">
        <w:tc>
          <w:tcPr>
            <w:tcW w:w="1668" w:type="dxa"/>
            <w:vAlign w:val="center"/>
          </w:tcPr>
          <w:p w:rsidR="00431C43" w:rsidRDefault="00431C43" w:rsidP="0093765F">
            <w:pPr>
              <w:pStyle w:val="NoSpacing"/>
            </w:pPr>
            <w:r>
              <w:t>abstraction</w:t>
            </w:r>
          </w:p>
        </w:tc>
        <w:tc>
          <w:tcPr>
            <w:tcW w:w="7614" w:type="dxa"/>
            <w:vAlign w:val="center"/>
          </w:tcPr>
          <w:p w:rsidR="00431C43" w:rsidRDefault="00431C43" w:rsidP="0093765F">
            <w:pPr>
              <w:pStyle w:val="NoSpacing"/>
            </w:pPr>
            <w:r>
              <w:t>Abstraction is a conceptual process where general rules and concepts are derived from the usage and classification of specific examples. literal signifiers, first principles or other methods (Wikipedia)</w:t>
            </w:r>
          </w:p>
        </w:tc>
      </w:tr>
      <w:tr w:rsidR="00431C43" w:rsidTr="00671B24">
        <w:tc>
          <w:tcPr>
            <w:tcW w:w="1668" w:type="dxa"/>
            <w:vAlign w:val="center"/>
          </w:tcPr>
          <w:p w:rsidR="00431C43" w:rsidRDefault="00431C43" w:rsidP="0093765F">
            <w:pPr>
              <w:pStyle w:val="NoSpacing"/>
            </w:pPr>
            <w:r>
              <w:t xml:space="preserve">binding </w:t>
            </w:r>
          </w:p>
        </w:tc>
        <w:tc>
          <w:tcPr>
            <w:tcW w:w="7614" w:type="dxa"/>
            <w:vAlign w:val="center"/>
          </w:tcPr>
          <w:p w:rsidR="00431C43" w:rsidRDefault="00431C43" w:rsidP="0093765F">
            <w:pPr>
              <w:pStyle w:val="NoSpacing"/>
            </w:pPr>
            <w:r>
              <w:t xml:space="preserve">With binding we mean the possibility for humans and machines to find other relevant entities of a DO when being exposed to another, i.e. when an actor receives a </w:t>
            </w:r>
            <w:proofErr w:type="spellStart"/>
            <w:r>
              <w:t>PID</w:t>
            </w:r>
            <w:proofErr w:type="spellEnd"/>
            <w:r>
              <w:t xml:space="preserve"> of a DO it must find the </w:t>
            </w:r>
            <w:proofErr w:type="spellStart"/>
            <w:r>
              <w:t>PID</w:t>
            </w:r>
            <w:proofErr w:type="spellEnd"/>
            <w:r>
              <w:t xml:space="preserve"> of the corresponding metadata DO and the access rights information, since otherwise interpretation and access is impossible</w:t>
            </w:r>
          </w:p>
        </w:tc>
      </w:tr>
      <w:tr w:rsidR="00431C43" w:rsidTr="00671B24">
        <w:tc>
          <w:tcPr>
            <w:tcW w:w="1668" w:type="dxa"/>
            <w:vAlign w:val="center"/>
          </w:tcPr>
          <w:p w:rsidR="00431C43" w:rsidRDefault="009B4E0A" w:rsidP="0093765F">
            <w:pPr>
              <w:pStyle w:val="NoSpacing"/>
            </w:pPr>
            <w:r>
              <w:t>c</w:t>
            </w:r>
            <w:r w:rsidR="00431C43">
              <w:t>ollection</w:t>
            </w:r>
          </w:p>
        </w:tc>
        <w:tc>
          <w:tcPr>
            <w:tcW w:w="7614" w:type="dxa"/>
            <w:vAlign w:val="center"/>
          </w:tcPr>
          <w:p w:rsidR="00431C43" w:rsidRDefault="00431C43" w:rsidP="0093765F">
            <w:pPr>
              <w:pStyle w:val="NoSpacing"/>
            </w:pPr>
            <w:r>
              <w:t xml:space="preserve">A collection is a complex DO consisting of other </w:t>
            </w:r>
            <w:proofErr w:type="gramStart"/>
            <w:r>
              <w:t>DOs, that</w:t>
            </w:r>
            <w:proofErr w:type="gramEnd"/>
            <w:r>
              <w:t xml:space="preserve"> have a </w:t>
            </w:r>
            <w:proofErr w:type="spellStart"/>
            <w:r>
              <w:t>PID</w:t>
            </w:r>
            <w:proofErr w:type="spellEnd"/>
            <w:r>
              <w:t xml:space="preserve"> and metadata.</w:t>
            </w:r>
          </w:p>
        </w:tc>
      </w:tr>
      <w:tr w:rsidR="00431C43" w:rsidTr="00671B24">
        <w:tc>
          <w:tcPr>
            <w:tcW w:w="1668" w:type="dxa"/>
            <w:vAlign w:val="center"/>
          </w:tcPr>
          <w:p w:rsidR="00431C43" w:rsidRDefault="00431C43" w:rsidP="0093765F">
            <w:pPr>
              <w:pStyle w:val="NoSpacing"/>
            </w:pPr>
            <w:r>
              <w:t>CRUD operations</w:t>
            </w:r>
          </w:p>
        </w:tc>
        <w:tc>
          <w:tcPr>
            <w:tcW w:w="7614" w:type="dxa"/>
            <w:vAlign w:val="center"/>
          </w:tcPr>
          <w:p w:rsidR="00431C43" w:rsidRDefault="00431C43" w:rsidP="0093765F">
            <w:pPr>
              <w:pStyle w:val="NoSpacing"/>
            </w:pPr>
            <w:r>
              <w:t>These are the usual primary type of operations such as create, read/retrieve, update and delete</w:t>
            </w:r>
          </w:p>
        </w:tc>
      </w:tr>
      <w:tr w:rsidR="00431C43" w:rsidTr="00671B24">
        <w:tc>
          <w:tcPr>
            <w:tcW w:w="1668" w:type="dxa"/>
            <w:vMerge w:val="restart"/>
            <w:vAlign w:val="center"/>
          </w:tcPr>
          <w:p w:rsidR="00431C43" w:rsidRDefault="00431C43" w:rsidP="0093765F">
            <w:pPr>
              <w:pStyle w:val="NoSpacing"/>
            </w:pPr>
            <w:r>
              <w:t>encapsulation</w:t>
            </w:r>
          </w:p>
        </w:tc>
        <w:tc>
          <w:tcPr>
            <w:tcW w:w="7614" w:type="dxa"/>
            <w:vAlign w:val="center"/>
          </w:tcPr>
          <w:p w:rsidR="00431C43" w:rsidRDefault="00431C43" w:rsidP="0093765F">
            <w:pPr>
              <w:pStyle w:val="NoSpacing"/>
            </w:pPr>
            <w:r>
              <w:t xml:space="preserve">Encapsulation is known from abstract data types and </w:t>
            </w:r>
            <w:proofErr w:type="spellStart"/>
            <w:r>
              <w:t>oo</w:t>
            </w:r>
            <w:proofErr w:type="spellEnd"/>
            <w:r>
              <w:t xml:space="preserve"> programming where internals of data objects are hidden to the user and where the user can only influence the internal state by using defined methods</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671B24">
              <w:rPr>
                <w:b/>
              </w:rPr>
              <w:t>Note</w:t>
            </w:r>
            <w:r>
              <w:t xml:space="preserve">: in the </w:t>
            </w:r>
            <w:proofErr w:type="spellStart"/>
            <w:r>
              <w:t>FDO</w:t>
            </w:r>
            <w:proofErr w:type="spellEnd"/>
            <w:r>
              <w:t xml:space="preserve"> case DO types can be associated with registered operations that can be used to operate on </w:t>
            </w:r>
            <w:proofErr w:type="spellStart"/>
            <w:r>
              <w:t>DO's</w:t>
            </w:r>
            <w:proofErr w:type="spellEnd"/>
            <w:r>
              <w:t xml:space="preserve"> content</w:t>
            </w:r>
          </w:p>
        </w:tc>
      </w:tr>
      <w:tr w:rsidR="00431C43" w:rsidTr="00671B24">
        <w:tc>
          <w:tcPr>
            <w:tcW w:w="1668" w:type="dxa"/>
            <w:vAlign w:val="center"/>
          </w:tcPr>
          <w:p w:rsidR="00431C43" w:rsidRDefault="00431C43" w:rsidP="0093765F">
            <w:pPr>
              <w:pStyle w:val="NoSpacing"/>
            </w:pPr>
            <w:r>
              <w:t xml:space="preserve">machine </w:t>
            </w:r>
            <w:proofErr w:type="spellStart"/>
            <w:r>
              <w:t>actionability</w:t>
            </w:r>
            <w:proofErr w:type="spellEnd"/>
          </w:p>
        </w:tc>
        <w:tc>
          <w:tcPr>
            <w:tcW w:w="7614" w:type="dxa"/>
            <w:vAlign w:val="center"/>
          </w:tcPr>
          <w:p w:rsidR="00431C43" w:rsidRDefault="00431C43" w:rsidP="0093765F">
            <w:pPr>
              <w:pStyle w:val="NoSpacing"/>
            </w:pPr>
            <w:r>
              <w:t xml:space="preserve">With machine </w:t>
            </w:r>
            <w:proofErr w:type="spellStart"/>
            <w:r>
              <w:t>actionability</w:t>
            </w:r>
            <w:proofErr w:type="spellEnd"/>
            <w:r>
              <w:t xml:space="preserve"> the capacity of computational systems is meant to find, access, interoperate and reuse data and services without human intervention (</w:t>
            </w:r>
            <w:proofErr w:type="spellStart"/>
            <w:r>
              <w:t>GOFAIR</w:t>
            </w:r>
            <w:proofErr w:type="spellEnd"/>
            <w:r>
              <w:t>)</w:t>
            </w:r>
          </w:p>
        </w:tc>
      </w:tr>
      <w:tr w:rsidR="00431C43" w:rsidTr="00671B24">
        <w:tc>
          <w:tcPr>
            <w:tcW w:w="1668" w:type="dxa"/>
            <w:vMerge w:val="restart"/>
            <w:vAlign w:val="center"/>
          </w:tcPr>
          <w:p w:rsidR="00431C43" w:rsidRDefault="00431C43" w:rsidP="0093765F">
            <w:pPr>
              <w:pStyle w:val="NoSpacing"/>
            </w:pPr>
            <w:r>
              <w:t>metadata</w:t>
            </w:r>
          </w:p>
        </w:tc>
        <w:tc>
          <w:tcPr>
            <w:tcW w:w="7614" w:type="dxa"/>
            <w:vAlign w:val="center"/>
          </w:tcPr>
          <w:p w:rsidR="00431C43" w:rsidRDefault="00431C43" w:rsidP="0093765F">
            <w:pPr>
              <w:pStyle w:val="NoSpacing"/>
            </w:pPr>
            <w:r>
              <w:t>Metadata descriptions of DOs are sets of assertions describing properties of DOs content which are required for finding, accessing, interpreting and reusing, these assertions can cover a wide range such as descriptive to support finding, deep scientific to support science, systemic to support management, rights to prevent unauthorized access, etc.</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Yet the domain of metadata is not structured very well, i.e. terminology is not well-defined.</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Basic interoperability assumptions are that the schemas are registered and the concepts defined and registered.</w:t>
            </w:r>
          </w:p>
        </w:tc>
      </w:tr>
      <w:tr w:rsidR="00431C43" w:rsidTr="00671B24">
        <w:tc>
          <w:tcPr>
            <w:tcW w:w="1668" w:type="dxa"/>
            <w:vMerge w:val="restart"/>
            <w:vAlign w:val="center"/>
          </w:tcPr>
          <w:p w:rsidR="00431C43" w:rsidRDefault="00431C43" w:rsidP="00671B24">
            <w:pPr>
              <w:pStyle w:val="NoSpacing"/>
            </w:pPr>
            <w:r>
              <w:t>repository</w:t>
            </w:r>
          </w:p>
        </w:tc>
        <w:tc>
          <w:tcPr>
            <w:tcW w:w="7614" w:type="dxa"/>
            <w:vAlign w:val="center"/>
          </w:tcPr>
          <w:p w:rsidR="00431C43" w:rsidRDefault="00431C43" w:rsidP="00671B24">
            <w:pPr>
              <w:pStyle w:val="NoSpacing"/>
            </w:pPr>
            <w:r w:rsidRPr="00E5439C">
              <w:rPr>
                <w:b/>
              </w:rPr>
              <w:t>DO View</w:t>
            </w:r>
            <w:r>
              <w:t xml:space="preserve">: from the perspective of Digital Objects repositories are nothing else than a complex DO associated with a </w:t>
            </w:r>
            <w:proofErr w:type="spellStart"/>
            <w:r>
              <w:t>PID</w:t>
            </w:r>
            <w:proofErr w:type="spellEnd"/>
            <w:r>
              <w:t>, metadata of different kinds and functions to offer DOs</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Common View</w:t>
            </w:r>
            <w:r>
              <w:t>: from the most common point of view repositories are entities that host data, metadata etc., apply trustworthy management procedures, offer a search and access interface, have a team of experts taking care and have a sustainability plan</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Note</w:t>
            </w:r>
            <w:r>
              <w:t xml:space="preserve">: repositories can be associated with research </w:t>
            </w:r>
            <w:proofErr w:type="spellStart"/>
            <w:r>
              <w:t>organisations</w:t>
            </w:r>
            <w:proofErr w:type="spellEnd"/>
            <w:r>
              <w:t xml:space="preserve">, communities or projects, they can be small or big in terms of the collections they hold. </w:t>
            </w:r>
          </w:p>
        </w:tc>
      </w:tr>
      <w:tr w:rsidR="00431C43" w:rsidTr="00C90B91">
        <w:tc>
          <w:tcPr>
            <w:tcW w:w="1668" w:type="dxa"/>
            <w:vMerge w:val="restart"/>
            <w:vAlign w:val="center"/>
          </w:tcPr>
          <w:p w:rsidR="00431C43" w:rsidRDefault="00431C43" w:rsidP="00C90B91">
            <w:pPr>
              <w:pStyle w:val="NoSpacing"/>
            </w:pPr>
            <w:r>
              <w:t xml:space="preserve">type </w:t>
            </w:r>
          </w:p>
        </w:tc>
        <w:tc>
          <w:tcPr>
            <w:tcW w:w="7614" w:type="dxa"/>
            <w:vAlign w:val="center"/>
          </w:tcPr>
          <w:p w:rsidR="00431C43" w:rsidRDefault="00431C43" w:rsidP="00C90B91">
            <w:pPr>
              <w:pStyle w:val="NoSpacing"/>
            </w:pPr>
            <w:r>
              <w:t>"Type" is an attribute of digital objects which tells computational actors how the content of the DO needs to be parsed, i.e. it defines the operations that can be done on the data, the meaning of the data, and the way values of that type can be interpreted</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671B24">
            <w:pPr>
              <w:pStyle w:val="NoSpacing"/>
            </w:pPr>
            <w:r w:rsidRPr="00C90B91">
              <w:rPr>
                <w:b/>
              </w:rPr>
              <w:t>Note</w:t>
            </w:r>
            <w:r>
              <w:t xml:space="preserve">: A MIME type </w:t>
            </w:r>
            <w:r>
              <w:rPr>
                <w:rStyle w:val="seosummary"/>
              </w:rPr>
              <w:t>is a standard that indicates the nature and format of a document, file, or assortment of bytes, i.e. it is a restricted concept of type.</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C90B91">
            <w:pPr>
              <w:pStyle w:val="NoSpacing"/>
            </w:pPr>
            <w:r w:rsidRPr="00C90B91">
              <w:rPr>
                <w:b/>
              </w:rPr>
              <w:t>Note</w:t>
            </w:r>
            <w:r>
              <w:t>: A type of a DO implies a summary of otherwise complex metadata assertions describing the format, encoding etc. of a content.</w:t>
            </w:r>
          </w:p>
        </w:tc>
      </w:tr>
    </w:tbl>
    <w:p w:rsidR="00C90B91" w:rsidRPr="00C90B91" w:rsidRDefault="00C90B91" w:rsidP="00431C43">
      <w:pPr>
        <w:pStyle w:val="NoSpacing"/>
        <w:jc w:val="both"/>
        <w:rPr>
          <w:lang w:val="en-GB"/>
        </w:rPr>
      </w:pPr>
    </w:p>
    <w:sectPr w:rsidR="00C90B91" w:rsidRPr="00C90B91">
      <w:headerReference w:type="default"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ACD" w:rsidRDefault="006C1ACD">
      <w:r>
        <w:separator/>
      </w:r>
    </w:p>
  </w:endnote>
  <w:endnote w:type="continuationSeparator" w:id="0">
    <w:p w:rsidR="006C1ACD" w:rsidRDefault="006C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ACD" w:rsidRDefault="006C1ACD">
      <w:r>
        <w:separator/>
      </w:r>
    </w:p>
  </w:footnote>
  <w:footnote w:type="continuationSeparator" w:id="0">
    <w:p w:rsidR="006C1ACD" w:rsidRDefault="006C1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AF5"/>
    <w:multiLevelType w:val="hybridMultilevel"/>
    <w:tmpl w:val="9924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D663E"/>
    <w:multiLevelType w:val="multilevel"/>
    <w:tmpl w:val="43C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51130"/>
    <w:multiLevelType w:val="hybridMultilevel"/>
    <w:tmpl w:val="36C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37037"/>
    <w:multiLevelType w:val="multilevel"/>
    <w:tmpl w:val="5F5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0363E"/>
    <w:multiLevelType w:val="hybridMultilevel"/>
    <w:tmpl w:val="746C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7133D8"/>
    <w:multiLevelType w:val="hybridMultilevel"/>
    <w:tmpl w:val="53A6778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BB7E8B"/>
    <w:multiLevelType w:val="hybridMultilevel"/>
    <w:tmpl w:val="E85C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A0043"/>
    <w:rsid w:val="001534DA"/>
    <w:rsid w:val="002458EF"/>
    <w:rsid w:val="002A6049"/>
    <w:rsid w:val="003814AA"/>
    <w:rsid w:val="003B2768"/>
    <w:rsid w:val="004027A1"/>
    <w:rsid w:val="00431C43"/>
    <w:rsid w:val="00465699"/>
    <w:rsid w:val="004B14C2"/>
    <w:rsid w:val="006635A0"/>
    <w:rsid w:val="00671B24"/>
    <w:rsid w:val="00684492"/>
    <w:rsid w:val="006A35ED"/>
    <w:rsid w:val="006C1ACD"/>
    <w:rsid w:val="008F59B6"/>
    <w:rsid w:val="00923643"/>
    <w:rsid w:val="009528D3"/>
    <w:rsid w:val="00974D8E"/>
    <w:rsid w:val="00990D92"/>
    <w:rsid w:val="009A4D61"/>
    <w:rsid w:val="009B4E0A"/>
    <w:rsid w:val="009C2477"/>
    <w:rsid w:val="00AB10FB"/>
    <w:rsid w:val="00AF5747"/>
    <w:rsid w:val="00B321DE"/>
    <w:rsid w:val="00B37446"/>
    <w:rsid w:val="00BE67E6"/>
    <w:rsid w:val="00C90B91"/>
    <w:rsid w:val="00E5439C"/>
    <w:rsid w:val="00EA0043"/>
    <w:rsid w:val="00F95442"/>
    <w:rsid w:val="00FB14D3"/>
    <w:rsid w:val="00FC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8633">
      <w:bodyDiv w:val="1"/>
      <w:marLeft w:val="0"/>
      <w:marRight w:val="0"/>
      <w:marTop w:val="0"/>
      <w:marBottom w:val="0"/>
      <w:divBdr>
        <w:top w:val="none" w:sz="0" w:space="0" w:color="auto"/>
        <w:left w:val="none" w:sz="0" w:space="0" w:color="auto"/>
        <w:bottom w:val="none" w:sz="0" w:space="0" w:color="auto"/>
        <w:right w:val="none" w:sz="0" w:space="0" w:color="auto"/>
      </w:divBdr>
    </w:div>
    <w:div w:id="613751031">
      <w:bodyDiv w:val="1"/>
      <w:marLeft w:val="0"/>
      <w:marRight w:val="0"/>
      <w:marTop w:val="0"/>
      <w:marBottom w:val="0"/>
      <w:divBdr>
        <w:top w:val="none" w:sz="0" w:space="0" w:color="auto"/>
        <w:left w:val="none" w:sz="0" w:space="0" w:color="auto"/>
        <w:bottom w:val="none" w:sz="0" w:space="0" w:color="auto"/>
        <w:right w:val="none" w:sz="0" w:space="0" w:color="auto"/>
      </w:divBdr>
    </w:div>
    <w:div w:id="109054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d-alliance.org/groups/fair-data-maturity-model-w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2019-11-18T13:36:00Z</cp:lastPrinted>
  <dcterms:created xsi:type="dcterms:W3CDTF">2019-11-22T08:12:00Z</dcterms:created>
  <dcterms:modified xsi:type="dcterms:W3CDTF">2019-11-22T08:12:00Z</dcterms:modified>
</cp:coreProperties>
</file>