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EAB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一</w:t>
      </w:r>
    </w:p>
    <w:p w14:paraId="2A8FEE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1F2329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模值不变的矢量时间导数公式推导</w:t>
      </w:r>
      <w:r>
        <w:rPr>
          <w:rFonts w:hint="eastAsia" w:ascii="黑体" w:hAnsi="黑体" w:eastAsia="黑体" w:cs="黑体"/>
          <w:color w:val="1F2329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color w:val="1F2329"/>
          <w:sz w:val="28"/>
          <w:szCs w:val="28"/>
          <w:lang w:val="en-US" w:eastAsia="zh-CN"/>
        </w:rPr>
        <w:t>书P12</w:t>
      </w:r>
      <w:r>
        <w:rPr>
          <w:rFonts w:hint="eastAsia" w:ascii="黑体" w:hAnsi="黑体" w:eastAsia="黑体" w:cs="黑体"/>
          <w:color w:val="1F2329"/>
          <w:sz w:val="28"/>
          <w:szCs w:val="28"/>
          <w:lang w:eastAsia="zh-CN"/>
        </w:rPr>
        <w:t>）</w:t>
      </w:r>
    </w:p>
    <w:p w14:paraId="4A0234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模值不变的矢量（记为A，满足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556895" cy="1587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），其时间导数可通过刚体旋转特性推导得出：</w:t>
      </w:r>
    </w:p>
    <w:p w14:paraId="7B6241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前提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：刚体上模值固定的矢量，绕瞬时旋转轴做微小转动，旋转角速度矢量为ω（方向沿旋转轴，由右手定则判定）。</w:t>
      </w:r>
    </w:p>
    <w:p w14:paraId="786A71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微小转动关系：矢量因旋转产生的微小变化dA满足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899160" cy="1651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（叉乘方向沿转动方向，大小与ω、A及两者夹角正弦成正比）。</w:t>
      </w:r>
    </w:p>
    <w:p w14:paraId="211E5B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推导过程：</w:t>
      </w:r>
    </w:p>
    <w:p w14:paraId="2DF001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w:rPr>
          <w:rFonts w:hint="default" w:ascii="宋体" w:hAnsi="宋体" w:eastAsia="宋体" w:cs="宋体"/>
          <w:b w:val="0"/>
          <w:bCs w:val="0"/>
          <w:color w:val="1F2329"/>
          <w:sz w:val="21"/>
          <w:szCs w:val="21"/>
          <w:lang w:val="en-US"/>
        </w:rPr>
      </w:pPr>
      <w:r>
        <m:rPr/>
        <w:rPr>
          <w:rFonts w:hint="eastAsia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  <w:t>由</w:t>
      </w:r>
      <m:oMath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=∣∣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∣∣·sinφdθ·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n</m:t>
        </m:r>
        <m:r>
          <m:rPr>
            <m:sty m:val="bi"/>
          </m:rPr>
          <w:rPr>
            <w:rFonts w:hint="eastAsia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，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θ=∣∣ω∣∣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dt</m:t>
        </m:r>
      </m:oMath>
    </w:p>
    <w:p w14:paraId="2E834D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m:rPr/>
        <w:rPr>
          <w:rFonts w:hint="default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</w:pPr>
      <w:r>
        <m:rPr/>
        <w:rPr>
          <w:rFonts w:hint="eastAsia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  <w:t>得</w:t>
      </w:r>
      <m:oMath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=∣∣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∣∣·sinφ∣∣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ω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∣∣dt·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n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=(∣∣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ω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∣∣·∣∣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∣∣·sinφ)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n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dt</m:t>
        </m:r>
      </m:oMath>
    </w:p>
    <w:p w14:paraId="5CE731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m:rPr/>
        <w:rPr>
          <w:rFonts w:hint="eastAsia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</w:pPr>
      <w:r>
        <m:rPr/>
        <w:rPr>
          <w:rFonts w:hint="eastAsia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  <w:t>（</w:t>
      </w:r>
      <w:r>
        <m:rPr/>
        <w:rPr>
          <w:rFonts w:hint="eastAsia" w:hAnsi="Cambria Math" w:eastAsia="宋体" w:cs="宋体"/>
          <w:b/>
          <w:bCs/>
          <w:i w:val="0"/>
          <w:color w:val="1F2329"/>
          <w:kern w:val="2"/>
          <w:sz w:val="21"/>
          <w:szCs w:val="21"/>
          <w:lang w:val="en-US" w:eastAsia="zh-CN" w:bidi="ar-SA"/>
        </w:rPr>
        <w:t>n为A及旋转轴所确定平面的法向量，方向为旋转方向</w:t>
      </w:r>
      <w:r>
        <m:rPr/>
        <w:rPr>
          <w:rFonts w:hint="eastAsia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  <w:t>）</w:t>
      </w:r>
    </w:p>
    <w:p w14:paraId="76767F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m:rPr/>
        <w:rPr>
          <w:rFonts w:hint="default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</w:pPr>
      <w:r>
        <m:rPr/>
        <w:rPr>
          <w:rFonts w:hint="eastAsia" w:hAnsi="Cambria Math" w:eastAsia="宋体" w:cs="宋体"/>
          <w:b/>
          <w:bCs/>
          <w:i w:val="0"/>
          <w:color w:val="1F2329"/>
          <w:kern w:val="2"/>
          <w:sz w:val="21"/>
          <w:szCs w:val="21"/>
          <w:lang w:val="en-US" w:eastAsia="zh-CN" w:bidi="ar-SA"/>
        </w:rPr>
        <w:t>又</w:t>
      </w:r>
      <m:oMath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ω</m:t>
        </m:r>
        <m:r>
          <m:rPr/>
          <w:rPr>
            <w:rFonts w:hint="eastAsia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×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=∣∣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ω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∣∣·∣∣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∣∣·sinφ·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n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dt</m:t>
        </m:r>
      </m:oMath>
    </w:p>
    <w:p w14:paraId="72FEC5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m:rPr/>
        <w:rPr>
          <w:rFonts w:hint="default" w:hAnsi="Cambria Math" w:eastAsia="宋体" w:cs="宋体"/>
          <w:b w:val="0"/>
          <w:bCs/>
          <w:i w:val="0"/>
          <w:color w:val="1F2329"/>
          <w:kern w:val="2"/>
          <w:sz w:val="21"/>
          <w:szCs w:val="21"/>
          <w:lang w:val="en-US" w:eastAsia="zh-CN" w:bidi="ar-SA"/>
        </w:rPr>
      </w:pPr>
      <w:r>
        <m:rPr/>
        <w:rPr>
          <w:rFonts w:hint="default" w:hAnsi="Cambria Math" w:eastAsia="宋体" w:cs="宋体"/>
          <w:i w:val="0"/>
          <w:color w:val="1F2329"/>
          <w:kern w:val="2"/>
          <w:sz w:val="21"/>
          <w:szCs w:val="21"/>
          <w:lang w:val="en-US" w:eastAsia="zh-CN" w:bidi="ar-SA"/>
        </w:rPr>
        <w:t>∴</w:t>
      </w:r>
      <m:oMath>
        <m:r>
          <m:rPr>
            <m:sty m:val="p"/>
          </m:rPr>
          <w:rPr>
            <w:rFonts w:hint="eastAsia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</m:t>
        </m:r>
        <m:r>
          <m:rPr>
            <m:sty m:val="b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>
            <m:sty m:val="p"/>
          </m:rPr>
          <w:rPr>
            <w:rFonts w:hint="eastAsia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=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ω</m:t>
        </m:r>
        <m:r>
          <m:rPr/>
          <w:rPr>
            <w:rFonts w:hint="eastAsia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×</m:t>
        </m:r>
        <m:r>
          <m:rPr>
            <m:sty m:val="bi"/>
          </m:rPr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A</m:t>
        </m:r>
        <m:r>
          <m:rPr/>
          <w:rPr>
            <w:rFonts w:hint="default" w:ascii="Cambria Math" w:hAnsi="Cambria Math" w:eastAsia="宋体" w:cs="宋体"/>
            <w:color w:val="1F2329"/>
            <w:kern w:val="2"/>
            <w:sz w:val="21"/>
            <w:szCs w:val="21"/>
            <w:lang w:val="en-US" w:eastAsia="zh-CN" w:bidi="ar-SA"/>
          </w:rPr>
          <m:t>dt</m:t>
        </m:r>
      </m:oMath>
    </w:p>
    <w:p w14:paraId="32AFEF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highlight w:val="none"/>
        </w:rPr>
        <w:t>两边除以dt，最终得模值不变矢量的时间导数公式</w:t>
      </w:r>
      <w:r>
        <w:rPr>
          <w:rFonts w:hint="eastAsia" w:ascii="宋体" w:hAnsi="宋体" w:eastAsia="宋体" w:cs="宋体"/>
          <w:color w:val="1F2329"/>
          <w:sz w:val="21"/>
          <w:szCs w:val="21"/>
          <w:highlight w:val="none"/>
        </w:rPr>
        <w:t>：</w:t>
      </w:r>
      <w:r>
        <w:rPr>
          <w:rFonts w:hint="eastAsia" w:ascii="宋体" w:hAnsi="宋体" w:eastAsia="宋体" w:cs="宋体"/>
          <w:sz w:val="21"/>
          <w:szCs w:val="21"/>
          <w:highlight w:val="none"/>
        </w:rPr>
        <w:drawing>
          <wp:inline distT="0" distB="0" distL="114300" distR="114300">
            <wp:extent cx="612775" cy="144145"/>
            <wp:effectExtent l="0" t="0" r="95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62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高阶导数扩展：</w:t>
      </w:r>
    </w:p>
    <w:p w14:paraId="70391C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二次导数：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1760855" cy="243840"/>
            <wp:effectExtent l="0" t="0" r="444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（ω˙为角加速度）。</w:t>
      </w:r>
    </w:p>
    <w:p w14:paraId="09A508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三次导数：需进一步对二次导数微分，代入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735965" cy="2063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l="4056" t="3561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递推可得，核心仍基于叉乘的分配律和角速度矢量的导数关系。</w:t>
      </w:r>
    </w:p>
    <w:p w14:paraId="7E9246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运动物体相对于动坐标系的相对位置矢量的一阶二阶导数为：</w:t>
      </w:r>
    </w:p>
    <w:p w14:paraId="579F7D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m:rPr/>
        <w:rPr>
          <w:rFonts w:hint="default" w:hAnsi="Cambria Math" w:cs="Cambria Math"/>
          <w:b w:val="0"/>
          <w:i w:val="0"/>
          <w:color w:val="1F2329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d</m:t>
              </m:r>
              <m:sSub>
                <m:sSubPr>
                  <m:ctrlPr>
                    <m:rPr/>
                    <w:rPr>
                      <w:rFonts w:hint="default" w:ascii="Cambria Math" w:hAnsi="Cambria Math" w:cs="宋体"/>
                      <w:b/>
                      <w:bCs/>
                      <w:i/>
                      <w:color w:val="1F2329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r</m:t>
                  </m:r>
                  <m:ctrlPr>
                    <m:rPr/>
                    <w:rPr>
                      <w:rFonts w:hint="default" w:ascii="Cambria Math" w:hAnsi="Cambria Math" w:cs="宋体"/>
                      <w:b/>
                      <w:bCs/>
                      <w:i/>
                      <w:color w:val="1F2329"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相对</m:t>
                  </m:r>
                  <m:ctrlPr>
                    <m:rPr/>
                    <w:rPr>
                      <w:rFonts w:hint="default" w:ascii="Cambria Math" w:hAnsi="Cambria Math" w:cs="宋体"/>
                      <w:b/>
                      <w:bCs/>
                      <w:i/>
                      <w:color w:val="1F2329"/>
                      <w:sz w:val="21"/>
                      <w:szCs w:val="21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dt</m:t>
              </m: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=</m:t>
          </m:r>
          <m:sSub>
            <m:sSubP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v</m:t>
              </m: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+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</m:t>
          </m:r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×</m:t>
          </m:r>
          <m:sSub>
            <m:sSubPr>
              <m:ctrlPr>
                <m:rPr/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m:rPr/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m:rPr/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</m:oMath>
      </m:oMathPara>
    </w:p>
    <w:p w14:paraId="37F867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hAnsi="Cambria Math" w:cs="Cambria Math"/>
          <w:b w:val="0"/>
          <w:i w:val="0"/>
          <w:color w:val="1F2329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宋体"/>
                      <w:i/>
                      <w:color w:val="1F2329"/>
                      <w:sz w:val="21"/>
                      <w:szCs w:val="21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d</m:t>
                  </m:r>
                  <m:ctrlPr>
                    <w:rPr>
                      <w:rFonts w:ascii="Cambria Math" w:hAnsi="Cambria Math" w:cs="宋体"/>
                      <w:i/>
                      <w:color w:val="1F2329"/>
                      <w:sz w:val="21"/>
                      <w:szCs w:val="21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color w:val="1F2329"/>
                      <w:sz w:val="21"/>
                      <w:szCs w:val="21"/>
                      <w:lang w:val="en-US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color w:val="1F2329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color w:val="1F2329"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相对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color w:val="1F2329"/>
                      <w:sz w:val="21"/>
                      <w:szCs w:val="21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宋体"/>
                      <w:i/>
                      <w:color w:val="1F2329"/>
                      <w:sz w:val="21"/>
                      <w:szCs w:val="21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d</m:t>
                  </m:r>
                  <m:ctrlPr>
                    <w:rPr>
                      <w:rFonts w:ascii="Cambria Math" w:hAnsi="Cambria Math" w:cs="宋体"/>
                      <w:i/>
                      <w:color w:val="1F2329"/>
                      <w:sz w:val="21"/>
                      <w:szCs w:val="21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F2329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color w:val="1F2329"/>
                      <w:sz w:val="21"/>
                      <w:szCs w:val="21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t</m:t>
              </m: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+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Ω'</m:t>
          </m:r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×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+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</m:t>
          </m:r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×(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</m:t>
          </m:r>
          <m:r>
            <m:rPr/>
            <w:rPr>
              <w:rFonts w:ascii="Cambria Math" w:hAnsi="Cambria Math" w:cs="Cambria Math"/>
              <w:color w:val="1F2329"/>
              <w:sz w:val="21"/>
              <w:szCs w:val="21"/>
              <w:lang w:val="en-US"/>
            </w:rPr>
            <m:t>×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)+2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Ω×</m:t>
          </m:r>
          <m:sSub>
            <m:sSubP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</m:oMath>
      </m:oMathPara>
    </w:p>
    <w:p w14:paraId="7A08B7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m:rPr/>
        <w:rPr>
          <w:rFonts w:hint="default" w:hAnsi="Cambria Math" w:cs="Cambria Math"/>
          <w:b w:val="0"/>
          <w:i w:val="0"/>
          <w:color w:val="1F2329"/>
          <w:sz w:val="21"/>
          <w:szCs w:val="21"/>
          <w:lang w:val="en-US" w:eastAsia="zh-CN"/>
        </w:rPr>
      </w:pPr>
    </w:p>
    <w:p w14:paraId="2182EB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牛顿第二定律的适用范围</w:t>
      </w:r>
    </w:p>
    <w:p w14:paraId="792D3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牛顿第二定律（F=ma）的适用条件明确，核心限制如下：</w:t>
      </w:r>
    </w:p>
    <w:p w14:paraId="7A4EF3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坐标系要求：仅适用</w:t>
      </w:r>
      <w:r>
        <w:rPr>
          <w:rFonts w:hint="eastAsia" w:ascii="宋体" w:hAnsi="宋体" w:eastAsia="宋体" w:cs="宋体"/>
          <w:color w:val="1F2329"/>
          <w:sz w:val="21"/>
          <w:szCs w:val="21"/>
          <w:highlight w:val="none"/>
        </w:rPr>
        <w:t>于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highlight w:val="none"/>
        </w:rPr>
        <w:t>绝对惯性坐标系</w:t>
      </w:r>
      <w:r>
        <w:rPr>
          <w:rFonts w:hint="eastAsia" w:ascii="宋体" w:hAnsi="宋体" w:eastAsia="宋体" w:cs="宋体"/>
          <w:color w:val="1F2329"/>
          <w:sz w:val="21"/>
          <w:szCs w:val="21"/>
          <w:highlight w:val="none"/>
        </w:rPr>
        <w:t xml:space="preserve">—— 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相对于固定恒星既无平动加速度，也无转动加速度的坐标系。非惯性坐标系（如旋转的地球表面坐标系）中，需引入惯性力（如科里奥利力）修正后，才能间接应用。</w:t>
      </w:r>
    </w:p>
    <w:p w14:paraId="7EA2AA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质量条件：物体质量m为常量，不考虑质量随运动状态（如高速运动）的变化（相对论效应范畴，本章未涉及）。</w:t>
      </w:r>
    </w:p>
    <w:p w14:paraId="5E5405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力的范畴：仅适用于真实作用力（如引力、接触力、电磁力等），不包含非惯性系中出现的虚拟力（如离心力、科里奥利力）。</w:t>
      </w:r>
    </w:p>
    <w:p w14:paraId="643B7D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应用对象：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质点或可视为质点的物体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（本章轨道力学分析中，航天器、天体等均按质点处理）。</w:t>
      </w:r>
    </w:p>
    <w:p w14:paraId="6AD3D5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加速度指运动物体相对于惯性系的加速度</w:t>
      </w:r>
    </w:p>
    <w:p w14:paraId="00D95069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08EA9BCB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</w:p>
    <w:p w14:paraId="342634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二</w:t>
      </w:r>
    </w:p>
    <w:p w14:paraId="6613D8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通用计算公式</w:t>
      </w:r>
    </w:p>
    <w:p w14:paraId="6334E5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相对运动方程：</w:t>
      </w:r>
    </w:p>
    <w:p w14:paraId="6C73F0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504440" cy="309245"/>
            <wp:effectExtent l="0" t="0" r="1016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为引力参数，r 为相对位置矢量，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441325" cy="15875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2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）。</w:t>
      </w:r>
    </w:p>
    <w:p w14:paraId="3452D4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绝对加速度</w:t>
      </w:r>
    </w:p>
    <w:p w14:paraId="0BF220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hAnsi="Cambria Math" w:cs="Cambria Math"/>
          <w:b w:val="0"/>
          <w:i w:val="0"/>
          <w:color w:val="1F2329"/>
          <w:sz w:val="21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 w:cs="宋体"/>
              <w:color w:val="1F2329"/>
              <w:kern w:val="2"/>
              <w:sz w:val="21"/>
              <w:szCs w:val="21"/>
              <w:lang w:val="en-US" w:eastAsia="zh-CN" w:bidi="ar-SA"/>
            </w:rPr>
            <m:t>r''=</m:t>
          </m:r>
          <m:sSub>
            <m:sSubPr>
              <m:ctrlPr>
                <m:rPr/>
                <w:rPr>
                  <w:rFonts w:hint="default" w:ascii="Cambria Math" w:hAnsi="Cambria Math" w:eastAsia="宋体" w:cs="宋体"/>
                  <w:i/>
                  <w:color w:val="1F2329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color w:val="1F2329"/>
                  <w:kern w:val="2"/>
                  <w:sz w:val="21"/>
                  <w:szCs w:val="21"/>
                  <w:lang w:val="en-US" w:eastAsia="zh-CN" w:bidi="ar-SA"/>
                </w:rPr>
                <m:t>r''</m:t>
              </m:r>
              <m:ctrlPr>
                <m:rPr/>
                <w:rPr>
                  <w:rFonts w:hint="default" w:ascii="Cambria Math" w:hAnsi="Cambria Math" w:eastAsia="宋体" w:cs="宋体"/>
                  <w:i/>
                  <w:color w:val="1F2329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1F2329"/>
                  <w:kern w:val="2"/>
                  <w:sz w:val="21"/>
                  <w:szCs w:val="21"/>
                  <w:lang w:val="en-US" w:eastAsia="zh-CN" w:bidi="ar-SA"/>
                </w:rPr>
                <m:t>相对</m:t>
              </m:r>
              <m:ctrlPr>
                <m:rPr/>
                <w:rPr>
                  <w:rFonts w:hint="default" w:ascii="Cambria Math" w:hAnsi="Cambria Math" w:eastAsia="宋体" w:cs="宋体"/>
                  <w:i/>
                  <w:color w:val="1F2329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color w:val="1F2329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Ω'</m:t>
          </m:r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×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+</m:t>
          </m:r>
          <m:r>
            <m:rPr>
              <m:sty m:val="bi"/>
            </m:rPr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Ω×(Ω×r)+2Ω</m:t>
          </m:r>
          <m:r>
            <m:rPr/>
            <w:rPr>
              <w:rFonts w:hint="default" w:ascii="Cambria Math" w:hAnsi="Cambria Math" w:cs="Cambria Math"/>
              <w:color w:val="1F2329"/>
              <w:sz w:val="21"/>
              <w:szCs w:val="21"/>
              <w:lang w:val="en-US" w:eastAsia="zh-CN"/>
            </w:rPr>
            <m:t>×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color w:val="1F2329"/>
                  <w:sz w:val="21"/>
                  <w:szCs w:val="21"/>
                  <w:lang w:val="en-US" w:eastAsia="zh-CN"/>
                </w:rPr>
                <m:t>相对</m:t>
              </m:r>
              <m:ctrlPr>
                <w:rPr>
                  <w:rFonts w:hint="default" w:ascii="Cambria Math" w:hAnsi="Cambria Math" w:cs="Cambria Math"/>
                  <w:b w:val="0"/>
                  <w:i/>
                  <w:color w:val="1F2329"/>
                  <w:sz w:val="21"/>
                  <w:szCs w:val="21"/>
                  <w:lang w:val="en-US" w:eastAsia="zh-CN"/>
                </w:rPr>
              </m:ctrlPr>
            </m:sub>
          </m:sSub>
        </m:oMath>
      </m:oMathPara>
    </w:p>
    <w:p w14:paraId="6B1942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hAnsi="Cambria Math" w:cs="Cambria Math"/>
          <w:b w:val="0"/>
          <w:i w:val="0"/>
          <w:color w:val="1F2329"/>
          <w:sz w:val="21"/>
          <w:szCs w:val="21"/>
          <w:lang w:val="en-US" w:eastAsia="zh-CN"/>
        </w:rPr>
      </w:pPr>
    </w:p>
    <w:p w14:paraId="25FD91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角动量守恒：</w:t>
      </w:r>
    </w:p>
    <w:p w14:paraId="16EA2C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681355" cy="196850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35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（h 为单位质量相对角动量，为常量），</w:t>
      </w:r>
    </w:p>
    <w:p w14:paraId="503FEA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标量形式 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527685" cy="207645"/>
            <wp:effectExtent l="0" t="0" r="571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（v⊥为速度垂直于径向的分量）。</w:t>
      </w:r>
    </w:p>
    <w:p w14:paraId="3F7E64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71624B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轨道方程：</w:t>
      </w:r>
    </w:p>
    <w:p w14:paraId="0D81A2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149985" cy="288925"/>
            <wp:effectExtent l="0" t="0" r="571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998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（e 为偏心率，θ 为真近点角）。</w:t>
      </w:r>
    </w:p>
    <w:p w14:paraId="61B308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m:rPr/>
        <w:rPr>
          <w:rFonts w:hint="default" w:hAnsi="Cambria Math" w:cs="宋体"/>
          <w:i w:val="0"/>
          <w:color w:val="1F2329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v</m:t>
              </m: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</w:rPr>
              </m:ctrlPr>
            </m:e>
            <m:sub>
              <m:r>
                <w:rPr>
                  <w:rFonts w:hint="eastAsia" w:ascii="Cambria Math" w:hAnsi="Cambria Math" w:cs="宋体"/>
                  <w:color w:val="1F2329"/>
                  <w:sz w:val="21"/>
                  <w:szCs w:val="21"/>
                </w:rPr>
                <m:t>⊥</m:t>
              </m: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</w:rPr>
              </m:ctrlPr>
            </m:sub>
          </m:sSub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=</m:t>
          </m:r>
          <m:f>
            <m:fP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h</m:t>
              </m: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=</m:t>
          </m:r>
          <m:f>
            <m:fP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μ</m:t>
              </m: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h</m:t>
              </m:r>
              <m:ctrlPr>
                <m:rPr/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(1+ecosθ)</m:t>
          </m:r>
        </m:oMath>
      </m:oMathPara>
    </w:p>
    <w:p w14:paraId="6F254E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m:rPr/>
        <w:rPr>
          <w:rFonts w:hint="default" w:hAnsi="Cambria Math" w:cs="宋体"/>
          <w:i w:val="0"/>
          <w:color w:val="1F2329"/>
          <w:sz w:val="21"/>
          <w:szCs w:val="21"/>
          <w:lang w:val="en-US" w:eastAsia="zh-CN"/>
        </w:rPr>
      </w:pPr>
    </w:p>
    <w:p w14:paraId="7E490C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</w:rPr>
              </m:ctrlPr>
            </m:sSubPr>
            <m:e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v</m:t>
              </m: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r</m:t>
              </m:r>
              <m:ctrlPr>
                <w:rPr>
                  <w:rFonts w:ascii="Cambria Math" w:hAnsi="Cambria Math" w:cs="宋体"/>
                  <w:i/>
                  <w:color w:val="1F2329"/>
                  <w:sz w:val="21"/>
                  <w:szCs w:val="21"/>
                </w:rPr>
              </m:ctrlPr>
            </m:sub>
          </m:sSub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μ</m:t>
              </m: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color w:val="1F2329"/>
                  <w:sz w:val="21"/>
                  <w:szCs w:val="21"/>
                  <w:lang w:val="en-US" w:eastAsia="zh-CN"/>
                </w:rPr>
                <m:t>h</m:t>
              </m:r>
              <m:ctrlPr>
                <w:rPr>
                  <w:rFonts w:hint="default" w:ascii="Cambria Math" w:hAnsi="Cambria Math" w:cs="宋体"/>
                  <w:i/>
                  <w:color w:val="1F2329"/>
                  <w:sz w:val="21"/>
                  <w:szCs w:val="21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color w:val="1F2329"/>
              <w:sz w:val="21"/>
              <w:szCs w:val="21"/>
              <w:lang w:val="en-US" w:eastAsia="zh-CN"/>
            </w:rPr>
            <m:t>esinθ</m:t>
          </m:r>
        </m:oMath>
      </m:oMathPara>
    </w:p>
    <w:p w14:paraId="2CE6C9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能量守恒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（活力公式）：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610870" cy="233680"/>
            <wp:effectExtent l="0" t="0" r="1143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（ε 为单位质量比机械能，为常量）。</w:t>
      </w:r>
    </w:p>
    <w:p w14:paraId="771C4B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hAnsi="Cambria Math" w:cs="Arial"/>
          <w:i w:val="0"/>
          <w:color w:val="1F2329"/>
          <w:sz w:val="21"/>
          <w:szCs w:val="21"/>
          <w:lang w:val="en-US" w:eastAsia="zh-CN"/>
        </w:rPr>
      </w:pPr>
      <w:r>
        <w:rPr>
          <w:rFonts w:hint="default" w:ascii="Arial" w:hAnsi="Arial" w:eastAsia="宋体" w:cs="Arial"/>
          <w:color w:val="1F2329"/>
          <w:sz w:val="21"/>
          <w:szCs w:val="21"/>
        </w:rPr>
        <w:t>→</w:t>
      </w:r>
      <w:r>
        <w:rPr>
          <w:rFonts w:hint="eastAsia" w:ascii="Arial" w:hAnsi="Arial" w:eastAsia="宋体" w:cs="Arial"/>
          <w:color w:val="1F2329"/>
          <w:sz w:val="21"/>
          <w:szCs w:val="21"/>
          <w:lang w:val="en-US" w:eastAsia="zh-CN"/>
        </w:rPr>
        <w:t xml:space="preserve">推导得  </w:t>
      </w:r>
      <m:oMath>
        <m:sSup>
          <m:sSupP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2</m:t>
            </m: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sup>
        </m:sSup>
        <m:r>
          <m:rPr/>
          <w:rPr>
            <w:rFonts w:hint="default" w:ascii="Cambria Math" w:hAnsi="Cambria Math" w:cs="Arial"/>
            <w:color w:val="1F2329"/>
            <w:sz w:val="21"/>
            <w:szCs w:val="21"/>
            <w:lang w:val="en-US" w:eastAsia="zh-CN"/>
          </w:rPr>
          <m:t>=μ(</m:t>
        </m:r>
        <m:f>
          <m:fPr>
            <m:ctrlPr>
              <m:rPr/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Arial"/>
            <w:color w:val="1F2329"/>
            <w:sz w:val="21"/>
            <w:szCs w:val="21"/>
            <w:lang w:val="en-US" w:eastAsia="zh-CN"/>
          </w:rPr>
          <m:t>−</m:t>
        </m:r>
        <m:f>
          <m:fPr>
            <m:ctrlPr>
              <m:rPr/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a</m:t>
            </m:r>
            <m:ctrlPr>
              <m:rPr/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Arial"/>
            <w:color w:val="1F2329"/>
            <w:sz w:val="21"/>
            <w:szCs w:val="21"/>
            <w:lang w:val="en-US" w:eastAsia="zh-CN"/>
          </w:rPr>
          <m:t>)</m:t>
        </m:r>
      </m:oMath>
      <w:r>
        <m:rPr/>
        <w:rPr>
          <w:rFonts w:hint="eastAsia" w:hAnsi="Cambria Math" w:cs="Arial"/>
          <w:i w:val="0"/>
          <w:color w:val="1F2329"/>
          <w:sz w:val="21"/>
          <w:szCs w:val="21"/>
          <w:lang w:val="en-US" w:eastAsia="zh-CN"/>
        </w:rPr>
        <w:t xml:space="preserve">  </w:t>
      </w:r>
      <w:r>
        <m:rPr/>
        <w:rPr>
          <w:rFonts w:hint="default" w:ascii="Arial" w:hAnsi="Arial" w:cs="Arial"/>
          <w:i w:val="0"/>
          <w:color w:val="1F2329"/>
          <w:sz w:val="21"/>
          <w:szCs w:val="21"/>
          <w:lang w:val="en-US" w:eastAsia="zh-CN"/>
        </w:rPr>
        <w:t>→</w:t>
      </w:r>
      <m:oMath>
        <m:sSup>
          <m:sSupP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2</m:t>
            </m: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sup>
        </m:sSup>
        <m:r>
          <m:rPr/>
          <w:rPr>
            <w:rFonts w:hint="default" w:ascii="Cambria Math" w:hAnsi="Cambria Math" w:cs="Arial"/>
            <w:color w:val="1F2329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μ</m:t>
            </m:r>
            <m:ctrlPr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hAnsi="Cambria Math" w:cs="Arial"/>
          <w:i w:val="0"/>
          <w:color w:val="1F2329"/>
          <w:sz w:val="21"/>
          <w:szCs w:val="21"/>
          <w:lang w:val="en-US" w:eastAsia="zh-CN"/>
        </w:rPr>
        <w:t>（a=r圆）；</w:t>
      </w:r>
      <m:oMath>
        <m:sSup>
          <m:sSupP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2</m:t>
            </m:r>
            <m:ctrlPr>
              <w:rPr>
                <w:rFonts w:ascii="Cambria Math" w:hAnsi="Cambria Math" w:cs="Arial"/>
                <w:i/>
                <w:color w:val="1F2329"/>
                <w:sz w:val="21"/>
                <w:szCs w:val="21"/>
                <w:lang w:val="en-US"/>
              </w:rPr>
            </m:ctrlPr>
          </m:sup>
        </m:sSup>
        <m:r>
          <m:rPr/>
          <w:rPr>
            <w:rFonts w:hint="default" w:ascii="Cambria Math" w:hAnsi="Cambria Math" w:cs="Arial"/>
            <w:color w:val="1F2329"/>
            <w:sz w:val="21"/>
            <w:szCs w:val="21"/>
            <w:lang w:val="en-US" w:eastAsia="zh-CN"/>
          </w:rPr>
          <m:t>=μ·</m:t>
        </m:r>
        <m:f>
          <m:fPr>
            <m:ctrlPr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Arial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w:rPr>
                <w:rFonts w:hint="default" w:ascii="Cambria Math" w:hAnsi="Cambria Math" w:cs="Arial"/>
                <w:i/>
                <w:color w:val="1F2329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hAnsi="Cambria Math" w:cs="Arial"/>
          <w:i w:val="0"/>
          <w:color w:val="1F2329"/>
          <w:sz w:val="21"/>
          <w:szCs w:val="21"/>
          <w:lang w:val="en-US" w:eastAsia="zh-CN"/>
        </w:rPr>
        <w:t>（a=∞双曲线）</w:t>
      </w:r>
    </w:p>
    <w:p w14:paraId="2BE779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hAnsi="Cambria Math" w:cs="Arial"/>
          <w:i w:val="0"/>
          <w:color w:val="1F2329"/>
          <w:sz w:val="21"/>
          <w:szCs w:val="21"/>
          <w:lang w:val="en-US" w:eastAsia="zh-CN"/>
        </w:rPr>
      </w:pPr>
    </w:p>
    <w:p w14:paraId="4D1804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拉格朗日系数：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描述轨道上任意时刻位置和速度与初始状态的关系，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167890" cy="278130"/>
            <wp:effectExtent l="0" t="0" r="381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，满足 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953135" cy="306705"/>
            <wp:effectExtent l="0" t="0" r="1206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2F0F42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40C1D0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2C540F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361C7A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7ADC54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360D73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276C4B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44D1F2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4F9CEE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303FA2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按偏心率 e 划分的四类轨道特征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707"/>
        <w:gridCol w:w="1427"/>
        <w:gridCol w:w="1553"/>
        <w:gridCol w:w="1640"/>
        <w:gridCol w:w="2120"/>
      </w:tblGrid>
      <w:tr w14:paraId="0ED70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45860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轨道类型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4ACEE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偏心率 e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4C4B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长半轴 a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B70A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周期 T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F941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速度特性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21FB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其他核心特征</w:t>
            </w:r>
          </w:p>
        </w:tc>
      </w:tr>
      <w:tr w14:paraId="552C6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42249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圆轨道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3D4FD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e=0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6DD32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a=r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（轨道半径）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5522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drawing>
                <wp:inline distT="0" distB="0" distL="114300" distR="114300">
                  <wp:extent cx="889635" cy="364490"/>
                  <wp:effectExtent l="0" t="0" r="12065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635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700D9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速率恒定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,</w:t>
            </w:r>
            <w:r>
              <w:drawing>
                <wp:inline distT="0" distB="0" distL="114300" distR="114300">
                  <wp:extent cx="386715" cy="203835"/>
                  <wp:effectExtent l="0" t="0" r="6985" b="1206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​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0CE31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角动量 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h=av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，比机械能 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ε=−μ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/2a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（负值）</w:t>
            </w:r>
          </w:p>
        </w:tc>
      </w:tr>
      <w:tr w14:paraId="6D70B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5981F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椭圆轨道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5104A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0&lt;e&lt;1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5F9AF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a=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rp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+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ra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)/2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​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rp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近地点半径，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ra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远地点半径）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07F5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drawing>
                <wp:inline distT="0" distB="0" distL="114300" distR="114300">
                  <wp:extent cx="814705" cy="306070"/>
                  <wp:effectExtent l="0" t="0" r="10795" b="1143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705" cy="30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B486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近地点速度最大 </w:t>
            </w:r>
            <w:r>
              <w:drawing>
                <wp:inline distT="0" distB="0" distL="114300" distR="114300">
                  <wp:extent cx="627380" cy="206375"/>
                  <wp:effectExtent l="0" t="0" r="7620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380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29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远地点速度最小</w:t>
            </w:r>
            <w:r>
              <w:drawing>
                <wp:inline distT="0" distB="0" distL="114300" distR="114300">
                  <wp:extent cx="824230" cy="267970"/>
                  <wp:effectExtent l="0" t="0" r="1270" b="1143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" cy="26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​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22FB2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比机械能 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ε=−μ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/2a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​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（负值），轨道闭合</w:t>
            </w:r>
          </w:p>
        </w:tc>
      </w:tr>
      <w:tr w14:paraId="13A51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188CB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抛物线轨道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57A43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e=1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546A7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a→∞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DF0C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无（非闭合轨道）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0DAB2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任意点速度 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v=r2μ​​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（逃逸速度），到达无穷远时 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v→0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4DD00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比机械能 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ε=0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，轨道为开放曲线</w:t>
            </w:r>
          </w:p>
        </w:tc>
      </w:tr>
      <w:tr w14:paraId="26AA0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7F461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双曲线轨道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77D57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e&gt;1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8595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drawing>
                <wp:inline distT="0" distB="0" distL="114300" distR="114300">
                  <wp:extent cx="590550" cy="241300"/>
                  <wp:effectExtent l="0" t="0" r="635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（负值）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DFC4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无（非闭合轨道）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4DB00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剩余速度</w:t>
            </w:r>
            <w:r>
              <w:drawing>
                <wp:inline distT="0" distB="0" distL="114300" distR="114300">
                  <wp:extent cx="568325" cy="230505"/>
                  <wp:effectExtent l="0" t="0" r="3175" b="1079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，近地点速度 </w:t>
            </w:r>
            <w:r>
              <w:drawing>
                <wp:inline distT="0" distB="0" distL="114300" distR="114300">
                  <wp:extent cx="840740" cy="253365"/>
                  <wp:effectExtent l="0" t="0" r="10160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40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​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5F1B9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 xml:space="preserve">比机械能 </w:t>
            </w:r>
            <w:r>
              <w:drawing>
                <wp:inline distT="0" distB="0" distL="114300" distR="114300">
                  <wp:extent cx="431800" cy="251460"/>
                  <wp:effectExtent l="0" t="0" r="0" b="254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​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（正值），轨道为开放曲线，存在渐近线</w:t>
            </w:r>
          </w:p>
        </w:tc>
      </w:tr>
    </w:tbl>
    <w:p w14:paraId="0A5F5F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3 能真正逃离地球影响球的轨道</w:t>
      </w:r>
    </w:p>
    <w:p w14:paraId="11D6D0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双曲线轨道能真正逃离地球影响球，抛物线轨道不能。</w:t>
      </w:r>
    </w:p>
    <w:p w14:paraId="32CEBA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抛物线轨道的比机械能 ε=0，到达地球影响球边界时相对速度趋近于 0，无法摆脱太阳引力束缚，最终会与地球保持在同一日心轨道上，不能真正逃离地球影响范围。</w:t>
      </w:r>
    </w:p>
    <w:p w14:paraId="037436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双曲线轨道的比机械能 ε&gt;0，具有剩余速度 v∞​，到达地球影响球边界时仍有非零相对速度，能够脱离地球引力束缚，进而进入日心轨道，真正逃离地球影响球。</w:t>
      </w:r>
    </w:p>
    <w:p w14:paraId="11557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4 抛物线轨道计算例题</w:t>
      </w:r>
    </w:p>
    <w:p w14:paraId="58890B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1F2329"/>
          <w:sz w:val="16"/>
          <w:szCs w:val="16"/>
          <w:lang w:val="en-US" w:eastAsia="zh-CN"/>
        </w:rPr>
      </w:pPr>
      <w:r>
        <w:rPr>
          <w:rFonts w:hint="eastAsia"/>
          <w:color w:val="1F2329"/>
          <w:sz w:val="16"/>
          <w:szCs w:val="16"/>
          <w:lang w:val="en-US" w:eastAsia="zh-CN"/>
        </w:rPr>
        <w:t>/</w:t>
      </w:r>
    </w:p>
    <w:p w14:paraId="422D74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5 限制性三体问题的平动点相关</w:t>
      </w:r>
    </w:p>
    <w:p w14:paraId="4F36A7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稳定平动点：2 个，即 L4​ 和 L5​。</w:t>
      </w:r>
    </w:p>
    <w:p w14:paraId="011511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不稳定平动点：3 个，即 L1​、L2​、L3​。</w:t>
      </w:r>
    </w:p>
    <w:p w14:paraId="5D49A3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三角平动点：2 个，即 L4​ 和 L5​，与两个主天体构成等边三角形。</w:t>
      </w:r>
    </w:p>
    <w:p w14:paraId="396CCC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共线平动点：3 个，即 L1​（两主天体之间）、L2​（较小主天体外侧）、L3​（较大主天体外侧），均位于两主天体的连线及其延长线上。</w:t>
      </w:r>
    </w:p>
    <w:p w14:paraId="6EE0A0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两个三角平动点稳定，三个共线平动点不稳定</w:t>
      </w:r>
    </w:p>
    <w:p w14:paraId="76A224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6 本章涉及的坐标系定义</w:t>
      </w:r>
    </w:p>
    <w:p w14:paraId="295B8F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惯性坐标系（XYZ）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：原点为二体系统质心，坐标轴相对于固定恒星无平动和转动加速度，用于描述天体绝对运动。</w:t>
      </w:r>
    </w:p>
    <w:p w14:paraId="0084CE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近焦点坐标系（xˉyˉzˉ）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：原点为轨道焦点（如地心），xˉ 轴从焦点指向近地点（拱线方向），yˉ轴在轨道平面内与 xˉ 轴垂直，zˉ 轴垂直于轨道平面（与角动量矢量 h 同向），是轨道的 “自然坐标系”。</w:t>
      </w:r>
    </w:p>
    <w:p w14:paraId="2999BD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本体坐标系（xyz）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：刚性附着于物体（如航天器）上，随物体一起平移和旋转，坐标轴为体轴，与物体具有相同的角速度。</w:t>
      </w:r>
    </w:p>
    <w:p w14:paraId="3DAAC0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旋转坐标系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（用于限制性三体问题）：原点为二体系统质心，与两主天体一同旋转，x 轴指向较小主天体，y 轴位于轨道平面内，z 轴垂直于轨道平面，为非惯性坐标系，需考虑惯性力（如离心力、科里奥利力）。</w:t>
      </w:r>
    </w:p>
    <w:p w14:paraId="30F12642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0D10EB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三</w:t>
      </w:r>
    </w:p>
    <w:p w14:paraId="189C26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时间 t 和真近点角 θ 的关系</w:t>
      </w:r>
    </w:p>
    <w:p w14:paraId="060B0B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 xml:space="preserve">时间 t 与真近点角 θ 的关联核心是通过轨道类型对应的 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 xml:space="preserve">“平近点角” 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建立，不同轨道（圆、椭圆、抛物线、双曲线）的关系不同，均基于角动量守恒和积分推导：</w:t>
      </w:r>
    </w:p>
    <w:p w14:paraId="5245AA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圆轨道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（e=0）：角速度恒定，t 与 θ 呈线性关系，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639445" cy="253365"/>
            <wp:effectExtent l="0" t="0" r="825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（r 为轨道半径，μ 为引力参数），或通过周期 T 表示为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577850" cy="237490"/>
            <wp:effectExtent l="0" t="0" r="635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0234AD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椭圆轨道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（0&lt;&lt;e&lt;1）：需通过偏近点角 E 中转，先由 θ 求出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501140" cy="240665"/>
            <wp:effectExtent l="0" t="0" r="1016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，再代入平近点角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930275" cy="163195"/>
            <wp:effectExtent l="0" t="0" r="9525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，最终得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664845" cy="207645"/>
            <wp:effectExtent l="0" t="0" r="8255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（a 为长半轴）。</w:t>
      </w:r>
    </w:p>
    <w:p w14:paraId="3E0878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抛物线轨道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（e=1）：通过抛物线平近点角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475615" cy="215265"/>
            <wp:effectExtent l="0" t="0" r="698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61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（h 为角动量），结合 Barker 方程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638935" cy="318770"/>
            <wp:effectExtent l="0" t="0" r="12065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，直接关联 t 与 θ。</w:t>
      </w:r>
    </w:p>
    <w:p w14:paraId="7B1B75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双曲线轨道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（e&gt;1）：引入双曲偏近点角 F，由 θ 求出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557655" cy="285750"/>
            <wp:effectExtent l="0" t="0" r="4445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，再代入双曲线平近点角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479675" cy="275590"/>
            <wp:effectExtent l="0" t="0" r="9525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BD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开普勒方程</w:t>
      </w:r>
      <w:r>
        <w:rPr>
          <w:rFonts w:hint="eastAsia" w:ascii="黑体" w:hAnsi="黑体" w:eastAsia="黑体" w:cs="黑体"/>
          <w:color w:val="1F2329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color w:val="1F2329"/>
          <w:sz w:val="28"/>
          <w:szCs w:val="28"/>
          <w:lang w:val="en-US" w:eastAsia="zh-CN"/>
        </w:rPr>
        <w:t>似乎不考</w:t>
      </w:r>
      <w:r>
        <w:rPr>
          <w:rFonts w:hint="eastAsia" w:ascii="黑体" w:hAnsi="黑体" w:eastAsia="黑体" w:cs="黑体"/>
          <w:color w:val="1F2329"/>
          <w:sz w:val="28"/>
          <w:szCs w:val="28"/>
          <w:lang w:eastAsia="zh-CN"/>
        </w:rPr>
        <w:t>）</w:t>
      </w:r>
    </w:p>
    <w:p w14:paraId="2CF501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开普勒方程是描述轨道位置（以偏近点角表征）与时间（以平近点角表征）关系的核心方程，不同轨道类型对应不同形式，均为超越方程，需迭代求解：</w:t>
      </w:r>
    </w:p>
    <w:p w14:paraId="52CE59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椭圆轨道</w:t>
      </w:r>
    </w:p>
    <w:p w14:paraId="723ABD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4430395" cy="1195705"/>
            <wp:effectExtent l="0" t="0" r="1905" b="107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54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抛物线轨道（Barker 方程）：</w:t>
      </w:r>
    </w:p>
    <w:p w14:paraId="12BC2A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5113020" cy="1019810"/>
            <wp:effectExtent l="0" t="0" r="5080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46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双曲线轨道：</w:t>
      </w:r>
    </w:p>
    <w:p w14:paraId="33A52D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4783455" cy="1141730"/>
            <wp:effectExtent l="0" t="0" r="4445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D6041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147EA7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四</w:t>
      </w:r>
    </w:p>
    <w:p w14:paraId="6B01A6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六个轨道根数的物理意义</w:t>
      </w:r>
    </w:p>
    <w:p w14:paraId="232174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轨道根数是描述航天器三维轨道的核心参数，共六个，分别定义如下：</w:t>
      </w:r>
    </w:p>
    <w:p w14:paraId="029F7D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半长轴a：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描述轨道的大小尺度，是圆锥曲线（圆、椭圆、双曲线）的核心尺寸参数。</w:t>
      </w:r>
    </w:p>
    <w:p w14:paraId="45A317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ascii="宋体" w:hAnsi="宋体" w:eastAsia="宋体" w:cs="宋体"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偏心率e：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描述轨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道的形状偏离圆形的程度，是无量纲参数（e≥0）</w:t>
      </w:r>
    </w:p>
    <w:p w14:paraId="6D6319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轨道倾角 i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：轨道平面与地球赤道平面的二面角，取值 0°~180°，决定轨道相对于赤道平面的倾斜程度。i=0° 为赤道轨道，i=90° 为极地轨道，90°&lt;&lt;i≤180° 为逆行轨道。</w:t>
      </w:r>
    </w:p>
    <w:p w14:paraId="00C33C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升交点赤经 Ω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：春分点与轨道升交点（航天器自南向北穿越赤道平面的点）在赤道平面上的角距离，取值 0°~360°，确定轨道平面在赤道平面上的方位。</w:t>
      </w:r>
    </w:p>
    <w:p w14:paraId="7DEC63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偏心率 e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：无量纲参数，描述轨道的椭圆程度（或圆锥曲线形状），e=0 为圆轨道，0&lt;&lt;e&lt;1 为椭圆轨道，e=1 为抛物线轨道，e&gt;1 为双曲线轨道。</w:t>
      </w:r>
    </w:p>
    <w:p w14:paraId="7D2AD8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近地点幅角 ω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：轨道升交点与近地点在轨道平面内的角距离，取值 0°~360°，确定轨道近地点在轨道平面内的位置。</w:t>
      </w:r>
    </w:p>
    <w:p w14:paraId="70D3C3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平近点角M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描述航天器在轨道上的瞬时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位置与时间的关联，是联系轨道位置和时间的 “中间变量”</w:t>
      </w:r>
    </w:p>
    <w:p w14:paraId="1FFED7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赤经、赤纬的概念</w:t>
      </w:r>
    </w:p>
    <w:p w14:paraId="3841C1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赤经和赤纬是天球坐标系中的参数，用于确定天体（含航天器）在天球上的位置，基于地心赤道坐标系定义：</w:t>
      </w:r>
    </w:p>
    <w:p w14:paraId="09A129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赤经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（RA/α）：从春分点（黄道与赤道的交点，太阳春季直射赤道的位置）向东测量至天体子午线的角度，单位为度（或小时，1 小时 = 15°），取值 0°~360°（0h~24h），表征天体在赤道平面上的方位。</w:t>
      </w:r>
    </w:p>
    <w:p w14:paraId="773D92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赤纬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（Dec/δ）：从赤道平面向北或向南测量至天体的角度，单位为度，取值 - 90°~+90°，赤道以北为正，以南为负，表征天体相对于赤道平面的高低位置。</w:t>
      </w:r>
    </w:p>
    <w:p w14:paraId="3861C8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3 地球扁率对轨道根数的影响（升交点赤经、近地点幅角的变化规律）</w:t>
      </w:r>
    </w:p>
    <w:p w14:paraId="00A323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地球并非完美球体，赤道半径大于极地半径（扁率 f=0.003353），导致引力场非球形对称，引发轨道根数长期变化，核心影响如下：</w:t>
      </w:r>
    </w:p>
    <w:p w14:paraId="0557F6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升交点赤经 Ω 的变化（交点退行 / 进动）：</w:t>
      </w:r>
    </w:p>
    <w:p w14:paraId="0CFDB0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变化规律：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取决于轨道倾角 i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，顺行轨道（0°≤i&lt;90°）时，Ω 向西退行（数值减小）；逆行轨道（90°&lt;&lt;i≤180°）时，Ω 向东进动（数值增大）；极地轨道（i=90°）时，Ω 保持不变。</w:t>
      </w:r>
    </w:p>
    <w:p w14:paraId="7A3C07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关键公式：平均退行 / 进动速率 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482215" cy="299720"/>
            <wp:effectExtent l="0" t="0" r="6985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为地球第二带谱项，a 为轨道长半轴，RE​ 为地球赤道半径）。</w:t>
      </w:r>
    </w:p>
    <w:p w14:paraId="1FF56E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近地点幅角 ω 的变化（近地点前行 / 后退）：</w:t>
      </w:r>
    </w:p>
    <w:p w14:paraId="5E644A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变化规律：取决于轨道倾角 i，当 0°≤i&lt;63.4° 或 116.6°&lt;&lt;i≤180° 时，ω 沿航天器飞行方向前行（数值增大）；当 63.4°&lt;&lt;i≤116.6° 时，ω 向后退（数值减小）；i=63.4° 或 i=116.6° 为临界倾角，ω 保持不变。</w:t>
      </w:r>
    </w:p>
    <w:p w14:paraId="3F4261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关键公式：平均前行 / 后退速率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657350" cy="292100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402D3C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其他影响：地球扁率不直接改变比角动量 h、偏心率 e 和真近点角 θ 的长期平均值，仅通过轨道平面和近地点位置的变化间接影响航天器瞬时位置。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 </w:t>
      </w:r>
    </w:p>
    <w:p w14:paraId="0E5F091E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518E2F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五</w:t>
      </w:r>
    </w:p>
    <w:p w14:paraId="36E97B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吉伯斯法、兰伯特问题、高斯法的基本原理</w:t>
      </w:r>
    </w:p>
    <w:p w14:paraId="496883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吉伯斯法</w:t>
      </w:r>
    </w:p>
    <w:p w14:paraId="4169CF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核心前提：已知航天器在三个连续时刻的地心位置矢量 r1​、r2​、r3​，且三矢量共面（满足角动量守恒）。</w:t>
      </w:r>
    </w:p>
    <w:p w14:paraId="7EBDAA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核心原理：通过矢量运算推导速度矢量，利用角动量守恒和轨道共面特性，将中间时刻的位置矢量表示为另外两个位置矢量的线性组合，再结合轨道力学基本公式，求解出对应时刻的速度 v2​，进而确定轨道根数。</w:t>
      </w:r>
    </w:p>
    <w:p w14:paraId="382B6F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兰伯特问题</w:t>
      </w:r>
    </w:p>
    <w:p w14:paraId="26ABEF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核心前提：已知航天器在两个时刻的地心位置矢量 r1​、r2​ 及两时刻的时间间隔 Δt。</w:t>
      </w:r>
    </w:p>
    <w:p w14:paraId="0CE9C1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核心原理：不依赖轨道类型，通过拉格朗日系数 f、g 及其导数，建立位置与时间的关系，利用全局变量和斯达姆夫函数迭代求解，确定连接两位置的轨道，进而得到两时刻的速度 v1​、v2​。</w:t>
      </w:r>
    </w:p>
    <w:p w14:paraId="21F3A6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高斯法</w:t>
      </w:r>
    </w:p>
    <w:p w14:paraId="4AA175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核心前提：仅已知航天器在三个不同时刻的角度观测数据（经转换后的测站赤经、赤纬），无斜距和斜距变化率数据。</w:t>
      </w:r>
    </w:p>
    <w:p w14:paraId="3239BF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核心原理：假设观测时间间隔较小，对拉格朗日系数进行级数展开近似，通过矢量三角关系建立斜距与位置矢量的关联，求解八次方程得到关键轨道参数，再迭代优化提高精度，最终确定中间时刻的状态向量 r2​、v2​。</w:t>
      </w:r>
    </w:p>
    <w:p w14:paraId="007FF7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测站赤道坐标系与测站地平坐标系的用途</w:t>
      </w:r>
    </w:p>
    <w:p w14:paraId="6FBF06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测站赤道坐标系</w:t>
      </w:r>
    </w:p>
    <w:p w14:paraId="594DC6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用途：以地面观测点为原点，坐标轴与地心赤道坐标系（惯性系）坐标轴平行，用于描述航天器相对于观测点的位置，通过测站赤经和赤纬表征方向，可结合地心位置矢量推导航天器的地心状态，解决视差影响下的位置观测问题。</w:t>
      </w:r>
    </w:p>
    <w:p w14:paraId="5DE677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测站地平坐标系</w:t>
      </w:r>
    </w:p>
    <w:p w14:paraId="0FEFCF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用途：以地面观测点为原点，x 轴指向东、y 轴指向北、z 轴指向天顶（垂直于当地地平面），用于地面观测设备（如雷达、望远镜）的实测数据记录，直接获取航天器的方位角、高度角等直观观测参数，再通过坐标变换转换为惯性系下的轨道参数。</w:t>
      </w:r>
    </w:p>
    <w:p w14:paraId="16AEA6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3 太阳时、恒星时、儒略日、地方时的定义及相关问题</w:t>
      </w:r>
    </w:p>
    <w:p w14:paraId="22C199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各时间系统定义</w:t>
      </w:r>
    </w:p>
    <w:p w14:paraId="6F83AF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太阳时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：以太阳在天空中的运动为计时基准，一个太阳日是太阳返回同一子午线的时间（24 小时），反映地球自转相对于太阳的周期，分为世界时（UT，以格林威治子午线为基准）和地方太阳时。</w:t>
      </w:r>
    </w:p>
    <w:p w14:paraId="36CF6E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恒星时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：以地球相对于固定恒星的自转为计时基准，一个恒星日是恒星返回同一子午线的时间（23 小时 56 分），反映地球的绝对自转周期，分为格林威治恒星时和地方恒星时。</w:t>
      </w:r>
    </w:p>
    <w:p w14:paraId="66FC94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儒略日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：连续计数的时间系统，以公元前 4713 年 1 月 1 日正午（UT）为起点，仅计天数，无闰年、月份差异，用于计算两次天文事件的时间间隔。</w:t>
      </w:r>
    </w:p>
    <w:p w14:paraId="0A7AA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地方时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：以当地子午线为基准的时间，由世界时结合当地经度推算（东加西减时区差），反映当地的昼夜节律。</w:t>
      </w:r>
    </w:p>
    <w:p w14:paraId="14C089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关键问题</w:t>
      </w:r>
    </w:p>
    <w:p w14:paraId="24737A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以地球自转周期为计时单位的是：恒星时（基于地球绝对自转周期）和太阳时（基于地球自转相对于太阳的周期）。</w:t>
      </w:r>
    </w:p>
    <w:p w14:paraId="281016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我们现在使用的时间系统属于：太阳时系统（民用时间为太阳时的一种，全球统一使用的协调世界时（UTC）基于世界时修正而来）。</w:t>
      </w:r>
    </w:p>
    <w:p w14:paraId="40C135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4 相关坐标系与观测数据的对应关系</w:t>
      </w:r>
    </w:p>
    <w:p w14:paraId="04B5CE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高度角、方位角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的测量坐标系</w:t>
      </w:r>
    </w:p>
    <w:p w14:paraId="38867F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对应坐标系：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测站地平坐标系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2325B0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说明：方位角从正北顺时针测量，高度角从当地地平面向上测量，直接反映航天器在观测点地平视场中的位置。</w:t>
      </w:r>
    </w:p>
    <w:p w14:paraId="0FC7BB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测站赤经、赤纬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的测量坐标系</w:t>
      </w:r>
    </w:p>
    <w:p w14:paraId="703F00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对应坐标系：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测站赤道坐标系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501C6F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说明：赤经从春分点向东测量，赤纬从赤道向北 / 南测量，用于表征航天器相对于观测点的天球位置，需结合当地恒星时转换为惯性系坐标。</w:t>
      </w:r>
    </w:p>
    <w:p w14:paraId="700260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高斯法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所需角度观测组数</w:t>
      </w:r>
    </w:p>
    <w:p w14:paraId="493CEB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所需组数：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3 组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13E35E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说明：需获取三个不同时刻的角度数据（经转换为测站赤经、赤纬），通过三次观测建立 6 个独立观测方程，满足初始轨道确定的参数求解需求。</w:t>
      </w:r>
    </w:p>
    <w:p w14:paraId="70B9E52F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58FEC6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六</w:t>
      </w:r>
    </w:p>
    <w:p w14:paraId="7AEED9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  <w:lang w:val="en-US" w:eastAsia="zh-CN"/>
        </w:rPr>
        <w:t>1计算题</w:t>
      </w:r>
    </w:p>
    <w:p w14:paraId="1DB38E16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  <w:lang w:val="en-US" w:eastAsia="zh-CN"/>
        </w:rPr>
        <w:t>/</w:t>
      </w:r>
    </w:p>
    <w:p w14:paraId="30439B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P211 页三张图（双椭圆与霍曼转移关系）</w:t>
      </w:r>
    </w:p>
    <w:p w14:paraId="58E44B59">
      <w:r>
        <w:drawing>
          <wp:inline distT="0" distB="0" distL="114300" distR="114300">
            <wp:extent cx="5267325" cy="1867535"/>
            <wp:effectExtent l="0" t="0" r="3175" b="1206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B6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图 6.5 (a)：初始轨道 A 为近地点（rA</w:t>
      </w:r>
      <w:r>
        <w:rPr>
          <w:rFonts w:hint="default" w:ascii="宋体" w:hAnsi="宋体" w:eastAsia="宋体" w:cs="宋体"/>
          <w:color w:val="1F2329"/>
          <w:sz w:val="21"/>
          <w:szCs w:val="21"/>
          <w:lang w:val="en-US" w:eastAsia="zh-CN"/>
        </w:rPr>
        <w:t>’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/rA​=3）</w:t>
      </w:r>
    </w:p>
    <w:p w14:paraId="532569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关系：当目标轨道半径 rB​/rA​&lt;11.9 时，经典霍曼转移更省能；rB​/rA​&gt;15 时，双椭圆转移更优；中间区间（11.9~15）需结合远地点半径判断。</w:t>
      </w:r>
    </w:p>
    <w:p w14:paraId="7D4A2D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图 6.5 (b)：初始轨道为圆轨道（rA′​/rA​=1）</w:t>
      </w:r>
    </w:p>
    <w:p w14:paraId="7DB087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关系：目标轨道半径越大，双椭圆转移的能耗优势越明显；当 rB​/rA​&gt;11.9 时，双椭圆增量小于经典霍曼转移。</w:t>
      </w:r>
    </w:p>
    <w:p w14:paraId="085805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图 6.5 (c)：初始轨道 A 为远地点（rA′​/rA​=1/3）</w:t>
      </w:r>
    </w:p>
    <w:p w14:paraId="4FD502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关系：与图 (a) 相反，初始轨道远地点出发时，双椭圆转移在 rB​/rA​&lt;11.9 时更省能，核心原因是 “从动能最小点出发 / 终止” 降低速度增量损耗。</w:t>
      </w:r>
    </w:p>
    <w:p w14:paraId="09AC75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3 基于图像的机动方式分类及判断依据</w:t>
      </w:r>
    </w:p>
    <w:p w14:paraId="7819B4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共面机动（轨道平面重合）</w:t>
      </w:r>
    </w:p>
    <w:p w14:paraId="0BC236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判断依据：图像中轨道拱线共线、无轨道平面倾斜角，仅沿轨道平面内调整。</w:t>
      </w:r>
    </w:p>
    <w:p w14:paraId="5D48B5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经典霍曼转移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：两圆 / 椭圆轨道间的相切椭圆转移（图 6.2、图 6.4）。</w:t>
      </w:r>
    </w:p>
    <w:p w14:paraId="4FD59D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1F2329"/>
          <w:sz w:val="16"/>
          <w:szCs w:val="16"/>
        </w:rPr>
      </w:pPr>
      <w:r>
        <w:drawing>
          <wp:inline distT="0" distB="0" distL="114300" distR="114300">
            <wp:extent cx="1604645" cy="1395095"/>
            <wp:effectExtent l="0" t="0" r="8255" b="190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7645" cy="1377950"/>
            <wp:effectExtent l="0" t="0" r="8255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DE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双椭圆霍曼转移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：通过两个连续椭圆轨道实现远距离转移（图 6.7、图 6.9）。</w:t>
      </w:r>
    </w:p>
    <w:p w14:paraId="46A18F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657350" cy="1496060"/>
            <wp:effectExtent l="0" t="0" r="635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797685" cy="1615440"/>
            <wp:effectExtent l="0" t="0" r="5715" b="1016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BB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调相机动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：离开并返回同一轨道，调整航天器相位（图 6.10、图 6.11）。</w:t>
      </w:r>
    </w:p>
    <w:p w14:paraId="356F5D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748790" cy="1272540"/>
            <wp:effectExtent l="0" t="0" r="3810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670685" cy="1476375"/>
            <wp:effectExtent l="0" t="0" r="571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33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共拱线非霍曼转移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：轨道不相切但拱线共线（图 6.13）。</w:t>
      </w:r>
    </w:p>
    <w:p w14:paraId="6220B2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110740" cy="1475105"/>
            <wp:effectExtent l="0" t="0" r="10160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6E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非共面机动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（轨道平面相交）</w:t>
      </w:r>
    </w:p>
    <w:p w14:paraId="217E58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判断依据：图像中标注轨道倾角、交线，或明确轨道平面存在二面角（图 6.22、图 6.23）。</w:t>
      </w:r>
    </w:p>
    <w:p w14:paraId="7D9B96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491105" cy="1440815"/>
            <wp:effectExtent l="0" t="0" r="10795" b="69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566670" cy="1160145"/>
            <wp:effectExtent l="0" t="0" r="1143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1C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类型及示例：</w:t>
      </w:r>
    </w:p>
    <w:p w14:paraId="45166E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轨道面刚体旋转：仅改变轨道平面方位，不改变轨道形状（图 6.34）。</w:t>
      </w:r>
    </w:p>
    <w:p w14:paraId="581FE3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510665" cy="1355090"/>
            <wp:effectExtent l="0" t="0" r="635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90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面变换 + 速度调整：同步改变轨道平面和速度大小（图 6.33）。</w:t>
      </w:r>
    </w:p>
    <w:p w14:paraId="30255B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288540" cy="1534160"/>
            <wp:effectExtent l="0" t="0" r="10160" b="25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FE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拱线转动机动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（轨道平面内拱线旋转）</w:t>
      </w:r>
    </w:p>
    <w:p w14:paraId="7B8551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判断依据：图像中两轨道有公共焦点，但拱线存在夹角（图 6.17、图 6.18）。</w:t>
      </w:r>
    </w:p>
    <w:p w14:paraId="3947E4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010410" cy="1677670"/>
            <wp:effectExtent l="0" t="0" r="8890" b="1143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075815" cy="1725930"/>
            <wp:effectExtent l="0" t="0" r="6985" b="12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28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核心特征：通过脉冲机动改变拱线方向，偏心率或角动量可能保持不变（例 6.7、例 6.8）。</w:t>
      </w:r>
    </w:p>
    <w:p w14:paraId="7C3B76D3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3183DB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七</w:t>
      </w:r>
    </w:p>
    <w:p w14:paraId="37ADF1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CW 方程的前提条件</w:t>
      </w:r>
    </w:p>
    <w:p w14:paraId="1B4003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目标航天器（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主星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）运行在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圆轨道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上，角速度 Ω=n 为常量，角加速度 Ω˙=0。</w:t>
      </w:r>
    </w:p>
    <w:p w14:paraId="6EA758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追踪航天器与目标航天器的相对距离远小于目标航天器的轨道半径（δr/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≪1），可对相对运动方程进行线性化处理，忽略高阶小项。</w:t>
      </w:r>
    </w:p>
    <w:p w14:paraId="001225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运动坐标系（C-W 坐标系）固连于目标航天器，坐标轴定义为：x 轴沿目标轨道径向向外，y 轴沿当地地平方向（轨道切线方向），z 轴垂直于目标轨道平面（与角动量矢量同向）。</w:t>
      </w:r>
    </w:p>
    <w:p w14:paraId="33864E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仅考虑地球引力作用，忽略其他摄动因素（如大气阻力、太阳引力等）。</w:t>
      </w:r>
    </w:p>
    <w:p w14:paraId="63EE02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主星的轨道类型</w:t>
      </w:r>
    </w:p>
    <w:p w14:paraId="7DBA01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主星（目标航天器）的轨道为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圆轨道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，其平均角速度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690880" cy="257810"/>
            <wp:effectExtent l="0" t="0" r="7620" b="889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（μ 为地球引力参数，r0​ 为主星轨道半径），轨道速度大小恒定，无径向速度分量。</w:t>
      </w:r>
    </w:p>
    <w:p w14:paraId="361461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3 相对距离和主星轨道半径的关系</w:t>
      </w:r>
    </w:p>
    <w:p w14:paraId="5E6BBF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追踪航天器与主星的相对距离 δr 远小于主星的轨道半径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，即 δr≪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（通常满足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δr/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≪1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）。该关系是线性化相对运动方程的核心依据，确保可忽略相对位置矢量高阶项，使 CW 方程为线性常系数微分方程，简化求解。</w:t>
      </w:r>
    </w:p>
    <w:p w14:paraId="100029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4 CW 方程系数矩阵的表达式</w:t>
      </w:r>
    </w:p>
    <w:p w14:paraId="1102B6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CW 方程的矩阵形式为：各系数矩阵（n 为主星平均角速度）：</w:t>
      </w:r>
    </w:p>
    <w:p w14:paraId="45D22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3402965" cy="278765"/>
            <wp:effectExtent l="0" t="0" r="635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FD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位置 - 位置矩阵</w:t>
      </w:r>
    </w:p>
    <w:p w14:paraId="105BDA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567305" cy="775335"/>
            <wp:effectExtent l="0" t="0" r="10795" b="1206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​</w:t>
      </w:r>
    </w:p>
    <w:p w14:paraId="1514AA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 xml:space="preserve">位置 - 速度矩阵 </w:t>
      </w:r>
    </w:p>
    <w:p w14:paraId="73A6AB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900680" cy="777875"/>
            <wp:effectExtent l="0" t="0" r="762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​​</w:t>
      </w:r>
    </w:p>
    <w:p w14:paraId="23A68B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 xml:space="preserve">速度 - 位置矩阵 </w:t>
      </w:r>
    </w:p>
    <w:p w14:paraId="7E3018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767330" cy="753745"/>
            <wp:effectExtent l="0" t="0" r="1270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8E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 xml:space="preserve">速度 - 速度矩阵 </w:t>
      </w:r>
    </w:p>
    <w:p w14:paraId="20287F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2759710" cy="707390"/>
            <wp:effectExtent l="0" t="0" r="8890" b="38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CE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5 脉冲机动的终点、终点速度及初始速度计算</w:t>
      </w:r>
    </w:p>
    <w:p w14:paraId="652E83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脉冲机动的核心目标是让追踪航天器在指定时刻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与主星交会（终点相对位置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561975" cy="200025"/>
            <wp:effectExtent l="0" t="0" r="9525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），需通过双脉冲实现，计算步骤如下：</w:t>
      </w:r>
    </w:p>
    <w:p w14:paraId="340849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（1）确定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终点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条件</w:t>
      </w:r>
    </w:p>
    <w:p w14:paraId="73A54B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终点时刻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已知，要求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664210" cy="236220"/>
            <wp:effectExtent l="0" t="0" r="8890" b="508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（交会于主星），终点相对速度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779780" cy="226695"/>
            <wp:effectExtent l="0" t="0" r="7620" b="190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（相对主星静止）。</w:t>
      </w:r>
    </w:p>
    <w:p w14:paraId="142045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（2）计算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初始机动速度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δv0+​</w:t>
      </w:r>
    </w:p>
    <w:p w14:paraId="69AC2A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由终点位置条件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891665" cy="281305"/>
            <wp:effectExtent l="0" t="0" r="635" b="1079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，解出初始机动后的相对速度：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833880" cy="295910"/>
            <wp:effectExtent l="0" t="0" r="7620" b="889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其中δr0为机动前追踪航天器相对于主星的初始位置，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157605" cy="232410"/>
            <wp:effectExtent l="0" t="0" r="10795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 xml:space="preserve"> 的逆矩阵。</w:t>
      </w:r>
    </w:p>
    <w:p w14:paraId="46C3C9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（3）计算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终点机动前速度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528320" cy="219075"/>
            <wp:effectExtent l="0" t="0" r="5080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99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将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δv0+</w:t>
      </w:r>
      <w:r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  <w:t>代入速度矩阵方程，得到终点时刻交会前的相对速度：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3034665" cy="320675"/>
            <wp:effectExtent l="0" t="0" r="635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B0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（4）计算两次脉冲的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速度增量</w:t>
      </w:r>
    </w:p>
    <w:p w14:paraId="5202A1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初始脉冲增量：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270635" cy="257175"/>
            <wp:effectExtent l="0" t="0" r="12065" b="952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（δv0−为机动前初始相对速度）。</w:t>
      </w:r>
    </w:p>
    <w:p w14:paraId="537910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终点脉冲增量：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294765" cy="315595"/>
            <wp:effectExtent l="0" t="0" r="635" b="190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（使追踪航天器相对主星静止）。</w:t>
      </w:r>
    </w:p>
    <w:p w14:paraId="0974FE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总速度增量：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812925" cy="299720"/>
            <wp:effectExtent l="0" t="0" r="3175" b="508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745D">
      <w:pP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br w:type="page"/>
      </w:r>
    </w:p>
    <w:p w14:paraId="699A3C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32"/>
          <w:szCs w:val="32"/>
          <w:lang w:val="en-US" w:eastAsia="zh-CN"/>
        </w:rPr>
        <w:t>八</w:t>
      </w:r>
    </w:p>
    <w:p w14:paraId="46E7C6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1 第八章核心基本概念</w:t>
      </w:r>
    </w:p>
    <w:p w14:paraId="0B7234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影响球（SOI）</w:t>
      </w:r>
    </w:p>
    <w:p w14:paraId="44A055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行星引力场对航天器起主导作用的空间范围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，超出该范围后太阳引力占主导。</w:t>
      </w:r>
    </w:p>
    <w:p w14:paraId="45700A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计算依据：基于行星与太阳的质量比及行星轨道半径，公式为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878205" cy="313690"/>
            <wp:effectExtent l="0" t="0" r="10795" b="381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（R 为行星轨道半径，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m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p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为行星质量，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m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s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为太阳质量）。</w:t>
      </w:r>
    </w:p>
    <w:p w14:paraId="088E21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意义：行星际轨道设计中，航天器在影响球内按行星中心轨道计算，外部按日心轨道计算，即 “圆锥曲线拼接法” 的核心边界。</w:t>
      </w:r>
    </w:p>
    <w:p w14:paraId="5EE897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交会窗口</w:t>
      </w:r>
    </w:p>
    <w:p w14:paraId="4B1EDD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使航天器经转移轨道与目标行星相遇的发射时间区间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，由行星相对位置决定。</w:t>
      </w:r>
    </w:p>
    <w:p w14:paraId="68C335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核心逻辑：航天器飞行时间内，目标行星需运行至转移轨道终点，需提前规划初始相位角。</w:t>
      </w:r>
    </w:p>
    <w:p w14:paraId="25957E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示例：地球到火星的交会窗口每约 2.13 年出现一次，与两行星会合周期一致。</w:t>
      </w:r>
    </w:p>
    <w:p w14:paraId="344743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会合周期（</w:t>
      </w:r>
      <m:oMath>
        <m:sSub>
          <m:sSubPr>
            <m:ctrlPr>
              <w:rPr>
                <w:rFonts w:hint="eastAsia" w:ascii="Cambria Math" w:hAnsi="Cambria Math" w:eastAsia="宋体" w:cs="宋体"/>
                <w:b/>
                <w:bCs/>
                <w:color w:val="1F2329"/>
                <w:sz w:val="21"/>
                <w:szCs w:val="21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b/>
                <w:bCs/>
                <w:color w:val="1F2329"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syn</m:t>
            </m:r>
            <m:ctrlPr>
              <w:rPr>
                <w:rFonts w:hint="eastAsia" w:ascii="Cambria Math" w:hAnsi="Cambria Math" w:eastAsia="宋体" w:cs="宋体"/>
                <w:b/>
                <w:bCs/>
                <w:color w:val="1F2329"/>
                <w:sz w:val="21"/>
                <w:szCs w:val="21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）</w:t>
      </w:r>
    </w:p>
    <w:p w14:paraId="72BB68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两行星相对太阳回到同一相对位置的时间间隔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1DA36C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计算公式：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739140" cy="293370"/>
            <wp:effectExtent l="0" t="0" r="10160" b="1143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（T1​、T2​ 分别为两行星轨道周期）。</w:t>
      </w:r>
    </w:p>
    <w:p w14:paraId="12D307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示例：地球（T1​=365.26d）与火星（T2​=687.99d）的会合周期约为 777.9 天。</w:t>
      </w:r>
    </w:p>
    <w:p w14:paraId="766130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圆锥曲线拼接法</w:t>
      </w:r>
    </w:p>
    <w:p w14:paraId="460D5F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定义：将行星际轨道分为三段：出发行星的双曲线出发轨道、日心巡航轨道、目标行星的双曲线到达轨道，分段计算后拼接。</w:t>
      </w:r>
    </w:p>
    <w:p w14:paraId="6BA11C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依据：行星影响球相对于太阳系尺度极小，可近似为点，三段轨道在影响球边界速度匹配。</w:t>
      </w:r>
    </w:p>
    <w:p w14:paraId="10A379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剩余速度（v∞​）</w:t>
      </w:r>
    </w:p>
    <w:p w14:paraId="500233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航天器在行星影响球边界相对于行星的速度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，是连接日心轨道与行星中心轨道的关键参数。</w:t>
      </w:r>
    </w:p>
    <w:p w14:paraId="565621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计算：出发时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125220" cy="222250"/>
            <wp:effectExtent l="0" t="0" r="5080" b="635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，到达时 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drawing>
          <wp:inline distT="0" distB="0" distL="114300" distR="114300">
            <wp:extent cx="1093470" cy="243205"/>
            <wp:effectExtent l="0" t="0" r="11430" b="1079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2329"/>
          <w:sz w:val="21"/>
          <w:szCs w:val="21"/>
        </w:rPr>
        <w:t>（</w:t>
      </w:r>
      <m:oMath>
        <m:sSubSup>
          <m:sSubSup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(v)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color w:val="1F2329"/>
            <w:sz w:val="21"/>
            <w:szCs w:val="21"/>
            <w:lang w:eastAsia="zh-CN"/>
          </w:rPr>
          <m:t>、</m:t>
        </m:r>
        <m:sSubSup>
          <m:sSubSup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A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(v)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sup>
        </m:sSubSup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为航天器日心速度，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p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1F2329"/>
            <w:sz w:val="21"/>
            <w:szCs w:val="21"/>
            <w:lang w:eastAsia="zh-CN"/>
          </w:rPr>
          <m:t>、</m:t>
        </m:r>
        <m:sSub>
          <m:sSubP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2329"/>
                <w:sz w:val="21"/>
                <w:szCs w:val="21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color w:val="1F2329"/>
                <w:sz w:val="21"/>
                <w:szCs w:val="21"/>
                <w:lang w:eastAsia="zh-CN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1"/>
          <w:szCs w:val="21"/>
        </w:rPr>
        <w:t>为行星日心速度）。</w:t>
      </w:r>
    </w:p>
    <w:p w14:paraId="476FF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2 计算例题</w:t>
      </w:r>
    </w:p>
    <w:p w14:paraId="308D7A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eastAsiaTheme="minorEastAsia"/>
          <w:color w:val="1F2329"/>
          <w:sz w:val="16"/>
          <w:szCs w:val="16"/>
          <w:lang w:val="en-US" w:eastAsia="zh-CN"/>
        </w:rPr>
      </w:pPr>
      <w:r>
        <w:rPr>
          <w:rFonts w:hint="eastAsia"/>
          <w:color w:val="1F2329"/>
          <w:sz w:val="16"/>
          <w:szCs w:val="16"/>
          <w:lang w:val="en-US" w:eastAsia="zh-CN"/>
        </w:rPr>
        <w:t>/</w:t>
      </w:r>
    </w:p>
    <w:p w14:paraId="5626AB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1F2329"/>
          <w:sz w:val="28"/>
          <w:szCs w:val="28"/>
        </w:rPr>
      </w:pPr>
      <w:r>
        <w:rPr>
          <w:rFonts w:hint="eastAsia" w:ascii="黑体" w:hAnsi="黑体" w:eastAsia="黑体" w:cs="黑体"/>
          <w:color w:val="1F2329"/>
          <w:sz w:val="28"/>
          <w:szCs w:val="28"/>
        </w:rPr>
        <w:t>3 前侧飞越与后侧飞越的加速 / 减速特性</w:t>
      </w:r>
    </w:p>
    <w:p w14:paraId="6D06AF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前侧飞越</w:t>
      </w:r>
    </w:p>
    <w:p w14:paraId="6A04EB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定义：航天器从目标行星运动方向的前方穿越影响球，近地点位于行星 “向阳侧”（面向太阳一侧）。</w:t>
      </w:r>
    </w:p>
    <w:p w14:paraId="551A5B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速度变化：航天器日心速度 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减速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1E4C75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原理：行星引力对航天器产生向后的拖拽力，导致日心速度矢量旋转角度为正（逆时针），切向速度分量减小。</w:t>
      </w:r>
    </w:p>
    <w:p w14:paraId="46F21B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  <w:lang w:val="en-US" w:eastAsia="zh-CN"/>
        </w:rPr>
        <w:t>后侧飞越</w:t>
      </w:r>
    </w:p>
    <w:p w14:paraId="1F3BCB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定义：航天器从目标行星运动方向的后方穿越影响球，近地点位于行星 “背阴侧”（背离太阳一侧）。</w:t>
      </w:r>
    </w:p>
    <w:p w14:paraId="5C2A10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 xml:space="preserve">速度变化：航天器日心速度 </w:t>
      </w: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加速</w:t>
      </w:r>
      <w:r>
        <w:rPr>
          <w:rFonts w:hint="eastAsia" w:ascii="宋体" w:hAnsi="宋体" w:eastAsia="宋体" w:cs="宋体"/>
          <w:color w:val="1F2329"/>
          <w:sz w:val="21"/>
          <w:szCs w:val="21"/>
        </w:rPr>
        <w:t>。</w:t>
      </w:r>
    </w:p>
    <w:p w14:paraId="249970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原理：行星引力对航天器产生向前的拉力，导致日心速度矢量旋转角度为负（顺时针），切向速度分量增大。</w:t>
      </w:r>
    </w:p>
    <w:p w14:paraId="43C410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  <w:lang w:val="en-US" w:eastAsia="zh-CN"/>
        </w:rPr>
      </w:pPr>
    </w:p>
    <w:p w14:paraId="6ED56D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ascii="宋体" w:hAnsi="宋体" w:eastAsia="宋体" w:cs="宋体"/>
          <w:color w:val="1F2329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F66FE"/>
    <w:rsid w:val="09764777"/>
    <w:rsid w:val="09CA72D3"/>
    <w:rsid w:val="1B466844"/>
    <w:rsid w:val="1BE94542"/>
    <w:rsid w:val="1E7B2E90"/>
    <w:rsid w:val="210208ED"/>
    <w:rsid w:val="22E627C6"/>
    <w:rsid w:val="2519014B"/>
    <w:rsid w:val="32604DB1"/>
    <w:rsid w:val="33934969"/>
    <w:rsid w:val="376E097B"/>
    <w:rsid w:val="42F369C5"/>
    <w:rsid w:val="480E084A"/>
    <w:rsid w:val="4E73670C"/>
    <w:rsid w:val="4F837F8C"/>
    <w:rsid w:val="528B51D5"/>
    <w:rsid w:val="52F025F2"/>
    <w:rsid w:val="574B4BD5"/>
    <w:rsid w:val="5CDF354A"/>
    <w:rsid w:val="5E334899"/>
    <w:rsid w:val="6813317C"/>
    <w:rsid w:val="6B4814CB"/>
    <w:rsid w:val="74CA00C4"/>
    <w:rsid w:val="78B77B45"/>
    <w:rsid w:val="7BA96604"/>
    <w:rsid w:val="7F70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4" Type="http://schemas.openxmlformats.org/officeDocument/2006/relationships/fontTable" Target="fontTable.xml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690</Words>
  <Characters>695</Characters>
  <Lines>0</Lines>
  <Paragraphs>0</Paragraphs>
  <TotalTime>325</TotalTime>
  <ScaleCrop>false</ScaleCrop>
  <LinksUpToDate>false</LinksUpToDate>
  <CharactersWithSpaces>706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2026-01-05T12:22:00Z</dcterms:created>
  <dc:creator>chenran1</dc:creator>
  <cp:lastModifiedBy>陈悦</cp:lastModifiedBy>
  <dcterms:modified xsi:type="dcterms:W3CDTF">2026-01-06T09:03:18Z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eyJoZGlkIjoiNTlhY2E0OGVlOWU4ZjFmNWI1MGY1OTJlYjE1MzNlOTUiLCJ1c2VySWQiOiIzNDg4NzE0NjMifQ==</vt:lpwstr>
  </property>
  <property fmtid="{D5CDD505-2E9C-101B-9397-08002B2CF9AE}" pid="4" name="ICV">
    <vt:lpwstr>7065924D80E54E2FA563A71DB97CF938_12</vt:lpwstr>
  </property>
</Properties>
</file>