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0735D" w14:textId="2741D9ED" w:rsidR="00327C71" w:rsidRDefault="00D67CF0">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ERGo</w:t>
      </w:r>
      <w:proofErr w:type="spellEnd"/>
      <w:r>
        <w:rPr>
          <w:rFonts w:ascii="Calibri" w:eastAsia="Calibri" w:hAnsi="Calibri" w:cs="Calibri"/>
        </w:rPr>
        <w:t xml:space="preserve"> system is low-cost and species-agnostic, and, if disseminated as a citizen science initiative, presents an opportunity to shed light on broad patterns in</w:t>
      </w:r>
      <w:r w:rsidR="00DB31EA">
        <w:rPr>
          <w:rFonts w:ascii="Calibri" w:eastAsia="Calibri" w:hAnsi="Calibri" w:cs="Calibri"/>
        </w:rPr>
        <w:t xml:space="preserve"> insect</w:t>
      </w:r>
      <w:r>
        <w:rPr>
          <w:rFonts w:ascii="Calibri" w:eastAsia="Calibri" w:hAnsi="Calibri" w:cs="Calibri"/>
        </w:rPr>
        <w:t xml:space="preserve"> visual ecology. However, the current system only leverages one test: the critical flicker fusion frequency test (CFF), which measures the retina's limit for distinguishing increasingly high-frequency flashes in time before the flashing resolves as a single steady light presentation.</w:t>
      </w:r>
      <w:r w:rsidR="00FE46BD">
        <w:rPr>
          <w:rFonts w:ascii="Calibri" w:eastAsia="Calibri" w:hAnsi="Calibri" w:cs="Calibri"/>
        </w:rPr>
        <w:t xml:space="preserve"> By analyzing responses to low frequencies, the CFF test allows for the extraction of important metrics, including on-transients, off-transients and holding potentials </w:t>
      </w:r>
      <w:r w:rsidR="00FE46BD">
        <w:rPr>
          <w:rFonts w:ascii="Calibri" w:eastAsia="Calibri" w:hAnsi="Calibri" w:cs="Calibri"/>
        </w:rPr>
        <w:fldChar w:fldCharType="begin" w:fldLock="1"/>
      </w:r>
      <w:r w:rsidR="00FE46BD">
        <w:rPr>
          <w:rFonts w:ascii="Calibri" w:eastAsia="Calibri" w:hAnsi="Calibri" w:cs="Calibri"/>
        </w:rPr>
        <w:instrText>ADDIN CSL_CITATION {"citationItems":[{"id":"ITEM-1","itemData":{"ISSN":"1544-2896","PMID":"26240534","abstract":"Students learn best when projects are multidisciplinary, hands-on, and provide ample opportunity for self-driven investigation. We present a teaching unit that leads students to explore relationships between sensory function and ecology. Field studies, which are rare in neurobiology education, are combined with laboratory experiments that assess visual properties of insect eyes, using electroretinography (ERG). Comprised of nearly one million species, insects are a diverse group of animals, living in nearly all habitats and ecological niches. Each of these lifestyles puts different demands on their visual systems, and accordingly, insects display a wide array of eye organizations and specializations. Physiologically relevant differences can be measured using relatively simple extracellular electrophysiological methods that can be carried out with standard equipment, much of which is already in place in most physiology laboratories. The teaching unit takes advantage of the large pool of locally available species, some of which likely show specialized visual properties that can be measured by students. In the course of the experiments, students collect local insects or other arthropods of their choice, are guided to formulate hypotheses about how the visual system of \"their\" insects might be tuned to the lifestyle of the species, and use ERGs to investigate the insects' visual response dynamics, and both chromatic and temporal properties of the visual system. Students are then guided to interpret their results in both a comparative physiological and ecological context. This set of experiments closely mirrors authentic research and has proven to be a popular, informative and highly engaging teaching tool.","author":[{"dropping-particle":"","family":"Stowasser","given":"Annette","non-dropping-particle":"","parse-names":false,"suffix":""},{"dropping-particle":"","family":"Mohr","given":"Sarah","non-dropping-particle":"","parse-names":false,"suffix":""},{"dropping-particle":"","family":"Buschbeck","given":"Elke","non-dropping-particle":"","parse-names":false,"suffix":""},{"dropping-particle":"","family":"Vilinsky","given":"Ilya","non-dropping-particle":"","parse-names":false,"suffix":""}],"container-title":"Journal of undergraduate neuroscience education","id":"ITEM-1","issue":"3","issued":{"date-parts":[["2015"]]},"note":"Read second","page":"A234-A243","title":"Electrophysiology Meets Ecology: Investigating How Vision is Tuned to the Life Style of an Animal using Electroretinography.","type":"article-journal","volume":"13"},"uris":["http://www.mendeley.com/documents/?uuid=6ebea336-9e05-331b-b72a-b83d26e3b850"]}],"mendeley":{"formattedCitation":"(Stowasser, Mohr, Buschbeck, &amp; Vilinsky, 2015)","plainTextFormattedCitation":"(Stowasser, Mohr, Buschbeck, &amp; Vilinsky, 2015)","previouslyFormattedCitation":"(Stowasser, Mohr, Buschbeck, &amp; Vilinsky, 2015)"},"properties":{"noteIndex":0},"schema":"https://github.com/citation-style-language/schema/raw/master/csl-citation.json"}</w:instrText>
      </w:r>
      <w:r w:rsidR="00FE46BD">
        <w:rPr>
          <w:rFonts w:ascii="Calibri" w:eastAsia="Calibri" w:hAnsi="Calibri" w:cs="Calibri"/>
        </w:rPr>
        <w:fldChar w:fldCharType="separate"/>
      </w:r>
      <w:r w:rsidR="00FE46BD" w:rsidRPr="00FE46BD">
        <w:rPr>
          <w:rFonts w:ascii="Calibri" w:eastAsia="Calibri" w:hAnsi="Calibri" w:cs="Calibri"/>
          <w:noProof/>
        </w:rPr>
        <w:t>(Stowasser, Mohr, Buschbeck, &amp; Vilinsky, 2015)</w:t>
      </w:r>
      <w:r w:rsidR="00FE46BD">
        <w:rPr>
          <w:rFonts w:ascii="Calibri" w:eastAsia="Calibri" w:hAnsi="Calibri" w:cs="Calibri"/>
        </w:rPr>
        <w:fldChar w:fldCharType="end"/>
      </w:r>
      <w:r w:rsidR="00FE46BD">
        <w:rPr>
          <w:rFonts w:ascii="Calibri" w:eastAsia="Calibri" w:hAnsi="Calibri" w:cs="Calibri"/>
        </w:rPr>
        <w:t>.</w:t>
      </w:r>
      <w:r>
        <w:rPr>
          <w:rFonts w:ascii="Calibri" w:eastAsia="Calibri" w:hAnsi="Calibri" w:cs="Calibri"/>
        </w:rPr>
        <w:t xml:space="preserve"> While CFF is a useful tool to understand trade-offs between spatial and temporal resolution, the </w:t>
      </w:r>
      <w:proofErr w:type="spellStart"/>
      <w:r>
        <w:rPr>
          <w:rFonts w:ascii="Calibri" w:eastAsia="Calibri" w:hAnsi="Calibri" w:cs="Calibri"/>
        </w:rPr>
        <w:t>ERGo</w:t>
      </w:r>
      <w:proofErr w:type="spellEnd"/>
      <w:r>
        <w:rPr>
          <w:rFonts w:ascii="Calibri" w:eastAsia="Calibri" w:hAnsi="Calibri" w:cs="Calibri"/>
        </w:rPr>
        <w:t xml:space="preserve"> platform is currently unprepared to equip citizen scientists with tools </w:t>
      </w:r>
      <w:r w:rsidR="00DB31EA">
        <w:rPr>
          <w:rFonts w:ascii="Calibri" w:eastAsia="Calibri" w:hAnsi="Calibri" w:cs="Calibri"/>
        </w:rPr>
        <w:t xml:space="preserve">to </w:t>
      </w:r>
      <w:r>
        <w:rPr>
          <w:rFonts w:ascii="Calibri" w:eastAsia="Calibri" w:hAnsi="Calibri" w:cs="Calibri"/>
        </w:rPr>
        <w:t xml:space="preserve">investigate visual ecology </w:t>
      </w:r>
      <w:r w:rsidR="00DB31EA">
        <w:rPr>
          <w:rFonts w:ascii="Calibri" w:eastAsia="Calibri" w:hAnsi="Calibri" w:cs="Calibri"/>
        </w:rPr>
        <w:t xml:space="preserve">beyond a single metric. To widen the aperture of this investigation, I suggest </w:t>
      </w:r>
      <w:r w:rsidR="00615CAC">
        <w:rPr>
          <w:rFonts w:ascii="Calibri" w:eastAsia="Calibri" w:hAnsi="Calibri" w:cs="Calibri"/>
        </w:rPr>
        <w:t xml:space="preserve">an </w:t>
      </w:r>
      <w:r w:rsidR="00DB31EA">
        <w:rPr>
          <w:rFonts w:ascii="Calibri" w:eastAsia="Calibri" w:hAnsi="Calibri" w:cs="Calibri"/>
        </w:rPr>
        <w:t>additional test</w:t>
      </w:r>
      <w:r w:rsidR="00615CAC">
        <w:rPr>
          <w:rFonts w:ascii="Calibri" w:eastAsia="Calibri" w:hAnsi="Calibri" w:cs="Calibri"/>
        </w:rPr>
        <w:t xml:space="preserve"> for getting </w:t>
      </w:r>
      <w:r w:rsidR="00DB31EA">
        <w:rPr>
          <w:rFonts w:ascii="Calibri" w:eastAsia="Calibri" w:hAnsi="Calibri" w:cs="Calibri"/>
        </w:rPr>
        <w:t>response curves</w:t>
      </w:r>
      <w:r w:rsidR="00615CAC">
        <w:rPr>
          <w:rFonts w:ascii="Calibri" w:eastAsia="Calibri" w:hAnsi="Calibri" w:cs="Calibri"/>
        </w:rPr>
        <w:t xml:space="preserve"> to each color in light/dark-adapted preparations</w:t>
      </w:r>
      <w:r w:rsidR="00DB31EA">
        <w:rPr>
          <w:rFonts w:ascii="Calibri" w:eastAsia="Calibri" w:hAnsi="Calibri" w:cs="Calibri"/>
        </w:rPr>
        <w:t>.</w:t>
      </w:r>
      <w:r w:rsidR="005D18C8">
        <w:rPr>
          <w:rFonts w:ascii="Calibri" w:eastAsia="Calibri" w:hAnsi="Calibri" w:cs="Calibri"/>
        </w:rPr>
        <w:t xml:space="preserve"> The “Purkinje shift” in spectral sensitivity has been described in many organisms, including flies </w:t>
      </w:r>
      <w:r w:rsidR="005D18C8">
        <w:rPr>
          <w:rFonts w:ascii="Calibri" w:eastAsia="Calibri" w:hAnsi="Calibri" w:cs="Calibri"/>
        </w:rPr>
        <w:fldChar w:fldCharType="begin" w:fldLock="1"/>
      </w:r>
      <w:r w:rsidR="007C71BA">
        <w:rPr>
          <w:rFonts w:ascii="Calibri" w:eastAsia="Calibri" w:hAnsi="Calibri" w:cs="Calibri"/>
        </w:rPr>
        <w:instrText>ADDIN CSL_CITATION {"citationItems":[{"id":"ITEM-1","itemData":{"author":[{"dropping-particle":"","family":"Fingerman","given":"Milton","non-dropping-particle":"","parse-names":false,"suffix":""},{"dropping-particle":"","family":"Brown","given":"Frank A","non-dropping-particle":"","parse-names":false,"suffix":""}],"id":"ITEM-1","issued":{"date-parts":[["1952"]]},"title":"A \" Purkinje Shift \" in Insect Vision The Protective Effect of Glutathione against Radiation-induced- Chromosome Aberrations1","type":"article-journal"},"uris":["http://www.mendeley.com/documents/?uuid=cada8c76-1409-4856-a87e-17b1a5f10f2a"]}],"mendeley":{"formattedCitation":"(Fingerman &amp; Brown, 1952)","plainTextFormattedCitation":"(Fingerman &amp; Brown, 1952)","previouslyFormattedCitation":"(Fingerman &amp; Brown, 1952)"},"properties":{"noteIndex":0},"schema":"https://github.com/citation-style-language/schema/raw/master/csl-citation.json"}</w:instrText>
      </w:r>
      <w:r w:rsidR="005D18C8">
        <w:rPr>
          <w:rFonts w:ascii="Calibri" w:eastAsia="Calibri" w:hAnsi="Calibri" w:cs="Calibri"/>
        </w:rPr>
        <w:fldChar w:fldCharType="separate"/>
      </w:r>
      <w:r w:rsidR="005D18C8" w:rsidRPr="005D18C8">
        <w:rPr>
          <w:rFonts w:ascii="Calibri" w:eastAsia="Calibri" w:hAnsi="Calibri" w:cs="Calibri"/>
          <w:noProof/>
        </w:rPr>
        <w:t>(Fingerman &amp; Brown, 1952)</w:t>
      </w:r>
      <w:r w:rsidR="005D18C8">
        <w:rPr>
          <w:rFonts w:ascii="Calibri" w:eastAsia="Calibri" w:hAnsi="Calibri" w:cs="Calibri"/>
        </w:rPr>
        <w:fldChar w:fldCharType="end"/>
      </w:r>
      <w:r w:rsidR="005D18C8">
        <w:rPr>
          <w:rFonts w:ascii="Calibri" w:eastAsia="Calibri" w:hAnsi="Calibri" w:cs="Calibri"/>
        </w:rPr>
        <w:t>.</w:t>
      </w:r>
      <w:r w:rsidR="00FE46BD">
        <w:rPr>
          <w:rFonts w:ascii="Calibri" w:eastAsia="Calibri" w:hAnsi="Calibri" w:cs="Calibri"/>
        </w:rPr>
        <w:t xml:space="preserve"> Light/dark adaptation is an ecologically relevant </w:t>
      </w:r>
      <w:r w:rsidR="00E87506">
        <w:rPr>
          <w:rFonts w:ascii="Calibri" w:eastAsia="Calibri" w:hAnsi="Calibri" w:cs="Calibri"/>
        </w:rPr>
        <w:t xml:space="preserve">paradigm for considering insect vision, as </w:t>
      </w:r>
      <w:r w:rsidR="005D18C8">
        <w:rPr>
          <w:rFonts w:ascii="Calibri" w:eastAsia="Calibri" w:hAnsi="Calibri" w:cs="Calibri"/>
        </w:rPr>
        <w:t>animals</w:t>
      </w:r>
      <w:r w:rsidR="00E87506">
        <w:rPr>
          <w:rFonts w:ascii="Calibri" w:eastAsia="Calibri" w:hAnsi="Calibri" w:cs="Calibri"/>
        </w:rPr>
        <w:t xml:space="preserve"> often need to transition between dim and bright environments and therefore need to adjust their strategy for vision. Changes in visual perception strategy occur </w:t>
      </w:r>
      <w:r w:rsidR="00AE0E85">
        <w:rPr>
          <w:rFonts w:ascii="Calibri" w:eastAsia="Calibri" w:hAnsi="Calibri" w:cs="Calibri"/>
        </w:rPr>
        <w:t xml:space="preserve">retina of </w:t>
      </w:r>
      <w:r w:rsidR="007C71BA">
        <w:rPr>
          <w:rFonts w:ascii="Calibri" w:eastAsia="Calibri" w:hAnsi="Calibri" w:cs="Calibri"/>
        </w:rPr>
        <w:t>cockroaches</w:t>
      </w:r>
      <w:r w:rsidR="00AE0E85">
        <w:rPr>
          <w:rFonts w:ascii="Calibri" w:eastAsia="Calibri" w:hAnsi="Calibri" w:cs="Calibri"/>
        </w:rPr>
        <w:t xml:space="preserve"> </w:t>
      </w:r>
      <w:r w:rsidR="00AE0E85">
        <w:rPr>
          <w:rFonts w:ascii="Calibri" w:eastAsia="Calibri" w:hAnsi="Calibri" w:cs="Calibri"/>
        </w:rPr>
        <w:fldChar w:fldCharType="begin" w:fldLock="1"/>
      </w:r>
      <w:r w:rsidR="00AE0E85">
        <w:rPr>
          <w:rFonts w:ascii="Calibri" w:eastAsia="Calibri" w:hAnsi="Calibri" w:cs="Calibri"/>
        </w:rPr>
        <w:instrText>ADDIN CSL_CITATION {"citationItems":[{"id":"ITEM-1","itemData":{"DOI":"10.1152/jn.00588.2012","ISSN":"0022-3077","abstract":"In dim light, scarcity of photons typically leads to poor vision. Nonetheless, many animals show visually guided behavior with dim environments. We investigated the signaling properties of photoreceptors of the dark active cockroach (Periplaneta americana) using intracellular and whole-cell patch-clamp recordings to determine whether they show selective functional adaptations to dark. Expectedly, darkadapted photoreceptors generated large and slow responses to single photons. However, when light adapted, responses of both phototransduction and the nontransductive membrane to white noise (WN)- modulated stimuli remained slow with corner frequencies ~20 Hz. This promotes temporal integration of light inputs and maintains high sensitivity of vision. Adaptive changes in dynamics were limited to dim conditions. Characteristically, both step and frequency responses stayed effectively unchanged for intensities ~1,000 photons/s/photoreceptor. A signal-to-noise ratio (SNR) of the light responses was transiently higher at frequencies &lt;5 Hz for ~5 s after light onset but deteriorated to a lower value upon longer stimulation. Naturalistic light stimuli, as opposed to WN, evoked markedly larger responses with higher SNRs at low frequencies. This allowed realistic estimates of information transfer rates, which saturated at ~100 bits/s at low-light intensities. We found, therefore, selective adaptations beneficial for vision in dim environments in cockroach photoreceptors: large amplitude of single-photon responses, constant high level of temporal integration of light inputs, saturation of response properties at low intensities, and only transiently efficient encoding of light contrasts. The results also suggest that the sources of the large functional variability among different photoreceptors reside mostly in phototransduction processes and not in the properties of the nontransductive membrane. © 2012 the American Physiological Society.","author":[{"dropping-particle":"","family":"Heimonen","given":"K.","non-dropping-particle":"","parse-names":false,"suffix":""},{"dropping-particle":"","family":"Immonen","given":"E.-V.","non-dropping-particle":"","parse-names":false,"suffix":""},{"dropping-particle":"V.","family":"Frolov","given":"R.","non-dropping-particle":"","parse-names":false,"suffix":""},{"dropping-particle":"","family":"Salmela","given":"I.","non-dropping-particle":"","parse-names":false,"suffix":""},{"dropping-particle":"","family":"Juusola","given":"M.","non-dropping-particle":"","parse-names":false,"suffix":""},{"dropping-particle":"","family":"Vähäsöyrinki","given":"M.","non-dropping-particle":"","parse-names":false,"suffix":""},{"dropping-particle":"","family":"Weckström","given":"M.","non-dropping-particle":"","parse-names":false,"suffix":""}],"container-title":"Journal of Neurophysiology","id":"ITEM-1","issue":"10","issued":{"date-parts":[["2012"]]},"note":"Read fifth","page":"2641-2652","title":"Signal coding in cockroach photoreceptors is tuned to dim environments","type":"article-journal","volume":"108"},"uris":["http://www.mendeley.com/documents/?uuid=5a2feea4-f74f-4ba5-ab57-3a4b576e5b29"]}],"mendeley":{"formattedCitation":"(Heimonen et al., 2012)","plainTextFormattedCitation":"(Heimonen et al., 2012)"},"properties":{"noteIndex":0},"schema":"https://github.com/citation-style-language/schema/raw/master/csl-citation.json"}</w:instrText>
      </w:r>
      <w:r w:rsidR="00AE0E85">
        <w:rPr>
          <w:rFonts w:ascii="Calibri" w:eastAsia="Calibri" w:hAnsi="Calibri" w:cs="Calibri"/>
        </w:rPr>
        <w:fldChar w:fldCharType="separate"/>
      </w:r>
      <w:r w:rsidR="00AE0E85" w:rsidRPr="007C71BA">
        <w:rPr>
          <w:rFonts w:ascii="Calibri" w:eastAsia="Calibri" w:hAnsi="Calibri" w:cs="Calibri"/>
          <w:noProof/>
        </w:rPr>
        <w:t>(Heimonen et al., 2012)</w:t>
      </w:r>
      <w:r w:rsidR="00AE0E85">
        <w:rPr>
          <w:rFonts w:ascii="Calibri" w:eastAsia="Calibri" w:hAnsi="Calibri" w:cs="Calibri"/>
        </w:rPr>
        <w:fldChar w:fldCharType="end"/>
      </w:r>
      <w:r w:rsidR="00AE0E85">
        <w:rPr>
          <w:rFonts w:ascii="Calibri" w:eastAsia="Calibri" w:hAnsi="Calibri" w:cs="Calibri"/>
        </w:rPr>
        <w:t>, and it follows that many other species would need to do the same, as they often transition from brightly lit daytime environments to dark burrows and nests</w:t>
      </w:r>
      <w:r w:rsidR="00E87506">
        <w:rPr>
          <w:rFonts w:ascii="Calibri" w:eastAsia="Calibri" w:hAnsi="Calibri" w:cs="Calibri"/>
        </w:rPr>
        <w:t>.</w:t>
      </w:r>
      <w:r w:rsidR="00DB31EA">
        <w:rPr>
          <w:rFonts w:ascii="Calibri" w:eastAsia="Calibri" w:hAnsi="Calibri" w:cs="Calibri"/>
        </w:rPr>
        <w:t xml:space="preserve"> The shape of ERG amplitude response curve</w:t>
      </w:r>
      <w:r w:rsidR="008057D7">
        <w:rPr>
          <w:rFonts w:ascii="Calibri" w:eastAsia="Calibri" w:hAnsi="Calibri" w:cs="Calibri"/>
        </w:rPr>
        <w:t>s</w:t>
      </w:r>
      <w:r w:rsidR="00DB31EA">
        <w:rPr>
          <w:rFonts w:ascii="Calibri" w:eastAsia="Calibri" w:hAnsi="Calibri" w:cs="Calibri"/>
        </w:rPr>
        <w:t xml:space="preserve"> across brightness</w:t>
      </w:r>
      <w:r w:rsidR="008057D7">
        <w:rPr>
          <w:rFonts w:ascii="Calibri" w:eastAsia="Calibri" w:hAnsi="Calibri" w:cs="Calibri"/>
        </w:rPr>
        <w:t xml:space="preserve"> values,</w:t>
      </w:r>
      <w:r w:rsidR="00DB31EA">
        <w:rPr>
          <w:rFonts w:ascii="Calibri" w:eastAsia="Calibri" w:hAnsi="Calibri" w:cs="Calibri"/>
        </w:rPr>
        <w:t xml:space="preserve"> after 20 m light or dark adaptation</w:t>
      </w:r>
      <w:r w:rsidR="008057D7">
        <w:rPr>
          <w:rFonts w:ascii="Calibri" w:eastAsia="Calibri" w:hAnsi="Calibri" w:cs="Calibri"/>
        </w:rPr>
        <w:t>,</w:t>
      </w:r>
      <w:r w:rsidR="00DB31EA">
        <w:rPr>
          <w:rFonts w:ascii="Calibri" w:eastAsia="Calibri" w:hAnsi="Calibri" w:cs="Calibri"/>
        </w:rPr>
        <w:t xml:space="preserve"> </w:t>
      </w:r>
      <w:r>
        <w:rPr>
          <w:rFonts w:ascii="Calibri" w:eastAsia="Calibri" w:hAnsi="Calibri" w:cs="Calibri"/>
        </w:rPr>
        <w:t xml:space="preserve">will allow for the generation of explanatory hypotheses for </w:t>
      </w:r>
      <w:r w:rsidR="00DB31EA">
        <w:rPr>
          <w:rFonts w:ascii="Calibri" w:eastAsia="Calibri" w:hAnsi="Calibri" w:cs="Calibri"/>
        </w:rPr>
        <w:t>CFF value</w:t>
      </w:r>
      <w:r>
        <w:rPr>
          <w:rFonts w:ascii="Calibri" w:eastAsia="Calibri" w:hAnsi="Calibri" w:cs="Calibri"/>
        </w:rPr>
        <w:t>s</w:t>
      </w:r>
      <w:r w:rsidR="008057D7">
        <w:rPr>
          <w:rFonts w:ascii="Calibri" w:eastAsia="Calibri" w:hAnsi="Calibri" w:cs="Calibri"/>
        </w:rPr>
        <w:t>.</w:t>
      </w:r>
      <w:r w:rsidR="00A5751B">
        <w:rPr>
          <w:rFonts w:ascii="Calibri" w:eastAsia="Calibri" w:hAnsi="Calibri" w:cs="Calibri"/>
        </w:rPr>
        <w:t xml:space="preserve"> As an alternative to light/dark adaptation, blue light adaptation (as a proxy for early morning spectra) vs red/green light adaptation (as a proxy for midday spectra).</w:t>
      </w:r>
    </w:p>
    <w:p w14:paraId="02CC4476" w14:textId="3CAD82F4" w:rsidR="007C71BA" w:rsidRPr="007C71BA" w:rsidRDefault="00FE46BD" w:rsidP="007C71BA">
      <w:pPr>
        <w:widowControl w:val="0"/>
        <w:autoSpaceDE w:val="0"/>
        <w:autoSpaceDN w:val="0"/>
        <w:adjustRightInd w:val="0"/>
        <w:spacing w:after="200" w:line="240" w:lineRule="auto"/>
        <w:ind w:left="480" w:hanging="480"/>
        <w:rPr>
          <w:rFonts w:ascii="Calibri" w:hAnsi="Calibri" w:cs="Calibri"/>
          <w:noProof/>
          <w:szCs w:val="24"/>
        </w:rPr>
      </w:pPr>
      <w:r>
        <w:rPr>
          <w:rFonts w:ascii="Calibri" w:eastAsia="Calibri" w:hAnsi="Calibri" w:cs="Calibri"/>
        </w:rPr>
        <w:fldChar w:fldCharType="begin" w:fldLock="1"/>
      </w:r>
      <w:r>
        <w:rPr>
          <w:rFonts w:ascii="Calibri" w:eastAsia="Calibri" w:hAnsi="Calibri" w:cs="Calibri"/>
        </w:rPr>
        <w:instrText xml:space="preserve">ADDIN Mendeley Bibliography CSL_BIBLIOGRAPHY </w:instrText>
      </w:r>
      <w:r>
        <w:rPr>
          <w:rFonts w:ascii="Calibri" w:eastAsia="Calibri" w:hAnsi="Calibri" w:cs="Calibri"/>
        </w:rPr>
        <w:fldChar w:fldCharType="separate"/>
      </w:r>
      <w:r w:rsidR="007C71BA" w:rsidRPr="007C71BA">
        <w:rPr>
          <w:rFonts w:ascii="Calibri" w:hAnsi="Calibri" w:cs="Calibri"/>
          <w:noProof/>
          <w:szCs w:val="24"/>
        </w:rPr>
        <w:t>Fingerman, M., &amp; Brown, F. A. (1952). A " Purkinje Shift " in Insect Vision The Protective Effect of Glutathione against Radiation-induced- Chromosome Aberrations1.</w:t>
      </w:r>
    </w:p>
    <w:p w14:paraId="716B0D93" w14:textId="77777777" w:rsidR="007C71BA" w:rsidRPr="007C71BA" w:rsidRDefault="007C71BA" w:rsidP="007C71BA">
      <w:pPr>
        <w:widowControl w:val="0"/>
        <w:autoSpaceDE w:val="0"/>
        <w:autoSpaceDN w:val="0"/>
        <w:adjustRightInd w:val="0"/>
        <w:spacing w:after="200" w:line="240" w:lineRule="auto"/>
        <w:ind w:left="480" w:hanging="480"/>
        <w:rPr>
          <w:rFonts w:ascii="Calibri" w:hAnsi="Calibri" w:cs="Calibri"/>
          <w:noProof/>
          <w:szCs w:val="24"/>
        </w:rPr>
      </w:pPr>
      <w:r w:rsidRPr="007C71BA">
        <w:rPr>
          <w:rFonts w:ascii="Calibri" w:hAnsi="Calibri" w:cs="Calibri"/>
          <w:noProof/>
          <w:szCs w:val="24"/>
        </w:rPr>
        <w:t xml:space="preserve">Heimonen, K., Immonen, E.-V., Frolov, R. V., Salmela, I., Juusola, M., Vähäsöyrinki, M., &amp; Weckström, M. (2012). Signal coding in cockroach photoreceptors is tuned to dim environments. </w:t>
      </w:r>
      <w:r w:rsidRPr="007C71BA">
        <w:rPr>
          <w:rFonts w:ascii="Calibri" w:hAnsi="Calibri" w:cs="Calibri"/>
          <w:i/>
          <w:iCs/>
          <w:noProof/>
          <w:szCs w:val="24"/>
        </w:rPr>
        <w:t>Journal of Neurophysiology</w:t>
      </w:r>
      <w:r w:rsidRPr="007C71BA">
        <w:rPr>
          <w:rFonts w:ascii="Calibri" w:hAnsi="Calibri" w:cs="Calibri"/>
          <w:noProof/>
          <w:szCs w:val="24"/>
        </w:rPr>
        <w:t xml:space="preserve">, </w:t>
      </w:r>
      <w:r w:rsidRPr="007C71BA">
        <w:rPr>
          <w:rFonts w:ascii="Calibri" w:hAnsi="Calibri" w:cs="Calibri"/>
          <w:i/>
          <w:iCs/>
          <w:noProof/>
          <w:szCs w:val="24"/>
        </w:rPr>
        <w:t>108</w:t>
      </w:r>
      <w:r w:rsidRPr="007C71BA">
        <w:rPr>
          <w:rFonts w:ascii="Calibri" w:hAnsi="Calibri" w:cs="Calibri"/>
          <w:noProof/>
          <w:szCs w:val="24"/>
        </w:rPr>
        <w:t>(10), 2641–2652. https://doi.org/10.1152/jn.00588.2012</w:t>
      </w:r>
    </w:p>
    <w:p w14:paraId="32F4AEC6" w14:textId="77777777" w:rsidR="007C71BA" w:rsidRPr="007C71BA" w:rsidRDefault="007C71BA" w:rsidP="007C71BA">
      <w:pPr>
        <w:widowControl w:val="0"/>
        <w:autoSpaceDE w:val="0"/>
        <w:autoSpaceDN w:val="0"/>
        <w:adjustRightInd w:val="0"/>
        <w:spacing w:after="200" w:line="240" w:lineRule="auto"/>
        <w:ind w:left="480" w:hanging="480"/>
        <w:rPr>
          <w:rFonts w:ascii="Calibri" w:hAnsi="Calibri" w:cs="Calibri"/>
          <w:noProof/>
        </w:rPr>
      </w:pPr>
      <w:r w:rsidRPr="007C71BA">
        <w:rPr>
          <w:rFonts w:ascii="Calibri" w:hAnsi="Calibri" w:cs="Calibri"/>
          <w:noProof/>
          <w:szCs w:val="24"/>
        </w:rPr>
        <w:t xml:space="preserve">Stowasser, A., Mohr, S., Buschbeck, E., &amp; Vilinsky, I. (2015). Electrophysiology Meets Ecology: Investigating How Vision is Tuned to the Life Style of an Animal using Electroretinography. </w:t>
      </w:r>
      <w:r w:rsidRPr="007C71BA">
        <w:rPr>
          <w:rFonts w:ascii="Calibri" w:hAnsi="Calibri" w:cs="Calibri"/>
          <w:i/>
          <w:iCs/>
          <w:noProof/>
          <w:szCs w:val="24"/>
        </w:rPr>
        <w:t>Journal of Undergraduate Neuroscience Education</w:t>
      </w:r>
      <w:r w:rsidRPr="007C71BA">
        <w:rPr>
          <w:rFonts w:ascii="Calibri" w:hAnsi="Calibri" w:cs="Calibri"/>
          <w:noProof/>
          <w:szCs w:val="24"/>
        </w:rPr>
        <w:t xml:space="preserve">, </w:t>
      </w:r>
      <w:r w:rsidRPr="007C71BA">
        <w:rPr>
          <w:rFonts w:ascii="Calibri" w:hAnsi="Calibri" w:cs="Calibri"/>
          <w:i/>
          <w:iCs/>
          <w:noProof/>
          <w:szCs w:val="24"/>
        </w:rPr>
        <w:t>13</w:t>
      </w:r>
      <w:r w:rsidRPr="007C71BA">
        <w:rPr>
          <w:rFonts w:ascii="Calibri" w:hAnsi="Calibri" w:cs="Calibri"/>
          <w:noProof/>
          <w:szCs w:val="24"/>
        </w:rPr>
        <w:t>(3), A234–A243. Retrieved from www.funjournal.org</w:t>
      </w:r>
    </w:p>
    <w:p w14:paraId="3FC83868" w14:textId="1E9E2C1A" w:rsidR="00FE46BD" w:rsidRDefault="00FE46BD">
      <w:pPr>
        <w:spacing w:after="200" w:line="276" w:lineRule="auto"/>
        <w:rPr>
          <w:rFonts w:ascii="Calibri" w:eastAsia="Calibri" w:hAnsi="Calibri" w:cs="Calibri"/>
        </w:rPr>
      </w:pPr>
      <w:r>
        <w:rPr>
          <w:rFonts w:ascii="Calibri" w:eastAsia="Calibri" w:hAnsi="Calibri" w:cs="Calibri"/>
        </w:rPr>
        <w:fldChar w:fldCharType="end"/>
      </w:r>
    </w:p>
    <w:sectPr w:rsidR="00FE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71"/>
    <w:rsid w:val="00200D73"/>
    <w:rsid w:val="00230E97"/>
    <w:rsid w:val="00327C71"/>
    <w:rsid w:val="003D7CAF"/>
    <w:rsid w:val="00452D15"/>
    <w:rsid w:val="005D18C8"/>
    <w:rsid w:val="00615CAC"/>
    <w:rsid w:val="00731A60"/>
    <w:rsid w:val="007C71BA"/>
    <w:rsid w:val="008057D7"/>
    <w:rsid w:val="00A5751B"/>
    <w:rsid w:val="00AE0E85"/>
    <w:rsid w:val="00D67CF0"/>
    <w:rsid w:val="00DB31EA"/>
    <w:rsid w:val="00E75480"/>
    <w:rsid w:val="00E87506"/>
    <w:rsid w:val="00FE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90F0"/>
  <w15:docId w15:val="{18701154-40B7-4CEE-80D7-557F250D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3D700-EC73-4940-8E62-8C4161178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Pollak, Daniel</dc:creator>
  <cp:keywords/>
  <dc:description/>
  <cp:lastModifiedBy>Daniel Pollak</cp:lastModifiedBy>
  <cp:revision>2</cp:revision>
  <dcterms:created xsi:type="dcterms:W3CDTF">2020-07-24T18:10:00Z</dcterms:created>
  <dcterms:modified xsi:type="dcterms:W3CDTF">2020-07-29T22:54:00Z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8026b192-1f91-36b3-8dd5-e2f7ab29cccc</vt:lpwstr>
  </property>
  <property fmtid="{D5CDD505-2E9C-101B-9397-08002B2CF9AE}" pid="24" name="Mendeley Citation Style_1">
    <vt:lpwstr>http://www.zotero.org/styles/apa</vt:lpwstr>
  </property>
</Properties>
</file>