
<file path=[Content_Types].xml><?xml version="1.0" encoding="utf-8"?>
<Types xmlns="http://schemas.openxmlformats.org/package/2006/content-types">
  <Default Extension="jpeg" ContentType="image/jpeg"/>
  <Default Extension="JPG" ContentType="image/.jpg"/>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89AB75">
      <w:pPr>
        <w:jc w:val="center"/>
      </w:pPr>
      <w:r>
        <w:rPr>
          <w:rFonts w:hint="eastAsia"/>
        </w:rP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0D835E48">
      <w:pPr>
        <w:jc w:val="center"/>
        <w:rPr>
          <w:rFonts w:ascii="黑体" w:eastAsia="黑体"/>
          <w:b/>
          <w:sz w:val="44"/>
          <w:szCs w:val="44"/>
        </w:rPr>
      </w:pPr>
    </w:p>
    <w:p w14:paraId="03C49B2B">
      <w:pPr>
        <w:spacing w:line="360" w:lineRule="auto"/>
        <w:jc w:val="center"/>
        <w:rPr>
          <w:rFonts w:ascii="黑体" w:eastAsia="黑体"/>
          <w:b/>
          <w:sz w:val="52"/>
          <w:szCs w:val="52"/>
        </w:rPr>
      </w:pPr>
    </w:p>
    <w:p w14:paraId="28817E24">
      <w:pPr>
        <w:spacing w:line="360" w:lineRule="auto"/>
        <w:jc w:val="center"/>
        <w:rPr>
          <w:rFonts w:ascii="黑体" w:eastAsia="黑体"/>
          <w:b/>
          <w:sz w:val="52"/>
          <w:szCs w:val="52"/>
        </w:rPr>
      </w:pPr>
      <w:r>
        <w:rPr>
          <w:rFonts w:hint="eastAsia" w:ascii="黑体" w:eastAsia="黑体"/>
          <w:b/>
          <w:sz w:val="52"/>
          <w:szCs w:val="52"/>
        </w:rPr>
        <w:t>企 业 项 目 实 践</w:t>
      </w:r>
    </w:p>
    <w:p w14:paraId="0AD0E36E">
      <w:pPr>
        <w:spacing w:line="360" w:lineRule="auto"/>
        <w:jc w:val="center"/>
        <w:rPr>
          <w:rFonts w:ascii="黑体" w:eastAsia="黑体"/>
          <w:b/>
          <w:sz w:val="52"/>
          <w:szCs w:val="52"/>
        </w:rPr>
      </w:pPr>
    </w:p>
    <w:p w14:paraId="0AB196DB">
      <w:pPr>
        <w:spacing w:line="360" w:lineRule="auto"/>
        <w:jc w:val="center"/>
        <w:rPr>
          <w:rFonts w:ascii="黑体" w:eastAsia="黑体"/>
          <w:b/>
          <w:sz w:val="52"/>
          <w:szCs w:val="52"/>
        </w:rPr>
      </w:pPr>
      <w:r>
        <w:rPr>
          <w:rFonts w:hint="eastAsia" w:ascii="黑体" w:eastAsia="黑体"/>
          <w:b/>
          <w:sz w:val="52"/>
          <w:szCs w:val="52"/>
        </w:rPr>
        <w:t>课 程 任 务 书</w:t>
      </w:r>
    </w:p>
    <w:p w14:paraId="59F50342">
      <w:pPr>
        <w:jc w:val="center"/>
        <w:rPr>
          <w:rFonts w:ascii="宋体" w:hAnsi="宋体"/>
          <w:sz w:val="32"/>
          <w:szCs w:val="32"/>
        </w:rPr>
      </w:pPr>
    </w:p>
    <w:p w14:paraId="278AE18E">
      <w:pPr>
        <w:ind w:firstLine="960" w:firstLineChars="400"/>
        <w:rPr>
          <w:rFonts w:ascii="宋体" w:hAnsi="宋体"/>
          <w:sz w:val="24"/>
        </w:rPr>
      </w:pPr>
      <w:r>
        <w:rPr>
          <w:rFonts w:hint="eastAsia" w:ascii="宋体" w:hAnsi="宋体"/>
          <w:sz w:val="24"/>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w:t>
      </w:r>
      <w:r>
        <w:rPr>
          <w:rFonts w:ascii="宋体" w:hAnsi="宋体"/>
          <w:sz w:val="24"/>
          <w:u w:val="single"/>
        </w:rPr>
        <w:t>吸附式移动加工机器人系统开发</w:t>
      </w:r>
      <w:r>
        <w:rPr>
          <w:rFonts w:hint="eastAsia" w:ascii="宋体" w:hAnsi="宋体"/>
          <w:sz w:val="24"/>
          <w:u w:val="single"/>
        </w:rPr>
        <w:t xml:space="preserve">        </w:t>
      </w:r>
    </w:p>
    <w:p w14:paraId="15FBD19D">
      <w:pPr>
        <w:ind w:left="1200" w:hanging="1200" w:hangingChars="500"/>
        <w:rPr>
          <w:rFonts w:ascii="宋体" w:hAnsi="宋体"/>
          <w:sz w:val="24"/>
        </w:rPr>
      </w:pPr>
    </w:p>
    <w:p w14:paraId="78A54362">
      <w:pPr>
        <w:rPr>
          <w:rFonts w:ascii="宋体" w:hAnsi="宋体"/>
          <w:sz w:val="24"/>
        </w:rPr>
      </w:pPr>
      <w:r>
        <w:rPr>
          <w:rFonts w:ascii="宋体" w:hAnsi="宋体"/>
          <w:sz w:val="24"/>
        </w:rPr>
        <w:t xml:space="preserve"> </w:t>
      </w:r>
      <w:r>
        <w:rPr>
          <w:rFonts w:hint="eastAsia" w:ascii="宋体" w:hAnsi="宋体"/>
          <w:sz w:val="24"/>
        </w:rPr>
        <w:t xml:space="preserve">               </w:t>
      </w:r>
    </w:p>
    <w:p w14:paraId="7716EE26">
      <w:pPr>
        <w:rPr>
          <w:rFonts w:ascii="宋体" w:hAnsi="宋体"/>
          <w:sz w:val="24"/>
        </w:rPr>
      </w:pPr>
    </w:p>
    <w:p w14:paraId="45BB290E">
      <w:pPr>
        <w:ind w:firstLine="2640" w:firstLineChars="1100"/>
        <w:rPr>
          <w:rFonts w:ascii="宋体" w:hAnsi="宋体"/>
          <w:sz w:val="24"/>
        </w:rPr>
      </w:pPr>
      <w:r>
        <w:rPr>
          <w:rFonts w:hint="eastAsia" w:ascii="宋体" w:hAnsi="宋体"/>
          <w:sz w:val="24"/>
        </w:rPr>
        <w:t xml:space="preserve">姓 名：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u w:val="single"/>
          <w:lang w:val="en-US" w:eastAsia="zh-CN"/>
        </w:rPr>
        <w:t>梁敏诗</w:t>
      </w:r>
      <w:r>
        <w:rPr>
          <w:rFonts w:hint="eastAsia" w:ascii="宋体" w:hAnsi="宋体"/>
          <w:sz w:val="24"/>
          <w:u w:val="single"/>
        </w:rPr>
        <w:t xml:space="preserve">      </w:t>
      </w:r>
    </w:p>
    <w:p w14:paraId="3822E4AA">
      <w:pPr>
        <w:ind w:firstLine="2640" w:firstLineChars="1100"/>
        <w:rPr>
          <w:rFonts w:ascii="宋体" w:hAnsi="宋体" w:eastAsia="宋体" w:cs="宋体"/>
          <w:sz w:val="24"/>
          <w:u w:val="single"/>
        </w:rPr>
      </w:pPr>
      <w:r>
        <w:rPr>
          <w:rFonts w:hint="eastAsia" w:ascii="宋体" w:hAnsi="宋体"/>
          <w:sz w:val="24"/>
        </w:rPr>
        <w:t xml:space="preserve">学 号： </w:t>
      </w:r>
      <w:r>
        <w:rPr>
          <w:rFonts w:hint="eastAsia" w:ascii="宋体" w:hAnsi="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val="en-US" w:eastAsia="zh-CN"/>
        </w:rPr>
        <w:t>U202210871</w:t>
      </w:r>
      <w:r>
        <w:rPr>
          <w:rFonts w:hint="eastAsia" w:ascii="宋体" w:hAnsi="宋体" w:cs="宋体"/>
          <w:sz w:val="24"/>
          <w:u w:val="single"/>
        </w:rPr>
        <w:t xml:space="preserve">   </w:t>
      </w:r>
      <w:r>
        <w:rPr>
          <w:rFonts w:hint="eastAsia" w:ascii="宋体" w:hAnsi="宋体" w:eastAsia="宋体" w:cs="宋体"/>
          <w:sz w:val="24"/>
          <w:u w:val="single"/>
        </w:rPr>
        <w:t xml:space="preserve"> </w:t>
      </w:r>
    </w:p>
    <w:p w14:paraId="2DAB1AC9">
      <w:pPr>
        <w:ind w:firstLine="2160" w:firstLineChars="900"/>
        <w:rPr>
          <w:rFonts w:ascii="宋体" w:hAnsi="宋体" w:eastAsia="宋体" w:cs="宋体"/>
          <w:sz w:val="24"/>
          <w:u w:val="single"/>
        </w:rPr>
      </w:pPr>
      <w:r>
        <w:rPr>
          <w:rFonts w:hint="eastAsia" w:ascii="宋体" w:hAnsi="宋体"/>
          <w:sz w:val="24"/>
        </w:rPr>
        <w:t>同组成员：</w:t>
      </w:r>
      <w:r>
        <w:rPr>
          <w:rFonts w:hint="eastAsia" w:ascii="宋体" w:hAnsi="宋体"/>
          <w:strike w:val="0"/>
          <w:dstrike w:val="0"/>
          <w:color w:val="000000" w:themeColor="text1"/>
          <w:sz w:val="24"/>
          <w:u w:val="single"/>
          <w:lang w:val="en-US" w:eastAsia="zh-CN"/>
          <w14:textFill>
            <w14:solidFill>
              <w14:schemeClr w14:val="tx1"/>
            </w14:solidFill>
          </w14:textFill>
        </w:rPr>
        <w:t>高雨瑄，陈诗雨，白家屹</w:t>
      </w:r>
      <w:r>
        <w:rPr>
          <w:rFonts w:hint="eastAsia" w:ascii="宋体" w:hAnsi="宋体" w:eastAsia="宋体" w:cs="宋体"/>
          <w:strike w:val="0"/>
          <w:dstrike w:val="0"/>
          <w:color w:val="000000" w:themeColor="text1"/>
          <w:sz w:val="24"/>
          <w:u w:val="single"/>
          <w14:textFill>
            <w14:solidFill>
              <w14:schemeClr w14:val="tx1"/>
            </w14:solidFill>
          </w14:textFill>
        </w:rPr>
        <w:t xml:space="preserve"> </w:t>
      </w:r>
    </w:p>
    <w:p w14:paraId="182F605F">
      <w:pPr>
        <w:ind w:firstLine="2400" w:firstLineChars="1000"/>
        <w:rPr>
          <w:rFonts w:ascii="宋体" w:hAnsi="宋体"/>
          <w:sz w:val="24"/>
        </w:rPr>
      </w:pPr>
      <w:r>
        <w:rPr>
          <w:rFonts w:hint="eastAsia" w:ascii="宋体" w:hAnsi="宋体"/>
          <w:sz w:val="24"/>
        </w:rPr>
        <w:t>班 级：机械本硕博</w:t>
      </w:r>
      <w:r>
        <w:rPr>
          <w:rFonts w:hint="eastAsia" w:ascii="宋体" w:hAnsi="宋体"/>
          <w:sz w:val="24"/>
          <w:u w:val="single"/>
          <w:lang w:val="en-US" w:eastAsia="zh-CN"/>
        </w:rPr>
        <w:t>2201</w:t>
      </w:r>
      <w:r>
        <w:rPr>
          <w:rFonts w:hint="eastAsia" w:ascii="宋体" w:hAnsi="宋体"/>
          <w:sz w:val="24"/>
        </w:rPr>
        <w:t xml:space="preserve">班 </w:t>
      </w:r>
    </w:p>
    <w:p w14:paraId="6C90DDB2">
      <w:pPr>
        <w:jc w:val="center"/>
        <w:rPr>
          <w:rFonts w:ascii="宋体" w:hAnsi="宋体"/>
          <w:sz w:val="24"/>
        </w:rPr>
      </w:pPr>
    </w:p>
    <w:p w14:paraId="0C95F6EB">
      <w:pPr>
        <w:rPr>
          <w:rFonts w:ascii="宋体" w:hAnsi="宋体"/>
          <w:sz w:val="24"/>
        </w:rPr>
      </w:pPr>
    </w:p>
    <w:p w14:paraId="702E5595">
      <w:pPr>
        <w:rPr>
          <w:rFonts w:ascii="宋体" w:hAnsi="宋体"/>
          <w:sz w:val="24"/>
        </w:rPr>
      </w:pPr>
    </w:p>
    <w:p w14:paraId="3C962885">
      <w:pPr>
        <w:rPr>
          <w:rFonts w:ascii="宋体" w:hAnsi="宋体"/>
          <w:sz w:val="24"/>
        </w:rPr>
      </w:pPr>
    </w:p>
    <w:p w14:paraId="679D45AA">
      <w:pPr>
        <w:rPr>
          <w:rFonts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bookmarkStart w:id="0" w:name="_GoBack"/>
      <w:bookmarkEnd w:id="0"/>
      <w:r>
        <w:rPr>
          <w:rFonts w:hint="eastAsia" w:ascii="宋体" w:hAnsi="宋体"/>
          <w:sz w:val="24"/>
          <w:u w:val="single"/>
        </w:rPr>
        <w:t xml:space="preserve"> </w:t>
      </w:r>
      <w:r>
        <w:rPr>
          <w:rFonts w:hint="eastAsia" w:ascii="宋体" w:hAnsi="宋体"/>
          <w:sz w:val="24"/>
          <w:u w:val="single"/>
          <w:lang w:val="en-US" w:eastAsia="zh-CN"/>
        </w:rPr>
        <w:t>24</w:t>
      </w:r>
      <w:r>
        <w:rPr>
          <w:rFonts w:hint="eastAsia"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6</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22</w:t>
      </w:r>
      <w:r>
        <w:rPr>
          <w:rFonts w:hint="eastAsia" w:ascii="宋体" w:hAnsi="宋体"/>
          <w:sz w:val="24"/>
          <w:u w:val="single"/>
        </w:rPr>
        <w:t xml:space="preserve"> </w:t>
      </w:r>
      <w:r>
        <w:rPr>
          <w:rFonts w:hint="eastAsia" w:ascii="宋体" w:hAnsi="宋体"/>
          <w:sz w:val="24"/>
        </w:rPr>
        <w:t>日）</w:t>
      </w:r>
    </w:p>
    <w:p w14:paraId="17867250">
      <w:pPr>
        <w:jc w:val="center"/>
        <w:rPr>
          <w:rFonts w:ascii="宋体" w:hAnsi="宋体"/>
          <w:sz w:val="24"/>
        </w:rPr>
      </w:pPr>
    </w:p>
    <w:p w14:paraId="1BDC1B97">
      <w:pPr>
        <w:rPr>
          <w:rFonts w:ascii="宋体" w:hAnsi="宋体"/>
          <w:sz w:val="24"/>
        </w:rPr>
      </w:pPr>
      <w:r>
        <w:rPr>
          <w:rFonts w:ascii="宋体" w:hAnsi="宋体"/>
          <w:sz w:val="24"/>
        </w:rPr>
        <w:br w:type="page"/>
      </w:r>
    </w:p>
    <w:p w14:paraId="661B2FFE">
      <w:pPr>
        <w:spacing w:line="360" w:lineRule="auto"/>
        <w:rPr>
          <w:rFonts w:ascii="宋体" w:hAnsi="宋体"/>
          <w:sz w:val="24"/>
        </w:rPr>
      </w:pPr>
    </w:p>
    <w:p w14:paraId="3C0D0FB2">
      <w:pPr>
        <w:numPr>
          <w:ilvl w:val="0"/>
          <w:numId w:val="1"/>
        </w:numPr>
        <w:spacing w:line="360" w:lineRule="auto"/>
        <w:rPr>
          <w:rFonts w:ascii="宋体" w:hAnsi="宋体"/>
          <w:sz w:val="24"/>
        </w:rPr>
      </w:pPr>
      <w:r>
        <w:rPr>
          <w:rFonts w:hint="eastAsia" w:ascii="宋体" w:hAnsi="宋体"/>
          <w:sz w:val="24"/>
        </w:rPr>
        <w:t>题目来源</w:t>
      </w:r>
    </w:p>
    <w:p w14:paraId="60CB8A77">
      <w:r>
        <w:t>上海飞机制造有限公司蒙皮磨抛活化项目</w:t>
      </w:r>
    </w:p>
    <w:p w14:paraId="6050A489">
      <w:r>
        <w:rPr>
          <w:rFonts w:hint="eastAsia"/>
        </w:rPr>
        <w:t>蒙皮喷漆前需磨抛活化，磨抛一致性决定油漆附着力均匀性，直接影响漆面性能与安全性。现行蒙皮磨抛完全依赖人工手持磨抛执行器手动作业，成为制约产能突破的瓶颈之一，吸附式移动加工机器人突破可达性局限，可构成“蚂蚁噬骨” 式加工机器人集群，为飞机蒙皮表面磨抛活化加工提供新方向</w:t>
      </w:r>
    </w:p>
    <w:p w14:paraId="27A370C7"/>
    <w:p w14:paraId="50BF4687">
      <w:pPr>
        <w:numPr>
          <w:ilvl w:val="0"/>
          <w:numId w:val="1"/>
        </w:numPr>
        <w:spacing w:line="360" w:lineRule="auto"/>
        <w:rPr>
          <w:rFonts w:ascii="宋体" w:hAnsi="宋体"/>
          <w:sz w:val="24"/>
        </w:rPr>
      </w:pPr>
      <w:r>
        <w:rPr>
          <w:rFonts w:hint="eastAsia" w:ascii="宋体" w:hAnsi="宋体"/>
          <w:sz w:val="24"/>
        </w:rPr>
        <w:t>实践目标</w:t>
      </w:r>
    </w:p>
    <w:p w14:paraId="171CD35F">
      <w:r>
        <w:rPr>
          <w:rFonts w:hint="eastAsia"/>
        </w:rPr>
        <w:t>基于国创中心吸附式移动加工机器人样机，进行蒙皮、风电叶片等工件磨抛工艺测试，形成工艺数据库与优化准则</w:t>
      </w:r>
    </w:p>
    <w:p w14:paraId="36B641E3">
      <w:pPr>
        <w:spacing w:line="360" w:lineRule="auto"/>
        <w:rPr>
          <w:rFonts w:ascii="宋体" w:hAnsi="宋体"/>
          <w:sz w:val="24"/>
        </w:rPr>
      </w:pPr>
    </w:p>
    <w:p w14:paraId="090A65A7">
      <w:pPr>
        <w:numPr>
          <w:ilvl w:val="0"/>
          <w:numId w:val="1"/>
        </w:numPr>
        <w:spacing w:line="360" w:lineRule="auto"/>
        <w:rPr>
          <w:rFonts w:ascii="宋体" w:hAnsi="宋体"/>
          <w:sz w:val="24"/>
        </w:rPr>
      </w:pPr>
      <w:r>
        <w:rPr>
          <w:rFonts w:hint="eastAsia" w:ascii="宋体" w:hAnsi="宋体"/>
          <w:sz w:val="24"/>
        </w:rPr>
        <w:t>实践内容</w:t>
      </w:r>
    </w:p>
    <w:p w14:paraId="668A43E6">
      <w:r>
        <w:rPr>
          <w:rFonts w:hint="eastAsia"/>
          <w:b/>
          <w:bCs/>
        </w:rPr>
        <w:t>磨抛工艺探索：</w:t>
      </w:r>
      <w:r>
        <w:rPr>
          <w:rFonts w:hint="eastAsia"/>
        </w:rPr>
        <w:t>在飞机舱段蒙皮试验件上，针对不同的运动速度、打磨压力、砂纸目数等参数对吸附式移动机器人单机开展多次大面积磨抛测试，验证以下能力：</w:t>
      </w:r>
    </w:p>
    <w:p w14:paraId="1D0F7915">
      <w:pPr>
        <w:ind w:left="420" w:leftChars="200"/>
      </w:pPr>
      <w:r>
        <w:rPr>
          <w:rFonts w:hint="eastAsia"/>
        </w:rPr>
        <w:t>① 大面积磨抛运动稳定性</w:t>
      </w:r>
    </w:p>
    <w:p w14:paraId="75A4EE8C">
      <w:pPr>
        <w:ind w:left="420" w:leftChars="200"/>
      </w:pPr>
      <w:r>
        <w:rPr>
          <w:rFonts w:hint="eastAsia"/>
        </w:rPr>
        <w:t>② 大面积磨抛工艺（表面质量）稳定性</w:t>
      </w:r>
    </w:p>
    <w:p w14:paraId="53605B7B">
      <w:pPr>
        <w:ind w:left="420" w:leftChars="200"/>
      </w:pPr>
      <w:r>
        <w:rPr>
          <w:rFonts w:hint="eastAsia"/>
        </w:rPr>
        <w:t>③ 建立磨抛工艺库，形成通用工艺规范</w:t>
      </w:r>
    </w:p>
    <w:p w14:paraId="32A269CE">
      <w:r>
        <w:rPr>
          <w:rFonts w:hint="eastAsia"/>
        </w:rPr>
        <w:t>进行多曲率区域大范围磨抛测试，形成磨抛工艺参数组合与外观图之间的对应关系，构建吸附式移动机器人进行飞机蒙皮磨抛作业的工艺标准。</w:t>
      </w:r>
    </w:p>
    <w:p w14:paraId="3F7D8DC8">
      <w:r>
        <w:rPr>
          <w:rFonts w:hint="eastAsia"/>
          <w:b/>
          <w:bCs/>
        </w:rPr>
        <w:t>磨抛测试验证</w:t>
      </w:r>
      <w:r>
        <w:rPr>
          <w:rFonts w:hint="eastAsia"/>
        </w:rPr>
        <w:t>：在飞机舱段或真实蒙皮上，吸附式移动加工机器人运动到指定的位置区域，进行区域内的轨迹规划然后自动开展磨抛作业，并验证磨抛工艺</w:t>
      </w:r>
    </w:p>
    <w:p w14:paraId="566B695B">
      <w:r>
        <w:rPr>
          <w:rFonts w:hint="eastAsia"/>
        </w:rPr>
        <w:t>以此为基础，提出2类典型工件的推荐磨抛工艺参数组合，给出参数优化选择准则</w:t>
      </w:r>
    </w:p>
    <w:p w14:paraId="77BAF1E9"/>
    <w:p w14:paraId="33CC68B7">
      <w:pPr>
        <w:numPr>
          <w:ilvl w:val="0"/>
          <w:numId w:val="1"/>
        </w:numPr>
        <w:spacing w:line="360" w:lineRule="auto"/>
        <w:rPr>
          <w:rFonts w:ascii="宋体" w:hAnsi="宋体"/>
          <w:sz w:val="24"/>
        </w:rPr>
      </w:pPr>
      <w:r>
        <w:rPr>
          <w:rFonts w:hint="eastAsia" w:ascii="宋体" w:hAnsi="宋体"/>
          <w:sz w:val="24"/>
        </w:rPr>
        <w:t>任务与分工</w:t>
      </w:r>
    </w:p>
    <w:p w14:paraId="12EF08AC">
      <w:r>
        <w:rPr>
          <w:rFonts w:hint="eastAsia"/>
        </w:rPr>
        <w:t>1、三次以上的覆盖面积大于0</w:t>
      </w:r>
      <w:r>
        <w:t>.1</w:t>
      </w:r>
      <w:r>
        <w:rPr>
          <w:rFonts w:hint="eastAsia"/>
        </w:rPr>
        <w:t>平方米磨抛运动稳定性实验验证，验证运动过程中机器人运动速度波动满足构件打磨需求；</w:t>
      </w:r>
    </w:p>
    <w:p w14:paraId="05AF2A01">
      <w:pPr>
        <w:rPr>
          <w:rFonts w:hint="eastAsia"/>
        </w:rPr>
      </w:pPr>
      <w:r>
        <w:rPr>
          <w:rFonts w:hint="eastAsia"/>
        </w:rPr>
        <w:t>2、三次以上的覆盖面积大于0</w:t>
      </w:r>
      <w:r>
        <w:t>.1</w:t>
      </w:r>
      <w:r>
        <w:rPr>
          <w:rFonts w:hint="eastAsia"/>
        </w:rPr>
        <w:t>平方米磨抛工艺（表面质量）稳定性实验验证，验证实验后表面粗糙度的稳定性，测试不同磨抛工艺（打磨头压力、机器人运动速度、砂纸规格等）对两种典型弓箭的磨抛磨抛效果；</w:t>
      </w:r>
    </w:p>
    <w:p w14:paraId="22BB344A">
      <w:r>
        <w:t>3</w:t>
      </w:r>
      <w:r>
        <w:rPr>
          <w:rFonts w:hint="eastAsia"/>
        </w:rPr>
        <w:t>、提出2类典型工件的推荐磨抛工艺参数组合，给出参数优化选择准则</w:t>
      </w:r>
    </w:p>
    <w:p w14:paraId="6FC25D48">
      <w:pPr>
        <w:spacing w:line="360" w:lineRule="auto"/>
        <w:ind w:left="210" w:firstLine="210"/>
        <w:rPr>
          <w:rFonts w:ascii="宋体" w:hAnsi="宋体"/>
          <w:sz w:val="24"/>
        </w:rPr>
      </w:pPr>
    </w:p>
    <w:p w14:paraId="43DA0986">
      <w:pPr>
        <w:spacing w:line="360" w:lineRule="auto"/>
        <w:rPr>
          <w:rFonts w:ascii="宋体" w:hAnsi="宋体"/>
          <w:sz w:val="24"/>
        </w:rPr>
      </w:pPr>
      <w:r>
        <w:rPr>
          <w:rFonts w:hint="eastAsia" w:ascii="宋体" w:hAnsi="宋体"/>
          <w:sz w:val="24"/>
        </w:rPr>
        <w:t>五、已具备的实践条件</w:t>
      </w:r>
    </w:p>
    <w:p w14:paraId="152DC2AB">
      <w:r>
        <w:rPr>
          <w:rFonts w:hint="eastAsia"/>
        </w:rPr>
        <w:t>吸附式移动机器人：在上飞工程中心基金项目“具备变曲率曲面蒙皮吸附能力的便携式移动作业平台”项目支持下完成了样机开发，具备如下特性：</w:t>
      </w:r>
    </w:p>
    <w:p w14:paraId="1791D5FE">
      <w:r>
        <w:rPr>
          <w:rFonts w:hint="eastAsia"/>
        </w:rPr>
        <w:t xml:space="preserve">变曲率蒙皮稳定吸附移动能力 </w:t>
      </w:r>
    </w:p>
    <w:p w14:paraId="50CB29C5">
      <w:r>
        <w:rPr>
          <w:rFonts w:hint="eastAsia"/>
        </w:rPr>
        <w:t xml:space="preserve">    ① 实现平面吸附力≥1100N，曲面吸附力≥800N</w:t>
      </w:r>
    </w:p>
    <w:p w14:paraId="1D0E42C2">
      <w:r>
        <w:rPr>
          <w:rFonts w:hint="eastAsia"/>
        </w:rPr>
        <w:t xml:space="preserve">    ② 在曲率半径≥1.5m的曲面区域实现稳定吸附移动</w:t>
      </w:r>
    </w:p>
    <w:p w14:paraId="4723DE4C">
      <w:r>
        <w:rPr>
          <w14:ligatures w14:val="none"/>
        </w:rPr>
        <w:drawing>
          <wp:inline distT="0" distB="0" distL="0" distR="0">
            <wp:extent cx="5274310" cy="1223645"/>
            <wp:effectExtent l="0" t="0" r="0" b="0"/>
            <wp:docPr id="174693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3703" name="图片 1"/>
                    <pic:cNvPicPr>
                      <a:picLocks noChangeAspect="1"/>
                    </pic:cNvPicPr>
                  </pic:nvPicPr>
                  <pic:blipFill>
                    <a:blip r:embed="rId5"/>
                    <a:stretch>
                      <a:fillRect/>
                    </a:stretch>
                  </pic:blipFill>
                  <pic:spPr>
                    <a:xfrm>
                      <a:off x="0" y="0"/>
                      <a:ext cx="5274310" cy="1223645"/>
                    </a:xfrm>
                    <a:prstGeom prst="rect">
                      <a:avLst/>
                    </a:prstGeom>
                  </pic:spPr>
                </pic:pic>
              </a:graphicData>
            </a:graphic>
          </wp:inline>
        </w:drawing>
      </w:r>
    </w:p>
    <w:p w14:paraId="028D7DAC">
      <w:pPr>
        <w:spacing w:line="360" w:lineRule="auto"/>
      </w:pPr>
      <w:r>
        <w:rPr>
          <w:rFonts w:hint="eastAsia"/>
          <w:b/>
          <w:bCs/>
        </w:rPr>
        <w:t>曲面顺应磨抛执行器结构：</w:t>
      </w:r>
      <w:r>
        <w:rPr>
          <w:rFonts w:hint="eastAsia"/>
        </w:rPr>
        <w:t>具备曲面顺应能力的磨抛执行器，并配置有恒力打磨与集尘功能</w:t>
      </w:r>
    </w:p>
    <w:p w14:paraId="7E6B835B">
      <w:pPr>
        <w:spacing w:line="360" w:lineRule="auto"/>
        <w:jc w:val="center"/>
      </w:pPr>
      <w:r>
        <w:drawing>
          <wp:inline distT="0" distB="0" distL="0" distR="0">
            <wp:extent cx="2253615" cy="1087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61029" cy="1091601"/>
                    </a:xfrm>
                    <a:prstGeom prst="rect">
                      <a:avLst/>
                    </a:prstGeom>
                    <a:noFill/>
                  </pic:spPr>
                </pic:pic>
              </a:graphicData>
            </a:graphic>
          </wp:inline>
        </w:drawing>
      </w:r>
    </w:p>
    <w:p w14:paraId="4033BB64">
      <w:pPr>
        <w:spacing w:line="360" w:lineRule="auto"/>
        <w:rPr>
          <w:rFonts w:hAnsi="宋体"/>
          <w:sz w:val="24"/>
        </w:rPr>
      </w:pPr>
    </w:p>
    <w:p w14:paraId="57218639">
      <w:pPr>
        <w:spacing w:line="360" w:lineRule="auto"/>
        <w:rPr>
          <w:rFonts w:ascii="黑体" w:hAnsi="宋体" w:eastAsia="黑体"/>
          <w:b/>
          <w:sz w:val="36"/>
          <w:szCs w:val="36"/>
        </w:rPr>
      </w:pPr>
      <w:r>
        <w:rPr>
          <w:rFonts w:hint="eastAsia" w:hAnsi="宋体"/>
          <w:sz w:val="24"/>
        </w:rPr>
        <w:t>六、进程安排</w:t>
      </w:r>
    </w:p>
    <w:tbl>
      <w:tblPr>
        <w:tblStyle w:val="6"/>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389"/>
        <w:gridCol w:w="1701"/>
      </w:tblGrid>
      <w:tr w14:paraId="678B8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71" w:type="dxa"/>
          </w:tcPr>
          <w:p w14:paraId="3C272607">
            <w:pPr>
              <w:jc w:val="center"/>
              <w:rPr>
                <w:szCs w:val="21"/>
              </w:rPr>
            </w:pPr>
            <w:r>
              <w:rPr>
                <w:rFonts w:hint="eastAsia"/>
                <w:szCs w:val="21"/>
              </w:rPr>
              <w:t>设计阶段</w:t>
            </w:r>
          </w:p>
        </w:tc>
        <w:tc>
          <w:tcPr>
            <w:tcW w:w="4394" w:type="dxa"/>
          </w:tcPr>
          <w:p w14:paraId="44EAB4E8">
            <w:pPr>
              <w:jc w:val="center"/>
              <w:rPr>
                <w:szCs w:val="21"/>
              </w:rPr>
            </w:pPr>
            <w:r>
              <w:rPr>
                <w:rFonts w:hint="eastAsia"/>
                <w:szCs w:val="21"/>
              </w:rPr>
              <w:t>设计内容摘要</w:t>
            </w:r>
          </w:p>
        </w:tc>
        <w:tc>
          <w:tcPr>
            <w:tcW w:w="1389" w:type="dxa"/>
          </w:tcPr>
          <w:p w14:paraId="7B2B045D">
            <w:pPr>
              <w:jc w:val="center"/>
              <w:rPr>
                <w:szCs w:val="21"/>
              </w:rPr>
            </w:pPr>
            <w:r>
              <w:rPr>
                <w:rFonts w:hint="eastAsia"/>
                <w:szCs w:val="21"/>
              </w:rPr>
              <w:t>周数</w:t>
            </w:r>
          </w:p>
        </w:tc>
        <w:tc>
          <w:tcPr>
            <w:tcW w:w="1701" w:type="dxa"/>
          </w:tcPr>
          <w:p w14:paraId="3C536D0E">
            <w:pPr>
              <w:jc w:val="center"/>
              <w:rPr>
                <w:szCs w:val="21"/>
              </w:rPr>
            </w:pPr>
            <w:r>
              <w:rPr>
                <w:rFonts w:hint="eastAsia"/>
                <w:szCs w:val="21"/>
              </w:rPr>
              <w:t>备  注</w:t>
            </w:r>
          </w:p>
        </w:tc>
      </w:tr>
      <w:tr w14:paraId="7ABE7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6E2AE449">
            <w:pPr>
              <w:rPr>
                <w:szCs w:val="21"/>
              </w:rPr>
            </w:pPr>
            <w:r>
              <w:rPr>
                <w:rFonts w:hint="eastAsia"/>
                <w:szCs w:val="21"/>
              </w:rPr>
              <w:t>选题</w:t>
            </w:r>
          </w:p>
        </w:tc>
        <w:tc>
          <w:tcPr>
            <w:tcW w:w="4394" w:type="dxa"/>
          </w:tcPr>
          <w:p w14:paraId="7E84C013">
            <w:pPr>
              <w:tabs>
                <w:tab w:val="left" w:pos="360"/>
              </w:tabs>
              <w:rPr>
                <w:szCs w:val="21"/>
              </w:rPr>
            </w:pPr>
            <w:r>
              <w:rPr>
                <w:rFonts w:hint="eastAsia"/>
                <w:szCs w:val="21"/>
              </w:rPr>
              <w:t>明确实验进度与实验方案设置</w:t>
            </w:r>
          </w:p>
        </w:tc>
        <w:tc>
          <w:tcPr>
            <w:tcW w:w="1389" w:type="dxa"/>
          </w:tcPr>
          <w:p w14:paraId="45C986F9">
            <w:pPr>
              <w:rPr>
                <w:szCs w:val="21"/>
              </w:rPr>
            </w:pPr>
            <w:r>
              <w:rPr>
                <w:rFonts w:hint="eastAsia"/>
                <w:szCs w:val="21"/>
              </w:rPr>
              <w:t>第2周</w:t>
            </w:r>
          </w:p>
        </w:tc>
        <w:tc>
          <w:tcPr>
            <w:tcW w:w="1701" w:type="dxa"/>
          </w:tcPr>
          <w:p w14:paraId="5F4BD1DA">
            <w:pPr>
              <w:rPr>
                <w:szCs w:val="21"/>
              </w:rPr>
            </w:pPr>
          </w:p>
        </w:tc>
      </w:tr>
      <w:tr w14:paraId="220F1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781DE9F2">
            <w:pPr>
              <w:rPr>
                <w:szCs w:val="21"/>
              </w:rPr>
            </w:pPr>
            <w:r>
              <w:rPr>
                <w:rFonts w:hint="eastAsia"/>
                <w:szCs w:val="21"/>
              </w:rPr>
              <w:t>详细方案设计</w:t>
            </w:r>
          </w:p>
        </w:tc>
        <w:tc>
          <w:tcPr>
            <w:tcW w:w="4394" w:type="dxa"/>
          </w:tcPr>
          <w:p w14:paraId="2EA4E3B9">
            <w:pPr>
              <w:rPr>
                <w:szCs w:val="21"/>
              </w:rPr>
            </w:pPr>
            <w:r>
              <w:rPr>
                <w:rFonts w:hint="eastAsia"/>
                <w:szCs w:val="21"/>
              </w:rPr>
              <w:t>细化实验方案中的进度安排与关键参数设置</w:t>
            </w:r>
          </w:p>
        </w:tc>
        <w:tc>
          <w:tcPr>
            <w:tcW w:w="1389" w:type="dxa"/>
          </w:tcPr>
          <w:p w14:paraId="06C0FEF6">
            <w:pPr>
              <w:rPr>
                <w:szCs w:val="21"/>
              </w:rPr>
            </w:pPr>
            <w:r>
              <w:rPr>
                <w:rFonts w:hint="eastAsia"/>
                <w:szCs w:val="21"/>
              </w:rPr>
              <w:t>第3周</w:t>
            </w:r>
          </w:p>
        </w:tc>
        <w:tc>
          <w:tcPr>
            <w:tcW w:w="1701" w:type="dxa"/>
          </w:tcPr>
          <w:p w14:paraId="3501D32C">
            <w:pPr>
              <w:rPr>
                <w:szCs w:val="21"/>
              </w:rPr>
            </w:pPr>
          </w:p>
        </w:tc>
      </w:tr>
      <w:tr w14:paraId="06CFB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71" w:type="dxa"/>
            <w:vAlign w:val="center"/>
          </w:tcPr>
          <w:p w14:paraId="37916FD3">
            <w:pPr>
              <w:rPr>
                <w:szCs w:val="21"/>
              </w:rPr>
            </w:pPr>
            <w:r>
              <w:rPr>
                <w:rFonts w:hint="eastAsia"/>
                <w:szCs w:val="21"/>
              </w:rPr>
              <w:t>具体企业项目训练</w:t>
            </w:r>
          </w:p>
        </w:tc>
        <w:tc>
          <w:tcPr>
            <w:tcW w:w="4394" w:type="dxa"/>
          </w:tcPr>
          <w:p w14:paraId="617BD3E2">
            <w:pPr>
              <w:rPr>
                <w:szCs w:val="21"/>
              </w:rPr>
            </w:pPr>
            <w:r>
              <w:rPr>
                <w:rFonts w:hint="eastAsia"/>
                <w:szCs w:val="21"/>
              </w:rPr>
              <w:t>前往国家数字化设计与制造创新中心开展磨抛</w:t>
            </w:r>
          </w:p>
        </w:tc>
        <w:tc>
          <w:tcPr>
            <w:tcW w:w="1389" w:type="dxa"/>
          </w:tcPr>
          <w:p w14:paraId="667C63F5">
            <w:pPr>
              <w:rPr>
                <w:szCs w:val="21"/>
              </w:rPr>
            </w:pPr>
            <w:r>
              <w:rPr>
                <w:rFonts w:hint="eastAsia"/>
                <w:szCs w:val="21"/>
              </w:rPr>
              <w:t>第4-</w:t>
            </w:r>
            <w:r>
              <w:rPr>
                <w:szCs w:val="21"/>
              </w:rPr>
              <w:t>15</w:t>
            </w:r>
            <w:r>
              <w:rPr>
                <w:rFonts w:hint="eastAsia"/>
                <w:szCs w:val="21"/>
              </w:rPr>
              <w:t>周</w:t>
            </w:r>
          </w:p>
        </w:tc>
        <w:tc>
          <w:tcPr>
            <w:tcW w:w="1701" w:type="dxa"/>
          </w:tcPr>
          <w:p w14:paraId="4D13AC8F">
            <w:pPr>
              <w:rPr>
                <w:szCs w:val="21"/>
              </w:rPr>
            </w:pPr>
          </w:p>
        </w:tc>
      </w:tr>
      <w:tr w14:paraId="4DEE9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1271" w:type="dxa"/>
            <w:vAlign w:val="center"/>
          </w:tcPr>
          <w:p w14:paraId="6A635BE4">
            <w:pPr>
              <w:rPr>
                <w:szCs w:val="21"/>
              </w:rPr>
            </w:pPr>
            <w:r>
              <w:rPr>
                <w:rFonts w:hint="eastAsia"/>
                <w:szCs w:val="21"/>
              </w:rPr>
              <w:t>总结和文档整理</w:t>
            </w:r>
          </w:p>
        </w:tc>
        <w:tc>
          <w:tcPr>
            <w:tcW w:w="4394" w:type="dxa"/>
          </w:tcPr>
          <w:p w14:paraId="00C9262E">
            <w:pPr>
              <w:rPr>
                <w:szCs w:val="21"/>
              </w:rPr>
            </w:pPr>
            <w:r>
              <w:rPr>
                <w:rFonts w:hint="eastAsia"/>
                <w:szCs w:val="21"/>
              </w:rPr>
              <w:t>1.</w:t>
            </w:r>
            <w:r>
              <w:rPr>
                <w:szCs w:val="21"/>
              </w:rPr>
              <w:t xml:space="preserve"> </w:t>
            </w:r>
            <w:r>
              <w:rPr>
                <w:rFonts w:hint="eastAsia"/>
                <w:szCs w:val="21"/>
              </w:rPr>
              <w:t>汇总整理项目过程文档</w:t>
            </w:r>
          </w:p>
          <w:p w14:paraId="3FCA58DA">
            <w:pPr>
              <w:rPr>
                <w:szCs w:val="21"/>
              </w:rPr>
            </w:pPr>
            <w:r>
              <w:rPr>
                <w:rFonts w:hint="eastAsia"/>
                <w:szCs w:val="21"/>
              </w:rPr>
              <w:t>2.</w:t>
            </w:r>
            <w:r>
              <w:rPr>
                <w:szCs w:val="21"/>
              </w:rPr>
              <w:t xml:space="preserve"> </w:t>
            </w:r>
            <w:r>
              <w:rPr>
                <w:rFonts w:hint="eastAsia"/>
                <w:szCs w:val="21"/>
              </w:rPr>
              <w:t>总结团队合作和项目管理经验；</w:t>
            </w:r>
          </w:p>
          <w:p w14:paraId="50BF6821">
            <w:pPr>
              <w:rPr>
                <w:szCs w:val="21"/>
              </w:rPr>
            </w:pPr>
            <w:r>
              <w:rPr>
                <w:rFonts w:hint="eastAsia"/>
                <w:szCs w:val="21"/>
              </w:rPr>
              <w:t>3.</w:t>
            </w:r>
            <w:r>
              <w:rPr>
                <w:szCs w:val="21"/>
              </w:rPr>
              <w:t xml:space="preserve"> </w:t>
            </w:r>
            <w:r>
              <w:rPr>
                <w:rFonts w:hint="eastAsia"/>
                <w:szCs w:val="21"/>
              </w:rPr>
              <w:t>撰写项目报告书和个人总结。</w:t>
            </w:r>
          </w:p>
        </w:tc>
        <w:tc>
          <w:tcPr>
            <w:tcW w:w="1389" w:type="dxa"/>
          </w:tcPr>
          <w:p w14:paraId="5A0AA37C">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652EC2A8">
            <w:pPr>
              <w:rPr>
                <w:szCs w:val="21"/>
              </w:rPr>
            </w:pPr>
          </w:p>
        </w:tc>
      </w:tr>
      <w:tr w14:paraId="2638E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271" w:type="dxa"/>
            <w:vAlign w:val="center"/>
          </w:tcPr>
          <w:p w14:paraId="54E9391E">
            <w:pPr>
              <w:rPr>
                <w:szCs w:val="21"/>
              </w:rPr>
            </w:pPr>
            <w:r>
              <w:rPr>
                <w:rFonts w:hint="eastAsia"/>
                <w:szCs w:val="21"/>
              </w:rPr>
              <w:t>答辩</w:t>
            </w:r>
          </w:p>
        </w:tc>
        <w:tc>
          <w:tcPr>
            <w:tcW w:w="4394" w:type="dxa"/>
          </w:tcPr>
          <w:p w14:paraId="12411EE6">
            <w:pPr>
              <w:ind w:left="360"/>
              <w:rPr>
                <w:szCs w:val="21"/>
              </w:rPr>
            </w:pPr>
            <w:r>
              <w:rPr>
                <w:rFonts w:hint="eastAsia"/>
                <w:szCs w:val="21"/>
              </w:rPr>
              <w:t>答辩展示及导师评分。</w:t>
            </w:r>
          </w:p>
        </w:tc>
        <w:tc>
          <w:tcPr>
            <w:tcW w:w="1389" w:type="dxa"/>
          </w:tcPr>
          <w:p w14:paraId="674B1FB7">
            <w:pPr>
              <w:rPr>
                <w:szCs w:val="21"/>
              </w:rPr>
            </w:pPr>
            <w:r>
              <w:rPr>
                <w:rFonts w:hint="eastAsia"/>
                <w:szCs w:val="21"/>
              </w:rPr>
              <w:t xml:space="preserve">第 </w:t>
            </w:r>
            <w:r>
              <w:rPr>
                <w:szCs w:val="21"/>
              </w:rPr>
              <w:t>18</w:t>
            </w:r>
            <w:r>
              <w:rPr>
                <w:rFonts w:hint="eastAsia"/>
                <w:szCs w:val="21"/>
              </w:rPr>
              <w:t>周</w:t>
            </w:r>
          </w:p>
        </w:tc>
        <w:tc>
          <w:tcPr>
            <w:tcW w:w="1701" w:type="dxa"/>
          </w:tcPr>
          <w:p w14:paraId="480C983B">
            <w:pPr>
              <w:rPr>
                <w:szCs w:val="21"/>
              </w:rPr>
            </w:pPr>
          </w:p>
        </w:tc>
      </w:tr>
    </w:tbl>
    <w:p w14:paraId="6FF8387F">
      <w:pPr>
        <w:spacing w:line="360" w:lineRule="auto"/>
        <w:rPr>
          <w:rFonts w:hAnsi="宋体"/>
          <w:sz w:val="24"/>
        </w:rPr>
      </w:pPr>
      <w:r>
        <w:rPr>
          <w:rFonts w:hint="eastAsia" w:hAnsi="宋体"/>
          <w:sz w:val="24"/>
        </w:rPr>
        <w:t>七、实践成果要求</w:t>
      </w:r>
    </w:p>
    <w:p w14:paraId="209C528E">
      <w:pPr>
        <w:spacing w:line="360" w:lineRule="auto"/>
        <w:rPr>
          <w:rFonts w:hAnsi="宋体"/>
          <w:sz w:val="24"/>
        </w:rPr>
      </w:pPr>
      <w:r>
        <w:rPr>
          <w:rFonts w:hint="eastAsia" w:hAnsi="宋体"/>
          <w:sz w:val="24"/>
        </w:rPr>
        <w:t>1</w:t>
      </w:r>
      <w:r>
        <w:rPr>
          <w:rFonts w:hAnsi="宋体"/>
          <w:sz w:val="24"/>
        </w:rPr>
        <w:t xml:space="preserve">. </w:t>
      </w:r>
      <w:r>
        <w:rPr>
          <w:rFonts w:hint="eastAsia" w:hAnsi="宋体"/>
          <w:sz w:val="24"/>
        </w:rPr>
        <w:t xml:space="preserve">实践总结报告 </w:t>
      </w:r>
      <w:r>
        <w:rPr>
          <w:rFonts w:hAnsi="宋体"/>
          <w:sz w:val="24"/>
        </w:rPr>
        <w:t>1</w:t>
      </w:r>
      <w:r>
        <w:rPr>
          <w:rFonts w:hint="eastAsia" w:hAnsi="宋体"/>
          <w:sz w:val="24"/>
        </w:rPr>
        <w:t>本；</w:t>
      </w:r>
    </w:p>
    <w:p w14:paraId="2817D326">
      <w:pPr>
        <w:spacing w:line="360" w:lineRule="auto"/>
        <w:rPr>
          <w:rFonts w:hAnsi="宋体"/>
          <w:sz w:val="24"/>
        </w:rPr>
      </w:pPr>
      <w:r>
        <w:rPr>
          <w:rFonts w:hint="eastAsia" w:hAnsi="宋体"/>
          <w:sz w:val="24"/>
        </w:rPr>
        <w:t>2</w:t>
      </w:r>
      <w:r>
        <w:rPr>
          <w:rFonts w:hAnsi="宋体"/>
          <w:sz w:val="24"/>
        </w:rPr>
        <w:t>.</w:t>
      </w:r>
      <w:r>
        <w:rPr>
          <w:rFonts w:hint="eastAsia" w:hAnsi="宋体"/>
          <w:sz w:val="24"/>
        </w:rPr>
        <w:t xml:space="preserve"> 项目要求的成果，形成面向两种及以上典型大型复杂构件的磨抛工艺数据库与参数优化报告一份</w:t>
      </w:r>
    </w:p>
    <w:p w14:paraId="5A7CD2A6">
      <w:pPr>
        <w:spacing w:line="360" w:lineRule="auto"/>
        <w:rPr>
          <w:rFonts w:hAnsi="宋体"/>
          <w:sz w:val="24"/>
        </w:rPr>
      </w:pPr>
    </w:p>
    <w:p w14:paraId="350C302C">
      <w:pPr>
        <w:spacing w:line="360" w:lineRule="auto"/>
        <w:rPr>
          <w:rFonts w:hAnsi="宋体"/>
          <w:sz w:val="24"/>
        </w:rPr>
      </w:pPr>
      <w:r>
        <w:rPr>
          <w:rFonts w:hint="eastAsia" w:hAnsi="宋体"/>
          <w:sz w:val="24"/>
        </w:rPr>
        <w:t>八、参考资料</w:t>
      </w:r>
    </w:p>
    <w:p w14:paraId="2FA0D9E2">
      <w:pPr>
        <w:spacing w:line="360" w:lineRule="auto"/>
        <w:rPr>
          <w:rFonts w:hAnsi="宋体"/>
          <w:sz w:val="24"/>
        </w:rPr>
      </w:pPr>
      <w:r>
        <w:rPr>
          <w:rFonts w:hint="eastAsia" w:hAnsi="宋体"/>
          <w:sz w:val="24"/>
        </w:rPr>
        <w:t>无</w:t>
      </w:r>
    </w:p>
    <w:p w14:paraId="48D37B08">
      <w:pPr>
        <w:spacing w:line="360" w:lineRule="auto"/>
        <w:rPr>
          <w:rFonts w:hAnsi="宋体"/>
          <w:sz w:val="24"/>
        </w:rPr>
      </w:pPr>
    </w:p>
    <w:p w14:paraId="7423CA21">
      <w:pPr>
        <w:spacing w:line="360" w:lineRule="auto"/>
        <w:rPr>
          <w:rFonts w:hAnsi="宋体"/>
          <w:sz w:val="24"/>
        </w:rPr>
      </w:pPr>
    </w:p>
    <w:p w14:paraId="1C0E473B">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rPr>
        <w:t>陶波</w:t>
      </w:r>
      <w:r>
        <w:rPr>
          <w:rFonts w:hint="eastAsia"/>
          <w:sz w:val="24"/>
          <w:u w:val="single"/>
          <w:lang w:eastAsia="zh-CN"/>
        </w:rPr>
        <w:t>、龚泽宇</w:t>
      </w:r>
      <w:r>
        <w:rPr>
          <w:sz w:val="24"/>
          <w:u w:val="single"/>
        </w:rPr>
        <w:t xml:space="preserve"> </w:t>
      </w:r>
      <w:r>
        <w:rPr>
          <w:rFonts w:hint="eastAsia"/>
          <w:sz w:val="24"/>
          <w:u w:val="single"/>
        </w:rPr>
        <w:t xml:space="preserve"> </w:t>
      </w:r>
      <w:r>
        <w:rPr>
          <w:sz w:val="24"/>
          <w:u w:val="single"/>
        </w:rPr>
        <w:t xml:space="preserve">          </w:t>
      </w:r>
    </w:p>
    <w:p w14:paraId="6ACF63D8">
      <w:pPr>
        <w:ind w:firstLine="4320" w:firstLineChars="1800"/>
        <w:rPr>
          <w:rFonts w:hint="default"/>
          <w:sz w:val="24"/>
          <w:u w:val="single"/>
          <w:lang w:val="en-US"/>
        </w:rPr>
      </w:pPr>
      <w:r>
        <w:rPr>
          <w:rFonts w:hint="eastAsia"/>
          <w:sz w:val="24"/>
        </w:rPr>
        <w:t>企业导师：</w:t>
      </w:r>
      <w:r>
        <w:rPr>
          <w:rFonts w:hint="eastAsia"/>
          <w:sz w:val="24"/>
          <w:lang w:val="en-US" w:eastAsia="zh-CN"/>
        </w:rPr>
        <w:t xml:space="preserve"> </w:t>
      </w:r>
      <w:r>
        <w:rPr>
          <w:rFonts w:hint="eastAsia"/>
          <w:sz w:val="24"/>
          <w:u w:val="single"/>
        </w:rPr>
        <w:t>朱建康</w:t>
      </w:r>
      <w:r>
        <w:rPr>
          <w:rFonts w:hint="eastAsia"/>
          <w:sz w:val="24"/>
          <w:u w:val="single"/>
          <w:lang w:eastAsia="zh-CN"/>
        </w:rPr>
        <w:t>、范亚军</w:t>
      </w:r>
      <w:r>
        <w:rPr>
          <w:rFonts w:hint="eastAsia"/>
          <w:sz w:val="24"/>
          <w:u w:val="single"/>
          <w:lang w:val="en-US" w:eastAsia="zh-CN"/>
        </w:rPr>
        <w:t xml:space="preserve"> </w:t>
      </w:r>
    </w:p>
    <w:p w14:paraId="31364543">
      <w:pPr>
        <w:ind w:right="96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val="en-US"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21</w:t>
      </w:r>
      <w:r>
        <w:rPr>
          <w:rFonts w:hint="eastAsia" w:ascii="宋体" w:hAnsi="宋体"/>
          <w:sz w:val="24"/>
        </w:rPr>
        <w:t>日</w:t>
      </w:r>
    </w:p>
    <w:p w14:paraId="0A0BF57B">
      <w:pPr>
        <w:ind w:right="960"/>
        <w:jc w:val="right"/>
        <w:rPr>
          <w:sz w:val="24"/>
          <w:u w:val="single"/>
        </w:rPr>
      </w:pPr>
    </w:p>
    <w:p w14:paraId="07D536DF">
      <w:pPr>
        <w:rPr>
          <w:rFonts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F39E82"/>
    <w:multiLevelType w:val="singleLevel"/>
    <w:tmpl w:val="34F39E8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C3"/>
    <w:rsid w:val="0000478B"/>
    <w:rsid w:val="0000776B"/>
    <w:rsid w:val="00042EC6"/>
    <w:rsid w:val="000840A3"/>
    <w:rsid w:val="000A02D7"/>
    <w:rsid w:val="000F7C9A"/>
    <w:rsid w:val="00104ECA"/>
    <w:rsid w:val="0011195E"/>
    <w:rsid w:val="00154848"/>
    <w:rsid w:val="001C1D97"/>
    <w:rsid w:val="001C4F92"/>
    <w:rsid w:val="001D25A4"/>
    <w:rsid w:val="001D4285"/>
    <w:rsid w:val="0022584E"/>
    <w:rsid w:val="002412A8"/>
    <w:rsid w:val="00250E43"/>
    <w:rsid w:val="003123AE"/>
    <w:rsid w:val="00315E05"/>
    <w:rsid w:val="00440785"/>
    <w:rsid w:val="004B2CEC"/>
    <w:rsid w:val="004E0DD3"/>
    <w:rsid w:val="004E21C3"/>
    <w:rsid w:val="004E27D8"/>
    <w:rsid w:val="005478AB"/>
    <w:rsid w:val="0058731D"/>
    <w:rsid w:val="005B5E15"/>
    <w:rsid w:val="005C358C"/>
    <w:rsid w:val="005C3FDD"/>
    <w:rsid w:val="005C693B"/>
    <w:rsid w:val="005E39E1"/>
    <w:rsid w:val="00637532"/>
    <w:rsid w:val="006624FA"/>
    <w:rsid w:val="00691822"/>
    <w:rsid w:val="006A2BFB"/>
    <w:rsid w:val="006C0B29"/>
    <w:rsid w:val="006D5D58"/>
    <w:rsid w:val="00711D37"/>
    <w:rsid w:val="007714BD"/>
    <w:rsid w:val="00797CF6"/>
    <w:rsid w:val="00797DE0"/>
    <w:rsid w:val="007A21A9"/>
    <w:rsid w:val="007A6F10"/>
    <w:rsid w:val="007B54EF"/>
    <w:rsid w:val="007C3991"/>
    <w:rsid w:val="007D3F4A"/>
    <w:rsid w:val="007F2482"/>
    <w:rsid w:val="00812F6B"/>
    <w:rsid w:val="0082227E"/>
    <w:rsid w:val="00850940"/>
    <w:rsid w:val="008B1488"/>
    <w:rsid w:val="008B3600"/>
    <w:rsid w:val="008C7BB0"/>
    <w:rsid w:val="00910B19"/>
    <w:rsid w:val="009118DD"/>
    <w:rsid w:val="00914343"/>
    <w:rsid w:val="00917D9D"/>
    <w:rsid w:val="00921E12"/>
    <w:rsid w:val="009248C3"/>
    <w:rsid w:val="00942C48"/>
    <w:rsid w:val="00947571"/>
    <w:rsid w:val="00970541"/>
    <w:rsid w:val="00982345"/>
    <w:rsid w:val="00986EC4"/>
    <w:rsid w:val="009B0E97"/>
    <w:rsid w:val="009B1B80"/>
    <w:rsid w:val="00A30A04"/>
    <w:rsid w:val="00A43768"/>
    <w:rsid w:val="00A63C77"/>
    <w:rsid w:val="00A669D4"/>
    <w:rsid w:val="00AB2844"/>
    <w:rsid w:val="00AD7149"/>
    <w:rsid w:val="00AF6B2D"/>
    <w:rsid w:val="00B65B40"/>
    <w:rsid w:val="00BD04F1"/>
    <w:rsid w:val="00C025F6"/>
    <w:rsid w:val="00C117CC"/>
    <w:rsid w:val="00C92902"/>
    <w:rsid w:val="00CC4DB6"/>
    <w:rsid w:val="00CE38E7"/>
    <w:rsid w:val="00D121EB"/>
    <w:rsid w:val="00D44EC5"/>
    <w:rsid w:val="00D61476"/>
    <w:rsid w:val="00DA435C"/>
    <w:rsid w:val="00DA4F16"/>
    <w:rsid w:val="00E238FB"/>
    <w:rsid w:val="00E82FDE"/>
    <w:rsid w:val="00E957D6"/>
    <w:rsid w:val="00ED6DD9"/>
    <w:rsid w:val="00EF626E"/>
    <w:rsid w:val="00F02BA1"/>
    <w:rsid w:val="00F03FD6"/>
    <w:rsid w:val="00F1081F"/>
    <w:rsid w:val="00F10A39"/>
    <w:rsid w:val="00F2591C"/>
    <w:rsid w:val="00F411B2"/>
    <w:rsid w:val="00F51425"/>
    <w:rsid w:val="00F86C85"/>
    <w:rsid w:val="00FB789E"/>
    <w:rsid w:val="00FE31AE"/>
    <w:rsid w:val="00FE3893"/>
    <w:rsid w:val="00FE6E7F"/>
    <w:rsid w:val="046D3FD5"/>
    <w:rsid w:val="103E61FE"/>
    <w:rsid w:val="152F3228"/>
    <w:rsid w:val="16634AAB"/>
    <w:rsid w:val="28447CFB"/>
    <w:rsid w:val="28E96D7F"/>
    <w:rsid w:val="31C03D18"/>
    <w:rsid w:val="3EC2794D"/>
    <w:rsid w:val="3FEF425E"/>
    <w:rsid w:val="5048261F"/>
    <w:rsid w:val="6A585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9">
    <w:name w:val="标题 2 字符"/>
    <w:basedOn w:val="7"/>
    <w:link w:val="3"/>
    <w:qFormat/>
    <w:uiPriority w:val="9"/>
    <w:rPr>
      <w:rFonts w:asciiTheme="majorHAnsi" w:hAnsiTheme="majorHAnsi" w:eastAsiaTheme="majorEastAsia" w:cstheme="majorBidi"/>
      <w:b/>
      <w:bCs/>
      <w:sz w:val="32"/>
      <w:szCs w:val="32"/>
    </w:rPr>
  </w:style>
  <w:style w:type="character" w:customStyle="1" w:styleId="10">
    <w:name w:val="标题 1 字符"/>
    <w:basedOn w:val="7"/>
    <w:link w:val="2"/>
    <w:qFormat/>
    <w:uiPriority w:val="9"/>
    <w:rPr>
      <w:b/>
      <w:bCs/>
      <w:kern w:val="44"/>
      <w:sz w:val="44"/>
      <w:szCs w:val="44"/>
    </w:rPr>
  </w:style>
  <w:style w:type="character" w:customStyle="1" w:styleId="11">
    <w:name w:val="未处理的提及1"/>
    <w:basedOn w:val="7"/>
    <w:semiHidden/>
    <w:unhideWhenUsed/>
    <w:qFormat/>
    <w:uiPriority w:val="99"/>
    <w:rPr>
      <w:color w:val="605E5C"/>
      <w:shd w:val="clear" w:color="auto" w:fill="E1DFDD"/>
    </w:rPr>
  </w:style>
  <w:style w:type="character" w:customStyle="1" w:styleId="12">
    <w:name w:val="页眉 字符"/>
    <w:basedOn w:val="7"/>
    <w:link w:val="5"/>
    <w:qFormat/>
    <w:uiPriority w:val="99"/>
    <w:rPr>
      <w:kern w:val="2"/>
      <w:sz w:val="18"/>
      <w:szCs w:val="18"/>
      <w14:ligatures w14:val="standardContextual"/>
    </w:rPr>
  </w:style>
  <w:style w:type="character" w:customStyle="1" w:styleId="13">
    <w:name w:val="页脚 字符"/>
    <w:basedOn w:val="7"/>
    <w:link w:val="4"/>
    <w:qFormat/>
    <w:uiPriority w:val="99"/>
    <w:rPr>
      <w:kern w:val="2"/>
      <w:sz w:val="18"/>
      <w:szCs w:val="18"/>
      <w14:ligatures w14:val="standardContextual"/>
    </w:rPr>
  </w:style>
  <w:style w:type="paragraph" w:styleId="14">
    <w:name w:val="List Paragraph"/>
    <w:basedOn w:val="1"/>
    <w:qFormat/>
    <w:uiPriority w:val="34"/>
    <w:pPr>
      <w:widowControl/>
      <w:ind w:left="720"/>
      <w:contextualSpacing/>
      <w:jc w:val="left"/>
    </w:pPr>
    <w:rPr>
      <w:rFonts w:ascii="宋体" w:hAnsi="宋体" w:eastAsia="宋体" w:cs="宋体"/>
      <w:kern w:val="0"/>
      <w:sz w:val="24"/>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1188</Words>
  <Characters>1237</Characters>
  <Lines>10</Lines>
  <Paragraphs>2</Paragraphs>
  <TotalTime>0</TotalTime>
  <ScaleCrop>false</ScaleCrop>
  <LinksUpToDate>false</LinksUpToDate>
  <CharactersWithSpaces>1370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2025-01-12T01:40:00Z</dcterms:created>
  <dc:creator>WY Yu</dc:creator>
  <cp:lastModifiedBy>Echo</cp:lastModifiedBy>
  <dcterms:modified xsi:type="dcterms:W3CDTF">2025-03-21T09:24:38Z</dcterms:modified>
  <cp:revision>121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E359C10AEBFB452FBDEDA08ECFEB0BE9_13</vt:lpwstr>
  </property>
  <property fmtid="{D5CDD505-2E9C-101B-9397-08002B2CF9AE}" pid="4" name="KSOTemplateDocerSaveRecord">
    <vt:lpwstr>eyJoZGlkIjoiM2I0MmYwODc5MTZmNzhlMzZhOTY3ZTA4NDQ5YTRjOTUiLCJ1c2VySWQiOiI2NTUzNTIyMzEifQ==</vt:lpwstr>
  </property>
</Properties>
</file>