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E129DF" w14:textId="77777777" w:rsidR="0083639F" w:rsidRDefault="00807372">
      <w:pPr>
        <w:jc w:val="center"/>
        <w:rPr>
          <w:rFonts w:ascii="Microsoft YaHei" w:eastAsia="Microsoft YaHei" w:hAnsi="Microsoft YaHei" w:cs="Microsoft YaHei"/>
          <w:b/>
          <w:bCs/>
          <w:sz w:val="36"/>
          <w:szCs w:val="36"/>
          <w:u w:val="single"/>
        </w:rPr>
      </w:pPr>
      <w:r>
        <w:rPr>
          <w:rFonts w:ascii="Microsoft YaHei" w:eastAsia="Microsoft YaHei" w:hAnsi="Microsoft YaHei" w:cs="Microsoft YaHei" w:hint="eastAsia"/>
          <w:b/>
          <w:bCs/>
          <w:sz w:val="36"/>
          <w:szCs w:val="36"/>
          <w:u w:val="single"/>
        </w:rPr>
        <w:t>考核要求</w:t>
      </w:r>
    </w:p>
    <w:p w14:paraId="331013F9" w14:textId="77777777" w:rsidR="0083639F" w:rsidRDefault="0083639F">
      <w:pPr>
        <w:jc w:val="center"/>
        <w:rPr>
          <w:rFonts w:ascii="Microsoft YaHei" w:eastAsia="Microsoft YaHei" w:hAnsi="Microsoft YaHei" w:cs="Microsoft YaHei"/>
          <w:b/>
          <w:bCs/>
          <w:sz w:val="36"/>
          <w:szCs w:val="36"/>
          <w:u w:val="single"/>
        </w:rPr>
      </w:pPr>
    </w:p>
    <w:p w14:paraId="0ADB07A2" w14:textId="77777777" w:rsidR="0083639F" w:rsidRDefault="00807372">
      <w:pPr>
        <w:numPr>
          <w:ilvl w:val="0"/>
          <w:numId w:val="2"/>
        </w:numPr>
        <w:jc w:val="left"/>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每位同学完成一篇中期报告，</w:t>
      </w:r>
      <w:r>
        <w:rPr>
          <w:rFonts w:ascii="Microsoft YaHei" w:eastAsia="Microsoft YaHei" w:hAnsi="Microsoft YaHei" w:cs="Microsoft YaHei" w:hint="eastAsia"/>
          <w:color w:val="FF0000"/>
          <w:sz w:val="28"/>
          <w:szCs w:val="28"/>
        </w:rPr>
        <w:t>2000字以上</w:t>
      </w:r>
    </w:p>
    <w:p w14:paraId="0FC092F8" w14:textId="77777777" w:rsidR="0083639F" w:rsidRDefault="00807372">
      <w:pPr>
        <w:numPr>
          <w:ilvl w:val="0"/>
          <w:numId w:val="2"/>
        </w:numPr>
        <w:jc w:val="left"/>
        <w:rPr>
          <w:rFonts w:ascii="Microsoft YaHei" w:eastAsia="Microsoft YaHei" w:hAnsi="Microsoft YaHei" w:cs="Microsoft YaHei"/>
          <w:color w:val="FF0000"/>
          <w:sz w:val="28"/>
          <w:szCs w:val="28"/>
        </w:rPr>
      </w:pPr>
      <w:r>
        <w:rPr>
          <w:rFonts w:ascii="Microsoft YaHei" w:eastAsia="Microsoft YaHei" w:hAnsi="Microsoft YaHei" w:cs="Microsoft YaHei" w:hint="eastAsia"/>
          <w:sz w:val="28"/>
          <w:szCs w:val="28"/>
        </w:rPr>
        <w:t>报告内容：</w:t>
      </w:r>
      <w:r>
        <w:rPr>
          <w:rFonts w:ascii="Microsoft YaHei" w:eastAsia="Microsoft YaHei" w:hAnsi="Microsoft YaHei" w:cs="Microsoft YaHei" w:hint="eastAsia"/>
          <w:color w:val="FF0000"/>
          <w:sz w:val="28"/>
          <w:szCs w:val="28"/>
        </w:rPr>
        <w:t>项目来源，研究目的和意义，主要研究内容和关键技术，创新点，中期成果，下一步研究计划</w:t>
      </w:r>
    </w:p>
    <w:p w14:paraId="69D2E1A6" w14:textId="77777777" w:rsidR="0083639F" w:rsidRDefault="00807372">
      <w:pPr>
        <w:numPr>
          <w:ilvl w:val="0"/>
          <w:numId w:val="2"/>
        </w:numPr>
        <w:jc w:val="left"/>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提交要求：2025年1月15日前</w:t>
      </w:r>
      <w:r>
        <w:rPr>
          <w:rFonts w:ascii="Microsoft YaHei" w:eastAsia="Microsoft YaHei" w:hAnsi="Microsoft YaHei" w:cs="Microsoft YaHei" w:hint="eastAsia"/>
          <w:sz w:val="28"/>
          <w:szCs w:val="28"/>
        </w:rPr>
        <w:fldChar w:fldCharType="begin"/>
      </w:r>
      <w:r>
        <w:rPr>
          <w:rFonts w:ascii="Microsoft YaHei" w:eastAsia="Microsoft YaHei" w:hAnsi="Microsoft YaHei" w:cs="Microsoft YaHei" w:hint="eastAsia"/>
          <w:sz w:val="28"/>
          <w:szCs w:val="28"/>
        </w:rPr>
        <w:instrText xml:space="preserve"> HYPERLINK "mailto:课程结束后以班为单位10天内提交至教务科（邮箱2351550655@qq.com," </w:instrText>
      </w:r>
      <w:r>
        <w:rPr>
          <w:rFonts w:ascii="Microsoft YaHei" w:eastAsia="Microsoft YaHei" w:hAnsi="Microsoft YaHei" w:cs="Microsoft YaHei" w:hint="eastAsia"/>
          <w:sz w:val="28"/>
          <w:szCs w:val="28"/>
        </w:rPr>
      </w:r>
      <w:r>
        <w:rPr>
          <w:rFonts w:ascii="Microsoft YaHei" w:eastAsia="Microsoft YaHei" w:hAnsi="Microsoft YaHei" w:cs="Microsoft YaHei" w:hint="eastAsia"/>
          <w:sz w:val="28"/>
          <w:szCs w:val="28"/>
        </w:rPr>
        <w:fldChar w:fldCharType="separate"/>
      </w:r>
      <w:r>
        <w:rPr>
          <w:rStyle w:val="Hyperlink"/>
          <w:rFonts w:ascii="Microsoft YaHei" w:eastAsia="Microsoft YaHei" w:hAnsi="Microsoft YaHei" w:cs="Microsoft YaHei" w:hint="eastAsia"/>
          <w:color w:val="FF0000"/>
          <w:sz w:val="28"/>
          <w:szCs w:val="28"/>
          <w:u w:val="none"/>
        </w:rPr>
        <w:t>提交至指导老师</w:t>
      </w:r>
      <w:r>
        <w:rPr>
          <w:rFonts w:ascii="Microsoft YaHei" w:eastAsia="Microsoft YaHei" w:hAnsi="Microsoft YaHei" w:cs="Microsoft YaHei" w:hint="eastAsia"/>
          <w:sz w:val="28"/>
          <w:szCs w:val="28"/>
        </w:rPr>
        <w:fldChar w:fldCharType="end"/>
      </w:r>
    </w:p>
    <w:p w14:paraId="5A2787ED" w14:textId="77777777" w:rsidR="0083639F" w:rsidRDefault="00807372">
      <w:pPr>
        <w:numPr>
          <w:ilvl w:val="0"/>
          <w:numId w:val="2"/>
        </w:numPr>
        <w:jc w:val="left"/>
        <w:rPr>
          <w:rFonts w:ascii="Microsoft YaHei" w:eastAsia="Microsoft YaHei" w:hAnsi="Microsoft YaHei" w:cs="Microsoft YaHei"/>
          <w:sz w:val="28"/>
          <w:szCs w:val="28"/>
        </w:rPr>
      </w:pPr>
      <w:r>
        <w:rPr>
          <w:rFonts w:ascii="Microsoft YaHei" w:eastAsia="Microsoft YaHei" w:hAnsi="Microsoft YaHei" w:cs="Microsoft YaHei" w:hint="eastAsia"/>
          <w:sz w:val="28"/>
          <w:szCs w:val="28"/>
        </w:rPr>
        <w:t>注意：严禁抄袭，杜绝照搬AI</w:t>
      </w:r>
    </w:p>
    <w:p w14:paraId="39967B25" w14:textId="77777777" w:rsidR="0083639F" w:rsidRDefault="00807372">
      <w:pPr>
        <w:widowControl/>
        <w:jc w:val="left"/>
        <w:rPr>
          <w:rFonts w:ascii="Microsoft YaHei" w:eastAsia="Microsoft YaHei" w:hAnsi="Microsoft YaHei" w:cs="Microsoft YaHei"/>
          <w:sz w:val="56"/>
          <w:szCs w:val="56"/>
        </w:rPr>
      </w:pPr>
      <w:r>
        <w:rPr>
          <w:rFonts w:ascii="Microsoft YaHei" w:eastAsia="Microsoft YaHei" w:hAnsi="Microsoft YaHei" w:cs="Microsoft YaHei"/>
          <w:sz w:val="56"/>
          <w:szCs w:val="56"/>
        </w:rPr>
        <w:br w:type="page"/>
      </w:r>
    </w:p>
    <w:p w14:paraId="5CFF116F" w14:textId="77777777" w:rsidR="0083639F" w:rsidRDefault="00807372">
      <w:pPr>
        <w:jc w:val="center"/>
        <w:rPr>
          <w:rFonts w:ascii="Microsoft YaHei" w:eastAsia="Microsoft YaHei" w:hAnsi="Microsoft YaHei" w:cs="Microsoft YaHei"/>
          <w:sz w:val="56"/>
          <w:szCs w:val="56"/>
        </w:rPr>
      </w:pPr>
      <w:r>
        <w:rPr>
          <w:noProof/>
        </w:rPr>
        <w:lastRenderedPageBreak/>
        <w:drawing>
          <wp:inline distT="0" distB="0" distL="114300" distR="114300" wp14:anchorId="30D3F2CC" wp14:editId="4E163F9F">
            <wp:extent cx="1834515" cy="1836420"/>
            <wp:effectExtent l="0" t="0" r="13335"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834515" cy="1836420"/>
                    </a:xfrm>
                    <a:prstGeom prst="rect">
                      <a:avLst/>
                    </a:prstGeom>
                  </pic:spPr>
                </pic:pic>
              </a:graphicData>
            </a:graphic>
          </wp:inline>
        </w:drawing>
      </w:r>
    </w:p>
    <w:p w14:paraId="404CA4BE" w14:textId="77777777" w:rsidR="0083639F" w:rsidRDefault="0083639F">
      <w:pPr>
        <w:jc w:val="center"/>
        <w:rPr>
          <w:rFonts w:ascii="KaiTi" w:eastAsia="KaiTi" w:hAnsi="KaiTi" w:cs="KaiTi"/>
          <w:sz w:val="32"/>
          <w:szCs w:val="32"/>
        </w:rPr>
      </w:pPr>
    </w:p>
    <w:p w14:paraId="5758E98F" w14:textId="77777777" w:rsidR="0083639F" w:rsidRDefault="0083639F">
      <w:pPr>
        <w:jc w:val="center"/>
        <w:rPr>
          <w:rFonts w:ascii="KaiTi" w:eastAsia="KaiTi" w:hAnsi="KaiTi" w:cs="KaiTi"/>
          <w:sz w:val="32"/>
          <w:szCs w:val="32"/>
        </w:rPr>
      </w:pPr>
    </w:p>
    <w:p w14:paraId="0904F94E" w14:textId="77777777" w:rsidR="0083639F" w:rsidRDefault="0083639F">
      <w:pPr>
        <w:jc w:val="center"/>
        <w:rPr>
          <w:rFonts w:ascii="Microsoft YaHei" w:eastAsia="Microsoft YaHei" w:hAnsi="Microsoft YaHei" w:cs="KaiTi"/>
          <w:b/>
          <w:sz w:val="32"/>
          <w:szCs w:val="32"/>
        </w:rPr>
      </w:pPr>
    </w:p>
    <w:p w14:paraId="1EDCDD76" w14:textId="77777777" w:rsidR="0083639F" w:rsidRDefault="00807372">
      <w:pPr>
        <w:jc w:val="center"/>
        <w:rPr>
          <w:rFonts w:ascii="Microsoft YaHei" w:eastAsia="Microsoft YaHei" w:hAnsi="Microsoft YaHei" w:cs="KaiTi"/>
          <w:b/>
          <w:sz w:val="32"/>
          <w:szCs w:val="32"/>
        </w:rPr>
      </w:pPr>
      <w:r>
        <w:rPr>
          <w:rFonts w:ascii="Microsoft YaHei" w:eastAsia="Microsoft YaHei" w:hAnsi="Microsoft YaHei" w:cs="KaiTi" w:hint="eastAsia"/>
          <w:b/>
          <w:sz w:val="32"/>
          <w:szCs w:val="32"/>
        </w:rPr>
        <w:t>机械科学与工程学院</w:t>
      </w:r>
    </w:p>
    <w:p w14:paraId="1A28AD38" w14:textId="77777777" w:rsidR="0083639F" w:rsidRDefault="0083639F">
      <w:pPr>
        <w:jc w:val="center"/>
        <w:rPr>
          <w:rFonts w:ascii="Microsoft YaHei" w:eastAsia="Microsoft YaHei" w:hAnsi="Microsoft YaHei" w:cs="KaiTi"/>
          <w:b/>
          <w:sz w:val="32"/>
          <w:szCs w:val="32"/>
        </w:rPr>
      </w:pPr>
    </w:p>
    <w:p w14:paraId="2589FD69" w14:textId="77777777" w:rsidR="0083639F" w:rsidRDefault="00807372">
      <w:pPr>
        <w:jc w:val="center"/>
        <w:rPr>
          <w:rFonts w:ascii="Microsoft YaHei" w:eastAsia="Microsoft YaHei" w:hAnsi="Microsoft YaHei" w:cs="KaiTi"/>
          <w:b/>
          <w:sz w:val="52"/>
          <w:szCs w:val="52"/>
        </w:rPr>
      </w:pPr>
      <w:r>
        <w:rPr>
          <w:rFonts w:ascii="Microsoft YaHei" w:eastAsia="Microsoft YaHei" w:hAnsi="Microsoft YaHei" w:cs="KaiTi" w:hint="eastAsia"/>
          <w:b/>
          <w:sz w:val="52"/>
          <w:szCs w:val="52"/>
        </w:rPr>
        <w:t>《创新项目实践》中期报告</w:t>
      </w:r>
    </w:p>
    <w:p w14:paraId="39CB643C" w14:textId="77777777" w:rsidR="0083639F" w:rsidRDefault="0083639F">
      <w:pPr>
        <w:jc w:val="center"/>
        <w:rPr>
          <w:rFonts w:ascii="Microsoft YaHei" w:eastAsia="Microsoft YaHei" w:hAnsi="Microsoft YaHei" w:cs="KaiTi"/>
          <w:b/>
          <w:sz w:val="32"/>
          <w:szCs w:val="32"/>
        </w:rPr>
      </w:pPr>
    </w:p>
    <w:p w14:paraId="4AD12963" w14:textId="77777777" w:rsidR="0083639F" w:rsidRDefault="00807372">
      <w:pPr>
        <w:jc w:val="center"/>
        <w:rPr>
          <w:rFonts w:ascii="Microsoft YaHei" w:eastAsia="Microsoft YaHei" w:hAnsi="Microsoft YaHei" w:cs="KaiTi"/>
          <w:b/>
          <w:sz w:val="32"/>
          <w:szCs w:val="32"/>
        </w:rPr>
      </w:pPr>
      <w:r>
        <w:rPr>
          <w:rFonts w:ascii="Microsoft YaHei" w:eastAsia="Microsoft YaHei" w:hAnsi="Microsoft YaHei" w:cs="KaiTi" w:hint="eastAsia"/>
          <w:b/>
          <w:sz w:val="32"/>
          <w:szCs w:val="32"/>
        </w:rPr>
        <w:t>（题目：菲涅尔声学透镜的设计与仿真中期报告）</w:t>
      </w:r>
    </w:p>
    <w:p w14:paraId="552DA1C4" w14:textId="77777777" w:rsidR="0083639F" w:rsidRDefault="0083639F">
      <w:pPr>
        <w:spacing w:line="324" w:lineRule="auto"/>
        <w:jc w:val="center"/>
        <w:rPr>
          <w:rFonts w:ascii="KaiTi" w:eastAsia="KaiTi" w:hAnsi="KaiTi" w:cs="KaiTi"/>
          <w:color w:val="auto"/>
          <w:sz w:val="44"/>
          <w:szCs w:val="44"/>
        </w:rPr>
      </w:pPr>
    </w:p>
    <w:p w14:paraId="52A3BE22" w14:textId="77777777" w:rsidR="0083639F" w:rsidRDefault="0083639F">
      <w:pPr>
        <w:spacing w:line="324" w:lineRule="auto"/>
        <w:jc w:val="center"/>
        <w:rPr>
          <w:rFonts w:ascii="KaiTi" w:eastAsia="KaiTi" w:hAnsi="KaiTi" w:cs="KaiTi"/>
          <w:color w:val="auto"/>
          <w:sz w:val="44"/>
          <w:szCs w:val="44"/>
        </w:rPr>
      </w:pPr>
    </w:p>
    <w:p w14:paraId="6EC207B3" w14:textId="77777777" w:rsidR="0083639F" w:rsidRDefault="0083639F">
      <w:pPr>
        <w:spacing w:line="324" w:lineRule="auto"/>
        <w:jc w:val="center"/>
        <w:rPr>
          <w:rFonts w:ascii="KaiTi" w:eastAsia="KaiTi" w:hAnsi="KaiTi" w:cs="KaiTi"/>
          <w:color w:val="auto"/>
          <w:sz w:val="44"/>
          <w:szCs w:val="44"/>
        </w:rPr>
      </w:pPr>
    </w:p>
    <w:tbl>
      <w:tblPr>
        <w:tblW w:w="6525" w:type="dxa"/>
        <w:jc w:val="center"/>
        <w:tblLook w:val="04A0" w:firstRow="1" w:lastRow="0" w:firstColumn="1" w:lastColumn="0" w:noHBand="0" w:noVBand="1"/>
      </w:tblPr>
      <w:tblGrid>
        <w:gridCol w:w="1696"/>
        <w:gridCol w:w="4829"/>
      </w:tblGrid>
      <w:tr w:rsidR="0083639F" w14:paraId="10F81667" w14:textId="77777777" w:rsidTr="00AE2919">
        <w:trPr>
          <w:trHeight w:val="521"/>
          <w:jc w:val="center"/>
        </w:trPr>
        <w:tc>
          <w:tcPr>
            <w:tcW w:w="1696" w:type="dxa"/>
          </w:tcPr>
          <w:p w14:paraId="24AE46B4" w14:textId="77777777" w:rsidR="0083639F" w:rsidRDefault="00807372">
            <w:pPr>
              <w:spacing w:line="324" w:lineRule="auto"/>
              <w:rPr>
                <w:rFonts w:ascii="Microsoft YaHei" w:eastAsia="Microsoft YaHei" w:hAnsi="Microsoft YaHei" w:cs="KaiTi"/>
                <w:b/>
                <w:color w:val="auto"/>
                <w:sz w:val="28"/>
                <w:szCs w:val="28"/>
              </w:rPr>
            </w:pPr>
            <w:r>
              <w:rPr>
                <w:rFonts w:ascii="Microsoft YaHei" w:eastAsia="Microsoft YaHei" w:hAnsi="Microsoft YaHei" w:cs="KaiTi" w:hint="eastAsia"/>
                <w:b/>
                <w:color w:val="auto"/>
                <w:sz w:val="28"/>
                <w:szCs w:val="28"/>
              </w:rPr>
              <w:t xml:space="preserve">姓 </w:t>
            </w:r>
            <w:r>
              <w:rPr>
                <w:rFonts w:ascii="Microsoft YaHei" w:eastAsia="Microsoft YaHei" w:hAnsi="Microsoft YaHei" w:cs="KaiTi"/>
                <w:b/>
                <w:color w:val="auto"/>
                <w:sz w:val="28"/>
                <w:szCs w:val="28"/>
              </w:rPr>
              <w:t xml:space="preserve">     </w:t>
            </w:r>
            <w:r>
              <w:rPr>
                <w:rFonts w:ascii="Microsoft YaHei" w:eastAsia="Microsoft YaHei" w:hAnsi="Microsoft YaHei" w:cs="KaiTi" w:hint="eastAsia"/>
                <w:b/>
                <w:color w:val="auto"/>
                <w:sz w:val="28"/>
                <w:szCs w:val="28"/>
              </w:rPr>
              <w:t>名</w:t>
            </w:r>
          </w:p>
        </w:tc>
        <w:tc>
          <w:tcPr>
            <w:tcW w:w="4829" w:type="dxa"/>
          </w:tcPr>
          <w:p w14:paraId="4CDB37CA" w14:textId="77777777" w:rsidR="0083639F" w:rsidRDefault="00807372">
            <w:pPr>
              <w:spacing w:line="324" w:lineRule="auto"/>
              <w:rPr>
                <w:rFonts w:ascii="KaiTi" w:eastAsia="KaiTi" w:hAnsi="KaiTi" w:cs="KaiTi"/>
                <w:color w:val="auto"/>
                <w:sz w:val="28"/>
                <w:szCs w:val="28"/>
              </w:rPr>
            </w:pPr>
            <w:r>
              <w:rPr>
                <w:rFonts w:ascii="KaiTi" w:eastAsia="KaiTi" w:hAnsi="KaiTi" w:cs="KaiTi" w:hint="eastAsia"/>
                <w:color w:val="auto"/>
                <w:sz w:val="28"/>
                <w:szCs w:val="28"/>
              </w:rPr>
              <w:t>梁敏诗</w:t>
            </w:r>
          </w:p>
        </w:tc>
      </w:tr>
      <w:tr w:rsidR="0083639F" w14:paraId="20494C60" w14:textId="77777777">
        <w:trPr>
          <w:jc w:val="center"/>
        </w:trPr>
        <w:tc>
          <w:tcPr>
            <w:tcW w:w="1696" w:type="dxa"/>
          </w:tcPr>
          <w:p w14:paraId="188034FA" w14:textId="77777777" w:rsidR="0083639F" w:rsidRDefault="00807372">
            <w:pPr>
              <w:spacing w:line="324" w:lineRule="auto"/>
              <w:rPr>
                <w:rFonts w:ascii="Microsoft YaHei" w:eastAsia="Microsoft YaHei" w:hAnsi="Microsoft YaHei" w:cs="KaiTi"/>
                <w:b/>
                <w:color w:val="auto"/>
                <w:sz w:val="28"/>
                <w:szCs w:val="28"/>
              </w:rPr>
            </w:pPr>
            <w:r>
              <w:rPr>
                <w:rFonts w:ascii="Microsoft YaHei" w:eastAsia="Microsoft YaHei" w:hAnsi="Microsoft YaHei" w:cs="KaiTi" w:hint="eastAsia"/>
                <w:b/>
                <w:color w:val="auto"/>
                <w:sz w:val="28"/>
                <w:szCs w:val="28"/>
              </w:rPr>
              <w:t xml:space="preserve">班 </w:t>
            </w:r>
            <w:r>
              <w:rPr>
                <w:rFonts w:ascii="Microsoft YaHei" w:eastAsia="Microsoft YaHei" w:hAnsi="Microsoft YaHei" w:cs="KaiTi"/>
                <w:b/>
                <w:color w:val="auto"/>
                <w:sz w:val="28"/>
                <w:szCs w:val="28"/>
              </w:rPr>
              <w:t xml:space="preserve">     </w:t>
            </w:r>
            <w:r>
              <w:rPr>
                <w:rFonts w:ascii="Microsoft YaHei" w:eastAsia="Microsoft YaHei" w:hAnsi="Microsoft YaHei" w:cs="KaiTi" w:hint="eastAsia"/>
                <w:b/>
                <w:color w:val="auto"/>
                <w:sz w:val="28"/>
                <w:szCs w:val="28"/>
              </w:rPr>
              <w:t>级</w:t>
            </w:r>
          </w:p>
        </w:tc>
        <w:tc>
          <w:tcPr>
            <w:tcW w:w="4829" w:type="dxa"/>
          </w:tcPr>
          <w:p w14:paraId="097D2035" w14:textId="77777777" w:rsidR="0083639F" w:rsidRPr="00AE2919" w:rsidRDefault="00807372">
            <w:pPr>
              <w:spacing w:beforeLines="50" w:before="120" w:line="324" w:lineRule="auto"/>
              <w:rPr>
                <w:rFonts w:ascii="KaiTi" w:eastAsia="KaiTi" w:hAnsi="KaiTi" w:cs="KaiTi"/>
                <w:color w:val="auto"/>
                <w:sz w:val="28"/>
                <w:szCs w:val="28"/>
              </w:rPr>
            </w:pPr>
            <w:r w:rsidRPr="00AE2919">
              <w:rPr>
                <w:rFonts w:ascii="KaiTi" w:eastAsia="KaiTi" w:hAnsi="KaiTi" w:cs="KaiTi" w:hint="eastAsia"/>
                <w:color w:val="auto"/>
                <w:sz w:val="28"/>
                <w:szCs w:val="28"/>
              </w:rPr>
              <w:t>机械本硕博2201班</w:t>
            </w:r>
          </w:p>
        </w:tc>
      </w:tr>
      <w:tr w:rsidR="0083639F" w14:paraId="6FD69FEF" w14:textId="77777777">
        <w:trPr>
          <w:jc w:val="center"/>
        </w:trPr>
        <w:tc>
          <w:tcPr>
            <w:tcW w:w="1696" w:type="dxa"/>
          </w:tcPr>
          <w:p w14:paraId="3703BE6A" w14:textId="77777777" w:rsidR="0083639F" w:rsidRDefault="00807372">
            <w:pPr>
              <w:spacing w:line="324" w:lineRule="auto"/>
              <w:rPr>
                <w:rFonts w:ascii="Microsoft YaHei" w:eastAsia="Microsoft YaHei" w:hAnsi="Microsoft YaHei" w:cs="KaiTi"/>
                <w:b/>
                <w:color w:val="auto"/>
                <w:sz w:val="28"/>
                <w:szCs w:val="28"/>
              </w:rPr>
            </w:pPr>
            <w:r>
              <w:rPr>
                <w:rFonts w:ascii="Microsoft YaHei" w:eastAsia="Microsoft YaHei" w:hAnsi="Microsoft YaHei" w:cs="KaiTi" w:hint="eastAsia"/>
                <w:b/>
                <w:color w:val="auto"/>
                <w:sz w:val="28"/>
                <w:szCs w:val="28"/>
              </w:rPr>
              <w:t xml:space="preserve">学 </w:t>
            </w:r>
            <w:r>
              <w:rPr>
                <w:rFonts w:ascii="Microsoft YaHei" w:eastAsia="Microsoft YaHei" w:hAnsi="Microsoft YaHei" w:cs="KaiTi"/>
                <w:b/>
                <w:color w:val="auto"/>
                <w:sz w:val="28"/>
                <w:szCs w:val="28"/>
              </w:rPr>
              <w:t xml:space="preserve">     </w:t>
            </w:r>
            <w:r>
              <w:rPr>
                <w:rFonts w:ascii="Microsoft YaHei" w:eastAsia="Microsoft YaHei" w:hAnsi="Microsoft YaHei" w:cs="KaiTi" w:hint="eastAsia"/>
                <w:b/>
                <w:color w:val="auto"/>
                <w:sz w:val="28"/>
                <w:szCs w:val="28"/>
              </w:rPr>
              <w:t>号</w:t>
            </w:r>
          </w:p>
        </w:tc>
        <w:tc>
          <w:tcPr>
            <w:tcW w:w="4829" w:type="dxa"/>
          </w:tcPr>
          <w:p w14:paraId="25ACC38C" w14:textId="77777777" w:rsidR="0083639F" w:rsidRDefault="00807372">
            <w:pPr>
              <w:spacing w:line="324" w:lineRule="auto"/>
              <w:rPr>
                <w:rFonts w:ascii="KaiTi" w:eastAsia="KaiTi" w:hAnsi="KaiTi" w:cs="KaiTi"/>
                <w:color w:val="auto"/>
                <w:sz w:val="28"/>
                <w:szCs w:val="28"/>
              </w:rPr>
            </w:pPr>
            <w:r>
              <w:rPr>
                <w:rFonts w:ascii="KaiTi" w:eastAsia="KaiTi" w:hAnsi="KaiTi" w:cs="KaiTi" w:hint="eastAsia"/>
                <w:color w:val="auto"/>
                <w:sz w:val="28"/>
                <w:szCs w:val="28"/>
              </w:rPr>
              <w:t>U202210871</w:t>
            </w:r>
          </w:p>
        </w:tc>
      </w:tr>
      <w:tr w:rsidR="0083639F" w14:paraId="1E411E23" w14:textId="77777777">
        <w:trPr>
          <w:jc w:val="center"/>
        </w:trPr>
        <w:tc>
          <w:tcPr>
            <w:tcW w:w="1696" w:type="dxa"/>
          </w:tcPr>
          <w:p w14:paraId="17C27802" w14:textId="77777777" w:rsidR="0083639F" w:rsidRDefault="00807372">
            <w:pPr>
              <w:spacing w:line="324" w:lineRule="auto"/>
              <w:rPr>
                <w:rFonts w:ascii="Microsoft YaHei" w:eastAsia="Microsoft YaHei" w:hAnsi="Microsoft YaHei" w:cs="KaiTi"/>
                <w:b/>
                <w:color w:val="auto"/>
                <w:sz w:val="28"/>
                <w:szCs w:val="28"/>
              </w:rPr>
            </w:pPr>
            <w:r>
              <w:rPr>
                <w:rFonts w:ascii="Microsoft YaHei" w:eastAsia="Microsoft YaHei" w:hAnsi="Microsoft YaHei" w:cs="KaiTi" w:hint="eastAsia"/>
                <w:b/>
                <w:color w:val="auto"/>
                <w:sz w:val="28"/>
                <w:szCs w:val="28"/>
              </w:rPr>
              <w:t>报告评分</w:t>
            </w:r>
          </w:p>
        </w:tc>
        <w:tc>
          <w:tcPr>
            <w:tcW w:w="4829" w:type="dxa"/>
          </w:tcPr>
          <w:p w14:paraId="1A8292A9" w14:textId="77777777" w:rsidR="0083639F" w:rsidRDefault="0083639F">
            <w:pPr>
              <w:spacing w:line="324" w:lineRule="auto"/>
              <w:rPr>
                <w:rFonts w:ascii="KaiTi" w:eastAsia="KaiTi" w:hAnsi="KaiTi" w:cs="KaiTi"/>
                <w:color w:val="auto"/>
                <w:sz w:val="28"/>
                <w:szCs w:val="28"/>
              </w:rPr>
            </w:pPr>
          </w:p>
        </w:tc>
      </w:tr>
    </w:tbl>
    <w:p w14:paraId="432DD5CB" w14:textId="77777777" w:rsidR="0083639F" w:rsidRDefault="0083639F">
      <w:pPr>
        <w:spacing w:line="324" w:lineRule="auto"/>
        <w:ind w:firstLine="369"/>
        <w:jc w:val="center"/>
        <w:rPr>
          <w:rFonts w:ascii="KaiTi" w:eastAsia="KaiTi" w:hAnsi="KaiTi" w:cs="KaiTi"/>
          <w:color w:val="auto"/>
          <w:sz w:val="30"/>
          <w:szCs w:val="30"/>
        </w:rPr>
      </w:pPr>
    </w:p>
    <w:p w14:paraId="506FA59C" w14:textId="77777777" w:rsidR="0083639F" w:rsidRDefault="00807372">
      <w:pPr>
        <w:spacing w:line="324" w:lineRule="auto"/>
        <w:ind w:firstLine="369"/>
        <w:jc w:val="center"/>
        <w:rPr>
          <w:rFonts w:ascii="KaiTi" w:eastAsia="KaiTi" w:hAnsi="KaiTi" w:cs="KaiTi"/>
          <w:color w:val="auto"/>
          <w:sz w:val="28"/>
          <w:szCs w:val="30"/>
        </w:rPr>
      </w:pPr>
      <w:r>
        <w:rPr>
          <w:rFonts w:ascii="KaiTi" w:eastAsia="KaiTi" w:hAnsi="KaiTi" w:cs="KaiTi" w:hint="eastAsia"/>
          <w:color w:val="auto"/>
          <w:sz w:val="28"/>
          <w:szCs w:val="30"/>
        </w:rPr>
        <w:t>20</w:t>
      </w:r>
      <w:r>
        <w:rPr>
          <w:rFonts w:ascii="KaiTi" w:eastAsia="KaiTi" w:hAnsi="KaiTi" w:cs="KaiTi"/>
          <w:color w:val="auto"/>
          <w:sz w:val="28"/>
          <w:szCs w:val="30"/>
        </w:rPr>
        <w:t>2</w:t>
      </w:r>
      <w:r>
        <w:rPr>
          <w:rFonts w:ascii="KaiTi" w:eastAsia="KaiTi" w:hAnsi="KaiTi" w:cs="KaiTi" w:hint="eastAsia"/>
          <w:color w:val="auto"/>
          <w:sz w:val="28"/>
          <w:szCs w:val="30"/>
        </w:rPr>
        <w:t>4年</w:t>
      </w:r>
      <w:r>
        <w:rPr>
          <w:rFonts w:ascii="KaiTi" w:eastAsia="KaiTi" w:hAnsi="KaiTi" w:cs="KaiTi"/>
          <w:color w:val="auto"/>
          <w:sz w:val="28"/>
          <w:szCs w:val="30"/>
        </w:rPr>
        <w:t xml:space="preserve"> </w:t>
      </w:r>
      <w:r>
        <w:rPr>
          <w:rFonts w:ascii="KaiTi" w:eastAsia="KaiTi" w:hAnsi="KaiTi" w:cs="KaiTi" w:hint="eastAsia"/>
          <w:color w:val="auto"/>
          <w:sz w:val="28"/>
          <w:szCs w:val="30"/>
        </w:rPr>
        <w:t>1</w:t>
      </w:r>
      <w:r>
        <w:rPr>
          <w:rFonts w:ascii="KaiTi" w:eastAsia="KaiTi" w:hAnsi="KaiTi" w:cs="KaiTi"/>
          <w:color w:val="auto"/>
          <w:sz w:val="28"/>
          <w:szCs w:val="30"/>
        </w:rPr>
        <w:t xml:space="preserve"> </w:t>
      </w:r>
      <w:r>
        <w:rPr>
          <w:rFonts w:ascii="KaiTi" w:eastAsia="KaiTi" w:hAnsi="KaiTi" w:cs="KaiTi" w:hint="eastAsia"/>
          <w:color w:val="auto"/>
          <w:sz w:val="28"/>
          <w:szCs w:val="30"/>
        </w:rPr>
        <w:t>月13日</w:t>
      </w:r>
    </w:p>
    <w:p w14:paraId="66313BD8" w14:textId="77777777" w:rsidR="0083639F" w:rsidRDefault="00807372">
      <w:pPr>
        <w:spacing w:line="324" w:lineRule="auto"/>
        <w:jc w:val="center"/>
        <w:rPr>
          <w:rFonts w:ascii="SimHei" w:eastAsia="PMingLiU" w:hAnsi="SimHei" w:cs="SimSun"/>
          <w:sz w:val="28"/>
          <w:szCs w:val="28"/>
          <w:lang w:val="zh-TW" w:eastAsia="zh-TW"/>
        </w:rPr>
      </w:pPr>
      <w:r>
        <w:rPr>
          <w:rFonts w:ascii="Times New Roman" w:eastAsia="KaiTi_GB2312" w:hAnsi="Times New Roman" w:cs="Times New Roman"/>
          <w:b/>
          <w:color w:val="auto"/>
          <w:kern w:val="0"/>
          <w:sz w:val="28"/>
          <w:szCs w:val="24"/>
        </w:rPr>
        <w:br w:type="page"/>
      </w:r>
    </w:p>
    <w:p w14:paraId="09D1B613" w14:textId="77777777" w:rsidR="0083639F" w:rsidRDefault="00807372">
      <w:pPr>
        <w:spacing w:line="360" w:lineRule="auto"/>
        <w:jc w:val="left"/>
        <w:rPr>
          <w:rFonts w:ascii="SimSun" w:eastAsia="SimSun" w:hAnsi="SimSun" w:cs="SimSun"/>
          <w:sz w:val="24"/>
          <w:szCs w:val="24"/>
          <w:lang w:val="zh-TW"/>
        </w:rPr>
      </w:pPr>
      <w:r>
        <w:rPr>
          <w:rFonts w:ascii="SimHei" w:eastAsia="SimHei" w:hAnsi="SimHei" w:cs="SimSun"/>
          <w:sz w:val="28"/>
          <w:szCs w:val="28"/>
          <w:lang w:val="zh-TW" w:eastAsia="zh-TW"/>
        </w:rPr>
        <w:lastRenderedPageBreak/>
        <w:t>摘要</w:t>
      </w:r>
      <w:r>
        <w:rPr>
          <w:rFonts w:ascii="SimSun" w:eastAsia="SimSun" w:hAnsi="SimSun" w:cs="SimSun" w:hint="eastAsia"/>
          <w:sz w:val="24"/>
          <w:szCs w:val="24"/>
          <w:lang w:val="zh-TW"/>
        </w:rPr>
        <w:t>：</w:t>
      </w:r>
      <w:r>
        <w:rPr>
          <w:rFonts w:ascii="SimSun" w:eastAsia="SimSun" w:hAnsi="SimSun" w:cs="SimSun" w:hint="eastAsia"/>
          <w:sz w:val="24"/>
          <w:szCs w:val="24"/>
          <w:lang w:val="zh-TW" w:eastAsia="zh-TW"/>
        </w:rPr>
        <w:t>菲涅尔光学透镜在聚焦超声和高强度聚焦超声等领域中具有重要应用。本报告总结了在“创新项目实践”课程中，在导师和实验室师兄师姐的指导下，我对菲涅尔光学透镜、聚焦超声以及相关领域的调研成果。同时，我也深入学习了仿真软件COMSOL，并应用于透镜设计与仿真分析中。本报告将</w:t>
      </w:r>
      <w:r>
        <w:rPr>
          <w:rFonts w:ascii="SimSun" w:eastAsia="SimSun" w:hAnsi="SimSun" w:cs="SimSun" w:hint="eastAsia"/>
          <w:sz w:val="24"/>
          <w:szCs w:val="24"/>
        </w:rPr>
        <w:t>总结</w:t>
      </w:r>
      <w:r>
        <w:rPr>
          <w:rFonts w:ascii="SimSun" w:eastAsia="SimSun" w:hAnsi="SimSun" w:cs="SimSun" w:hint="eastAsia"/>
          <w:sz w:val="24"/>
          <w:szCs w:val="24"/>
          <w:lang w:val="zh-TW" w:eastAsia="zh-TW"/>
        </w:rPr>
        <w:t>回顾本学期的调研成果与学习进展，并</w:t>
      </w:r>
      <w:r>
        <w:rPr>
          <w:rFonts w:ascii="SimSun" w:eastAsia="SimSun" w:hAnsi="SimSun" w:cs="SimSun" w:hint="eastAsia"/>
          <w:sz w:val="24"/>
          <w:szCs w:val="24"/>
        </w:rPr>
        <w:t>展望了</w:t>
      </w:r>
      <w:r>
        <w:rPr>
          <w:rFonts w:ascii="SimSun" w:eastAsia="SimSun" w:hAnsi="SimSun" w:cs="SimSun" w:hint="eastAsia"/>
          <w:sz w:val="24"/>
          <w:szCs w:val="24"/>
          <w:lang w:val="zh-TW" w:eastAsia="zh-TW"/>
        </w:rPr>
        <w:t>下学期的</w:t>
      </w:r>
      <w:r>
        <w:rPr>
          <w:rFonts w:ascii="SimSun" w:eastAsia="SimSun" w:hAnsi="SimSun" w:cs="SimSun" w:hint="eastAsia"/>
          <w:sz w:val="24"/>
          <w:szCs w:val="24"/>
        </w:rPr>
        <w:t>研究</w:t>
      </w:r>
      <w:r>
        <w:rPr>
          <w:rFonts w:ascii="SimSun" w:eastAsia="SimSun" w:hAnsi="SimSun" w:cs="SimSun" w:hint="eastAsia"/>
          <w:sz w:val="24"/>
          <w:szCs w:val="24"/>
          <w:lang w:val="zh-TW" w:eastAsia="zh-TW"/>
        </w:rPr>
        <w:t>计划</w:t>
      </w:r>
      <w:r>
        <w:rPr>
          <w:rFonts w:ascii="SimSun" w:eastAsia="SimSun" w:hAnsi="SimSun" w:cs="SimSun" w:hint="eastAsia"/>
          <w:sz w:val="24"/>
          <w:szCs w:val="24"/>
          <w:lang w:val="zh-TW"/>
        </w:rPr>
        <w:t>。</w:t>
      </w:r>
    </w:p>
    <w:p w14:paraId="4D4299E5" w14:textId="77777777" w:rsidR="0083639F" w:rsidRDefault="0083639F">
      <w:pPr>
        <w:spacing w:line="360" w:lineRule="auto"/>
        <w:jc w:val="left"/>
        <w:rPr>
          <w:rFonts w:ascii="SimSun" w:eastAsia="SimSun" w:hAnsi="SimSun" w:cs="SimSun"/>
          <w:sz w:val="24"/>
          <w:szCs w:val="24"/>
          <w:lang w:val="zh-TW" w:eastAsia="zh-TW"/>
        </w:rPr>
      </w:pPr>
    </w:p>
    <w:p w14:paraId="0F16B95D" w14:textId="77777777" w:rsidR="0083639F" w:rsidRDefault="00807372">
      <w:pPr>
        <w:spacing w:line="360" w:lineRule="auto"/>
        <w:rPr>
          <w:rFonts w:ascii="SimSun" w:eastAsia="SimSun" w:hAnsi="SimSun" w:cs="SimSun"/>
          <w:sz w:val="28"/>
          <w:szCs w:val="28"/>
        </w:rPr>
      </w:pPr>
      <w:r>
        <w:rPr>
          <w:rFonts w:ascii="SimHei" w:eastAsia="SimHei" w:hAnsi="SimHei" w:cs="SimSun"/>
          <w:sz w:val="28"/>
          <w:szCs w:val="28"/>
          <w:lang w:val="zh-TW" w:eastAsia="zh-TW"/>
        </w:rPr>
        <w:t>关键词</w:t>
      </w:r>
      <w:r>
        <w:rPr>
          <w:rFonts w:ascii="SimHei" w:eastAsia="SimHei" w:hAnsi="SimHei" w:cs="SimSun" w:hint="eastAsia"/>
          <w:sz w:val="28"/>
          <w:szCs w:val="28"/>
          <w:lang w:val="zh-TW"/>
        </w:rPr>
        <w:t>：</w:t>
      </w:r>
      <w:r>
        <w:rPr>
          <w:rFonts w:ascii="SimSun" w:eastAsia="SimSun" w:hAnsi="SimSun" w:cs="SimSun" w:hint="eastAsia"/>
          <w:sz w:val="24"/>
          <w:szCs w:val="24"/>
        </w:rPr>
        <w:t>超声聚焦，高强度超声聚焦，声学菲涅尔透镜</w:t>
      </w:r>
    </w:p>
    <w:p w14:paraId="75D1F016" w14:textId="77777777" w:rsidR="0083639F" w:rsidRDefault="0083639F">
      <w:pPr>
        <w:spacing w:line="360" w:lineRule="auto"/>
        <w:rPr>
          <w:rFonts w:ascii="SimSun" w:eastAsia="PMingLiU" w:hAnsi="SimSun" w:cs="SimSun"/>
          <w:sz w:val="24"/>
          <w:szCs w:val="24"/>
          <w:lang w:val="zh-TW" w:eastAsia="zh-TW"/>
        </w:rPr>
      </w:pPr>
    </w:p>
    <w:p w14:paraId="11F46AE4" w14:textId="77777777" w:rsidR="0083639F" w:rsidRDefault="00807372">
      <w:pPr>
        <w:spacing w:line="360" w:lineRule="auto"/>
        <w:rPr>
          <w:rFonts w:ascii="KaiTi" w:eastAsia="KaiTi" w:hAnsi="KaiTi"/>
          <w:sz w:val="28"/>
          <w:szCs w:val="28"/>
        </w:rPr>
      </w:pPr>
      <w:bookmarkStart w:id="0" w:name="_Toc295894311"/>
      <w:r>
        <w:rPr>
          <w:rFonts w:ascii="SimHei" w:eastAsia="SimHei" w:hAnsi="SimHei" w:cs="SimSun" w:hint="eastAsia"/>
          <w:sz w:val="28"/>
          <w:szCs w:val="28"/>
          <w:lang w:val="zh-TW" w:eastAsia="zh-TW"/>
        </w:rPr>
        <w:t>正文</w:t>
      </w:r>
    </w:p>
    <w:p w14:paraId="68B559B5" w14:textId="77777777" w:rsidR="0083639F" w:rsidRDefault="00807372">
      <w:pPr>
        <w:spacing w:line="360" w:lineRule="auto"/>
        <w:rPr>
          <w:rFonts w:ascii="SimSun" w:eastAsia="SimSun" w:hAnsi="SimSun" w:cs="SimSun"/>
          <w:b/>
          <w:bCs/>
          <w:sz w:val="28"/>
          <w:szCs w:val="28"/>
        </w:rPr>
      </w:pPr>
      <w:r>
        <w:rPr>
          <w:rFonts w:ascii="SimSun" w:eastAsia="SimSun" w:hAnsi="SimSun" w:cs="SimSun" w:hint="eastAsia"/>
          <w:b/>
          <w:bCs/>
          <w:sz w:val="28"/>
          <w:szCs w:val="28"/>
        </w:rPr>
        <w:t>1.介绍</w:t>
      </w:r>
    </w:p>
    <w:p w14:paraId="103F6D64" w14:textId="77777777" w:rsidR="0083639F" w:rsidRDefault="00807372">
      <w:pPr>
        <w:spacing w:line="360" w:lineRule="auto"/>
        <w:rPr>
          <w:rFonts w:ascii="SimSun" w:eastAsia="SimSun" w:hAnsi="SimSun" w:cs="SimSun"/>
          <w:sz w:val="24"/>
          <w:szCs w:val="24"/>
        </w:rPr>
      </w:pPr>
      <w:r>
        <w:rPr>
          <w:rFonts w:ascii="SimSun" w:eastAsia="SimSun" w:hAnsi="SimSun" w:cs="SimSun" w:hint="eastAsia"/>
          <w:b/>
          <w:bCs/>
          <w:sz w:val="24"/>
          <w:szCs w:val="24"/>
        </w:rPr>
        <w:t>1.1聚焦超声</w:t>
      </w:r>
      <w:r>
        <w:rPr>
          <w:rFonts w:ascii="SimSun" w:eastAsia="SimSun" w:hAnsi="SimSun" w:cs="SimSun" w:hint="eastAsia"/>
          <w:sz w:val="24"/>
          <w:szCs w:val="24"/>
        </w:rPr>
        <w:t>（Focused Ultrasound，FUS）</w:t>
      </w:r>
    </w:p>
    <w:p w14:paraId="6C5459BC" w14:textId="77777777" w:rsidR="0083639F" w:rsidRDefault="00807372">
      <w:pPr>
        <w:spacing w:line="360" w:lineRule="auto"/>
        <w:ind w:firstLineChars="200" w:firstLine="480"/>
        <w:rPr>
          <w:rFonts w:ascii="SimSun" w:eastAsia="SimSun" w:hAnsi="SimSun" w:cs="SimSun"/>
          <w:sz w:val="24"/>
          <w:szCs w:val="24"/>
        </w:rPr>
      </w:pPr>
      <w:r>
        <w:rPr>
          <w:rFonts w:ascii="SimSun" w:eastAsia="SimSun" w:hAnsi="SimSun" w:cs="SimSun" w:hint="eastAsia"/>
          <w:sz w:val="24"/>
          <w:szCs w:val="24"/>
        </w:rPr>
        <w:t>聚焦超声是一种高度通用的医疗技术，能将非电离声波能量聚焦于体内深处，产生治疗性生物效应且不损伤周围组织，可通过热或非热机制产生瞬时或永久的组织变化，治疗焦点可小至一粒米</w:t>
      </w:r>
      <w:r>
        <w:rPr>
          <w:rFonts w:ascii="SimSun" w:eastAsia="SimSun" w:hAnsi="SimSun" w:cs="SimSun" w:hint="eastAsia"/>
        </w:rPr>
        <w:t>（图1）</w:t>
      </w:r>
      <w:r>
        <w:rPr>
          <w:rFonts w:ascii="SimSun" w:eastAsia="SimSun" w:hAnsi="SimSun" w:cs="SimSun" w:hint="eastAsia"/>
          <w:sz w:val="24"/>
          <w:szCs w:val="24"/>
        </w:rPr>
        <w:t>，也可扫描多个目标以产生更大的治疗体积</w:t>
      </w:r>
      <w:r>
        <w:rPr>
          <w:rFonts w:asciiTheme="majorEastAsia" w:eastAsiaTheme="majorEastAsia" w:hAnsiTheme="majorEastAsia" w:cstheme="majorEastAsia" w:hint="eastAsia"/>
          <w:sz w:val="24"/>
          <w:szCs w:val="24"/>
          <w:vertAlign w:val="superscript"/>
        </w:rPr>
        <w:t>1-3</w:t>
      </w:r>
      <w:r>
        <w:rPr>
          <w:rFonts w:ascii="SimSun" w:eastAsia="SimSun" w:hAnsi="SimSun" w:cs="SimSun" w:hint="eastAsia"/>
          <w:sz w:val="24"/>
          <w:szCs w:val="24"/>
        </w:rPr>
        <w:t>。</w:t>
      </w:r>
    </w:p>
    <w:p w14:paraId="7B037B47" w14:textId="77777777" w:rsidR="0083639F" w:rsidRDefault="00807372">
      <w:pPr>
        <w:spacing w:line="360" w:lineRule="auto"/>
        <w:ind w:firstLineChars="200" w:firstLine="480"/>
        <w:rPr>
          <w:rFonts w:ascii="SimSun" w:eastAsia="SimSun" w:hAnsi="SimSun" w:cs="SimSun"/>
          <w:sz w:val="24"/>
          <w:szCs w:val="24"/>
        </w:rPr>
      </w:pPr>
      <w:r>
        <w:rPr>
          <w:rFonts w:ascii="SimSun" w:eastAsia="SimSun" w:hAnsi="SimSun" w:cs="SimSun" w:hint="eastAsia"/>
          <w:sz w:val="24"/>
          <w:szCs w:val="24"/>
        </w:rPr>
        <w:t>聚焦超声在临床和新兴应用中展现出广泛的潜力。在临床领域，聚焦超声已被成功应用于碎石术（如肾结石的破坏）、白内障手术以及组织的局部热消融治疗，尤其是通过高强度聚焦超声对良性和恶性肿瘤的精确消融。除此之外，聚焦超声的机械效应也在新兴应用中得到了广泛研究，特别是在中枢神经系统的操控、靶向组织破坏以及内源性免疫系统的调节等方面</w:t>
      </w:r>
      <w:r>
        <w:rPr>
          <w:rFonts w:asciiTheme="majorEastAsia" w:eastAsiaTheme="majorEastAsia" w:hAnsiTheme="majorEastAsia" w:cstheme="majorEastAsia" w:hint="eastAsia"/>
          <w:sz w:val="24"/>
          <w:szCs w:val="24"/>
          <w:vertAlign w:val="superscript"/>
        </w:rPr>
        <w:t>4</w:t>
      </w:r>
      <w:r>
        <w:rPr>
          <w:rFonts w:ascii="SimSun" w:eastAsia="SimSun" w:hAnsi="SimSun" w:cs="SimSun" w:hint="eastAsia"/>
          <w:sz w:val="24"/>
          <w:szCs w:val="24"/>
        </w:rPr>
        <w:t>。</w:t>
      </w:r>
    </w:p>
    <w:p w14:paraId="4F9D47E8" w14:textId="77777777" w:rsidR="0083639F" w:rsidRDefault="00807372">
      <w:pPr>
        <w:spacing w:line="360" w:lineRule="auto"/>
        <w:ind w:firstLineChars="200" w:firstLine="480"/>
        <w:rPr>
          <w:rFonts w:ascii="SimSun" w:eastAsia="SimSun" w:hAnsi="SimSun" w:cs="SimSun"/>
          <w:sz w:val="24"/>
          <w:szCs w:val="24"/>
        </w:rPr>
      </w:pPr>
      <w:r>
        <w:rPr>
          <w:rFonts w:ascii="SimSun" w:eastAsia="SimSun" w:hAnsi="SimSun" w:cs="SimSun" w:hint="eastAsia"/>
          <w:sz w:val="24"/>
          <w:szCs w:val="24"/>
        </w:rPr>
        <w:t>例如，超声波与微泡结合可增强大脑血管的通透性（图2），从而促进治疗药物的输送，这一技术在脑肿瘤、阿尔茨海默病、帕金森病和肌萎缩侧索硬化等神经疾病的治疗中展现出巨大的潜力。超声也可以通过非侵入性方式刺激神经元，调节血脑屏障（BBB）并增强血管通透性，从而诱导神经调节。此外，超声还可以调制血脑屏障，释放肿瘤生物标志物，增加其在血液中的浓度，推动液体活检技术的发展。声遗传学的结合为超声神经调节提供了细胞类型特异性，通过基因修饰使特定细胞对超声波敏感，从而为大脑功能的理解和疾病治疗提供了强大工具。在肿瘤治疗方面，超声还被用于诱导非热组织破坏（图3）。通过极高的稀疏压力和纳米级气体囊的空化效应，超声可以机械性地破坏组织，实现高空间精度的组织液化，这一技术被称为“组织摧毁术”这种技术在心脏病、癌症、血肿、深静脉血栓等疾病的治疗中取得了重要进展，并且在肝脏肿瘤治疗中取得了里程碑式的突破。此外，超声介导的微泡</w:t>
      </w:r>
      <w:r>
        <w:rPr>
          <w:rFonts w:ascii="SimSun" w:eastAsia="SimSun" w:hAnsi="SimSun" w:cs="SimSun" w:hint="eastAsia"/>
          <w:sz w:val="24"/>
          <w:szCs w:val="24"/>
        </w:rPr>
        <w:lastRenderedPageBreak/>
        <w:t>破坏作用可以对血管产生破坏效应（图4），结合化疗和放疗可产生强大的抗肿瘤效果。通过声介导的免疫调节，超声不仅能够直接或间接激活内源性免疫系统，还可以递送免疫刺激剂，产生抗肿瘤免疫反应，并与免疫检查点抑制剂等免疫治疗剂联合使用，从而增强治疗效果。聚焦超声在这些领域的应用，为精准医学和非侵入性治疗开辟了新的前景。</w:t>
      </w:r>
    </w:p>
    <w:p w14:paraId="5FDC6586" w14:textId="77777777" w:rsidR="0083639F" w:rsidRDefault="00807372">
      <w:pPr>
        <w:spacing w:line="360" w:lineRule="auto"/>
        <w:jc w:val="left"/>
        <w:rPr>
          <w:rFonts w:ascii="SimSun" w:eastAsia="SimSun" w:hAnsi="SimSun" w:cs="SimSun"/>
          <w:sz w:val="24"/>
          <w:szCs w:val="24"/>
        </w:rPr>
      </w:pPr>
      <w:r>
        <w:rPr>
          <w:rFonts w:ascii="SimSun" w:eastAsia="SimSun" w:hAnsi="SimSun" w:cs="SimSun" w:hint="eastAsia"/>
          <w:noProof/>
          <w:sz w:val="24"/>
          <w:szCs w:val="24"/>
        </w:rPr>
        <w:drawing>
          <wp:inline distT="0" distB="0" distL="114300" distR="114300" wp14:anchorId="4693837D" wp14:editId="24282C40">
            <wp:extent cx="2308860" cy="1755140"/>
            <wp:effectExtent l="0" t="0" r="7620" b="1270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08860" cy="1755140"/>
                    </a:xfrm>
                    <a:prstGeom prst="rect">
                      <a:avLst/>
                    </a:prstGeom>
                  </pic:spPr>
                </pic:pic>
              </a:graphicData>
            </a:graphic>
          </wp:inline>
        </w:drawing>
      </w:r>
      <w:r>
        <w:rPr>
          <w:rFonts w:ascii="SimSun" w:eastAsia="SimSun" w:hAnsi="SimSun" w:cs="SimSun" w:hint="eastAsia"/>
          <w:noProof/>
          <w:sz w:val="24"/>
          <w:szCs w:val="24"/>
        </w:rPr>
        <w:drawing>
          <wp:inline distT="0" distB="0" distL="114300" distR="114300" wp14:anchorId="343664EC" wp14:editId="25CA8B20">
            <wp:extent cx="3798570" cy="1957070"/>
            <wp:effectExtent l="0" t="0" r="11430" b="889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extLst>
                        <a:ext uri="{28A0092B-C50C-407E-A947-70E740481C1C}">
                          <a14:useLocalDpi xmlns:a14="http://schemas.microsoft.com/office/drawing/2010/main" val="0"/>
                        </a:ext>
                      </a:extLst>
                    </a:blip>
                    <a:srcRect l="1963" t="54415" r="52522" b="5756"/>
                    <a:stretch>
                      <a:fillRect/>
                    </a:stretch>
                  </pic:blipFill>
                  <pic:spPr>
                    <a:xfrm>
                      <a:off x="0" y="0"/>
                      <a:ext cx="3798570" cy="1957070"/>
                    </a:xfrm>
                    <a:prstGeom prst="rect">
                      <a:avLst/>
                    </a:prstGeom>
                  </pic:spPr>
                </pic:pic>
              </a:graphicData>
            </a:graphic>
          </wp:inline>
        </w:drawing>
      </w:r>
    </w:p>
    <w:p w14:paraId="252FA225" w14:textId="77777777" w:rsidR="0083639F" w:rsidRDefault="00807372">
      <w:pPr>
        <w:spacing w:line="360" w:lineRule="auto"/>
        <w:ind w:firstLineChars="400" w:firstLine="720"/>
        <w:jc w:val="left"/>
        <w:rPr>
          <w:rFonts w:ascii="SimSun" w:eastAsia="SimSun" w:hAnsi="SimSun" w:cs="SimSun"/>
          <w:sz w:val="24"/>
          <w:szCs w:val="24"/>
        </w:rPr>
      </w:pPr>
      <w:r>
        <w:rPr>
          <w:rFonts w:asciiTheme="majorEastAsia" w:eastAsiaTheme="majorEastAsia" w:hAnsiTheme="majorEastAsia" w:cstheme="majorEastAsia" w:hint="eastAsia"/>
          <w:sz w:val="18"/>
          <w:szCs w:val="18"/>
        </w:rPr>
        <w:t>图1.聚焦超声                                          图2.利用超声和微泡增强大脑血管通透性</w:t>
      </w:r>
    </w:p>
    <w:p w14:paraId="2F6C1E77" w14:textId="77777777" w:rsidR="0083639F" w:rsidRDefault="00807372">
      <w:pPr>
        <w:spacing w:line="360" w:lineRule="auto"/>
        <w:jc w:val="left"/>
        <w:rPr>
          <w:rFonts w:ascii="SimSun" w:eastAsia="SimSun" w:hAnsi="SimSun" w:cs="SimSun"/>
          <w:sz w:val="24"/>
          <w:szCs w:val="24"/>
        </w:rPr>
      </w:pPr>
      <w:r>
        <w:rPr>
          <w:rFonts w:ascii="SimSun" w:eastAsia="SimSun" w:hAnsi="SimSun" w:cs="SimSun" w:hint="eastAsia"/>
          <w:noProof/>
          <w:sz w:val="24"/>
          <w:szCs w:val="24"/>
        </w:rPr>
        <w:drawing>
          <wp:inline distT="0" distB="0" distL="114300" distR="114300" wp14:anchorId="664818D9" wp14:editId="76EE2EF2">
            <wp:extent cx="3147060" cy="1881505"/>
            <wp:effectExtent l="0" t="0" r="7620" b="825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1">
                      <a:extLst>
                        <a:ext uri="{28A0092B-C50C-407E-A947-70E740481C1C}">
                          <a14:useLocalDpi xmlns:a14="http://schemas.microsoft.com/office/drawing/2010/main" val="0"/>
                        </a:ext>
                      </a:extLst>
                    </a:blip>
                    <a:srcRect l="40067" t="6430" r="523" b="45930"/>
                    <a:stretch>
                      <a:fillRect/>
                    </a:stretch>
                  </pic:blipFill>
                  <pic:spPr>
                    <a:xfrm>
                      <a:off x="0" y="0"/>
                      <a:ext cx="3147060" cy="1881505"/>
                    </a:xfrm>
                    <a:prstGeom prst="rect">
                      <a:avLst/>
                    </a:prstGeom>
                  </pic:spPr>
                </pic:pic>
              </a:graphicData>
            </a:graphic>
          </wp:inline>
        </w:drawing>
      </w:r>
      <w:r>
        <w:rPr>
          <w:rFonts w:ascii="SimSun" w:eastAsia="SimSun" w:hAnsi="SimSun" w:cs="SimSun" w:hint="eastAsia"/>
          <w:noProof/>
          <w:sz w:val="24"/>
          <w:szCs w:val="24"/>
        </w:rPr>
        <w:drawing>
          <wp:inline distT="0" distB="0" distL="114300" distR="114300" wp14:anchorId="2A8BEC42" wp14:editId="54F35AA5">
            <wp:extent cx="2962910" cy="1731010"/>
            <wp:effectExtent l="0" t="0" r="8890" b="635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12"/>
                    <a:srcRect l="869" t="56532" r="54824"/>
                    <a:stretch>
                      <a:fillRect/>
                    </a:stretch>
                  </pic:blipFill>
                  <pic:spPr>
                    <a:xfrm>
                      <a:off x="0" y="0"/>
                      <a:ext cx="2962910" cy="1731010"/>
                    </a:xfrm>
                    <a:prstGeom prst="rect">
                      <a:avLst/>
                    </a:prstGeom>
                  </pic:spPr>
                </pic:pic>
              </a:graphicData>
            </a:graphic>
          </wp:inline>
        </w:drawing>
      </w:r>
    </w:p>
    <w:p w14:paraId="61D97779" w14:textId="77777777" w:rsidR="0083639F" w:rsidRDefault="00807372">
      <w:pPr>
        <w:spacing w:line="360" w:lineRule="auto"/>
        <w:ind w:firstLineChars="500" w:firstLine="900"/>
        <w:jc w:val="left"/>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图3.选择性组织损伤和破坏的机械方法                        图4.超声介导的免疫调节策略</w:t>
      </w:r>
    </w:p>
    <w:p w14:paraId="6EC9384B" w14:textId="77777777" w:rsidR="0083639F" w:rsidRDefault="0083639F">
      <w:pPr>
        <w:spacing w:line="360" w:lineRule="auto"/>
        <w:rPr>
          <w:rFonts w:ascii="SimSun" w:eastAsia="SimSun" w:hAnsi="SimSun" w:cs="SimSun"/>
          <w:sz w:val="24"/>
          <w:szCs w:val="24"/>
        </w:rPr>
      </w:pPr>
    </w:p>
    <w:p w14:paraId="38817F32" w14:textId="77777777" w:rsidR="0083639F" w:rsidRDefault="00807372">
      <w:pPr>
        <w:spacing w:line="360" w:lineRule="auto"/>
        <w:rPr>
          <w:rFonts w:ascii="SimSun" w:eastAsia="SimSun" w:hAnsi="SimSun" w:cs="SimSun"/>
          <w:b/>
          <w:bCs/>
          <w:sz w:val="24"/>
          <w:szCs w:val="24"/>
        </w:rPr>
      </w:pPr>
      <w:r>
        <w:rPr>
          <w:rFonts w:ascii="SimSun" w:eastAsia="SimSun" w:hAnsi="SimSun" w:cs="SimSun" w:hint="eastAsia"/>
          <w:b/>
          <w:bCs/>
          <w:sz w:val="24"/>
          <w:szCs w:val="24"/>
        </w:rPr>
        <w:t>1.2高强度聚焦超声</w:t>
      </w:r>
    </w:p>
    <w:p w14:paraId="5AF97502" w14:textId="77777777" w:rsidR="0083639F" w:rsidRDefault="00807372">
      <w:pPr>
        <w:spacing w:line="360" w:lineRule="auto"/>
        <w:ind w:firstLineChars="200" w:firstLine="480"/>
        <w:rPr>
          <w:rFonts w:ascii="SimSun" w:eastAsia="SimSun" w:hAnsi="SimSun" w:cs="SimSun"/>
          <w:sz w:val="24"/>
          <w:szCs w:val="24"/>
        </w:rPr>
      </w:pPr>
      <w:r>
        <w:rPr>
          <w:rFonts w:ascii="SimSun" w:eastAsia="SimSun" w:hAnsi="SimSun" w:cs="SimSun" w:hint="eastAsia"/>
          <w:sz w:val="24"/>
          <w:szCs w:val="24"/>
        </w:rPr>
        <w:t>高强度聚焦超声（HIFU）将多个超声波集中在焦点处，并在焦点周围的组织中产生热量（图5）。焦点周围组织的温度升高。温度变化超过一定程度会在不损害周围组织的情况下造成损伤。因为超声波可以穿透皮肤和组织层，在到达体内目标之前，不会对周围的组织造成伤害。HIFU消融以后，体内的肿块发生“凝固性坏死”（图6），失活后的肿瘤细胞逐渐被体内的巨噬细胞等免疫细胞所吞噬，随着肿块的逐渐缩小，肿瘤引发的疼痛、压迫症状也会随之消失</w:t>
      </w:r>
      <w:r>
        <w:rPr>
          <w:rFonts w:asciiTheme="majorEastAsia" w:eastAsiaTheme="majorEastAsia" w:hAnsiTheme="majorEastAsia" w:cstheme="majorEastAsia" w:hint="eastAsia"/>
          <w:sz w:val="24"/>
          <w:szCs w:val="24"/>
          <w:vertAlign w:val="superscript"/>
        </w:rPr>
        <w:t>5</w:t>
      </w:r>
      <w:r>
        <w:rPr>
          <w:rFonts w:ascii="SimSun" w:eastAsia="SimSun" w:hAnsi="SimSun" w:cs="SimSun" w:hint="eastAsia"/>
          <w:sz w:val="24"/>
          <w:szCs w:val="24"/>
        </w:rPr>
        <w:t>。</w:t>
      </w:r>
    </w:p>
    <w:p w14:paraId="2F0AB162" w14:textId="77777777" w:rsidR="0083639F" w:rsidRDefault="00807372">
      <w:pPr>
        <w:spacing w:line="360" w:lineRule="auto"/>
        <w:rPr>
          <w:rFonts w:ascii="SimSun" w:eastAsia="SimSun" w:hAnsi="SimSun" w:cs="SimSun"/>
          <w:sz w:val="24"/>
          <w:szCs w:val="24"/>
        </w:rPr>
      </w:pPr>
      <w:r>
        <w:rPr>
          <w:rFonts w:ascii="SimSun" w:eastAsia="SimSun" w:hAnsi="SimSun" w:cs="SimSun" w:hint="eastAsia"/>
          <w:noProof/>
          <w:sz w:val="24"/>
          <w:szCs w:val="24"/>
        </w:rPr>
        <w:lastRenderedPageBreak/>
        <w:drawing>
          <wp:inline distT="0" distB="0" distL="114300" distR="114300" wp14:anchorId="16E94E66" wp14:editId="0F716C75">
            <wp:extent cx="3145155" cy="2000885"/>
            <wp:effectExtent l="0" t="0" r="9525" b="1079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13"/>
                    <a:srcRect l="2761" t="1349" r="835" b="12300"/>
                    <a:stretch>
                      <a:fillRect/>
                    </a:stretch>
                  </pic:blipFill>
                  <pic:spPr>
                    <a:xfrm>
                      <a:off x="0" y="0"/>
                      <a:ext cx="3145155" cy="2000885"/>
                    </a:xfrm>
                    <a:prstGeom prst="rect">
                      <a:avLst/>
                    </a:prstGeom>
                  </pic:spPr>
                </pic:pic>
              </a:graphicData>
            </a:graphic>
          </wp:inline>
        </w:drawing>
      </w:r>
      <w:r>
        <w:rPr>
          <w:rFonts w:ascii="SimSun" w:eastAsia="SimSun" w:hAnsi="SimSun" w:cs="SimSun" w:hint="eastAsia"/>
          <w:sz w:val="24"/>
          <w:szCs w:val="24"/>
        </w:rPr>
        <w:t xml:space="preserve">           </w:t>
      </w:r>
      <w:r>
        <w:rPr>
          <w:rFonts w:ascii="SimSun" w:eastAsia="SimSun" w:hAnsi="SimSun" w:cs="SimSun" w:hint="eastAsia"/>
          <w:noProof/>
          <w:sz w:val="24"/>
          <w:szCs w:val="24"/>
        </w:rPr>
        <w:drawing>
          <wp:inline distT="0" distB="0" distL="114300" distR="114300" wp14:anchorId="0D5A9056" wp14:editId="665FDFD3">
            <wp:extent cx="1791970" cy="2155190"/>
            <wp:effectExtent l="0" t="0" r="6350" b="889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91970" cy="2155190"/>
                    </a:xfrm>
                    <a:prstGeom prst="rect">
                      <a:avLst/>
                    </a:prstGeom>
                  </pic:spPr>
                </pic:pic>
              </a:graphicData>
            </a:graphic>
          </wp:inline>
        </w:drawing>
      </w:r>
    </w:p>
    <w:p w14:paraId="4843C668" w14:textId="77777777" w:rsidR="0083639F" w:rsidRDefault="00807372">
      <w:pPr>
        <w:spacing w:line="360" w:lineRule="auto"/>
        <w:ind w:firstLineChars="300" w:firstLine="540"/>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图5.高强度超声示意图                                                 图6.肿块发生“凝固性坏死”</w:t>
      </w:r>
    </w:p>
    <w:p w14:paraId="6B1F5A65" w14:textId="77777777" w:rsidR="0083639F" w:rsidRDefault="0083639F">
      <w:pPr>
        <w:spacing w:line="360" w:lineRule="auto"/>
        <w:ind w:firstLineChars="300" w:firstLine="540"/>
        <w:rPr>
          <w:rFonts w:asciiTheme="majorEastAsia" w:eastAsiaTheme="majorEastAsia" w:hAnsiTheme="majorEastAsia" w:cstheme="majorEastAsia"/>
          <w:sz w:val="18"/>
          <w:szCs w:val="18"/>
        </w:rPr>
      </w:pPr>
    </w:p>
    <w:p w14:paraId="2CDBD3FF" w14:textId="77777777" w:rsidR="0083639F" w:rsidRDefault="00807372">
      <w:pPr>
        <w:spacing w:line="360" w:lineRule="auto"/>
        <w:rPr>
          <w:rFonts w:ascii="SimSun" w:eastAsia="SimSun" w:hAnsi="SimSun" w:cs="SimSun"/>
          <w:b/>
          <w:bCs/>
          <w:sz w:val="24"/>
          <w:szCs w:val="24"/>
        </w:rPr>
      </w:pPr>
      <w:r>
        <w:rPr>
          <w:rFonts w:ascii="SimSun" w:eastAsia="SimSun" w:hAnsi="SimSun" w:cs="SimSun" w:hint="eastAsia"/>
          <w:b/>
          <w:bCs/>
          <w:sz w:val="24"/>
          <w:szCs w:val="24"/>
        </w:rPr>
        <w:t>1.3菲涅尔声学透镜</w:t>
      </w:r>
    </w:p>
    <w:p w14:paraId="0860A87E" w14:textId="77777777" w:rsidR="0083639F" w:rsidRDefault="00807372">
      <w:pPr>
        <w:spacing w:line="360" w:lineRule="auto"/>
        <w:ind w:firstLineChars="200" w:firstLine="480"/>
        <w:rPr>
          <w:rFonts w:ascii="SimSun" w:eastAsia="SimSun" w:hAnsi="SimSun" w:cs="SimSun"/>
          <w:sz w:val="24"/>
          <w:szCs w:val="24"/>
        </w:rPr>
      </w:pPr>
      <w:r>
        <w:rPr>
          <w:rFonts w:ascii="SimSun" w:eastAsia="SimSun" w:hAnsi="SimSun" w:cs="SimSun" w:hint="eastAsia"/>
          <w:sz w:val="24"/>
          <w:szCs w:val="24"/>
        </w:rPr>
        <w:t>菲涅尔声学透镜（图7）是一种利用菲涅尔透镜原理设计的透声材料，具有分段设计的特点。与传统的光学透镜类似，菲涅尔透镜通过合理的分段折射或反射原理，将超声波聚焦到指定位置，从而实现高效的超声波能量聚焦。由于其结构简化、制造成本低且重量轻，菲涅尔声学透镜在超声领域，尤其是在超声成像和聚焦超声技术中具有重要的应用前景</w:t>
      </w:r>
      <w:r>
        <w:rPr>
          <w:rFonts w:asciiTheme="majorEastAsia" w:eastAsiaTheme="majorEastAsia" w:hAnsiTheme="majorEastAsia" w:cstheme="majorEastAsia" w:hint="eastAsia"/>
          <w:sz w:val="24"/>
          <w:szCs w:val="24"/>
          <w:vertAlign w:val="superscript"/>
        </w:rPr>
        <w:t>6</w:t>
      </w:r>
      <w:r>
        <w:rPr>
          <w:rFonts w:ascii="SimSun" w:eastAsia="SimSun" w:hAnsi="SimSun" w:cs="SimSun" w:hint="eastAsia"/>
          <w:sz w:val="24"/>
          <w:szCs w:val="24"/>
        </w:rPr>
        <w:t>。</w:t>
      </w:r>
    </w:p>
    <w:p w14:paraId="7F2CAEDB" w14:textId="77777777" w:rsidR="0083639F" w:rsidRDefault="00807372">
      <w:pPr>
        <w:spacing w:line="360" w:lineRule="auto"/>
        <w:jc w:val="center"/>
        <w:rPr>
          <w:rFonts w:ascii="SimSun" w:eastAsia="SimSun" w:hAnsi="SimSun" w:cs="SimSun"/>
          <w:sz w:val="24"/>
          <w:szCs w:val="24"/>
        </w:rPr>
      </w:pPr>
      <w:r>
        <w:rPr>
          <w:rFonts w:ascii="SimSun" w:eastAsia="SimSun" w:hAnsi="SimSun" w:cs="SimSun" w:hint="eastAsia"/>
          <w:noProof/>
          <w:sz w:val="24"/>
          <w:szCs w:val="24"/>
        </w:rPr>
        <w:drawing>
          <wp:inline distT="0" distB="0" distL="114300" distR="114300" wp14:anchorId="071A7E6B" wp14:editId="59B69DC2">
            <wp:extent cx="5036820" cy="2814466"/>
            <wp:effectExtent l="0" t="0" r="5080" b="5080"/>
            <wp:docPr id="22" name="图片 22" descr="17369130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736913035(1)"/>
                    <pic:cNvPicPr>
                      <a:picLocks noChangeAspect="1"/>
                    </pic:cNvPicPr>
                  </pic:nvPicPr>
                  <pic:blipFill rotWithShape="1">
                    <a:blip r:embed="rId15"/>
                    <a:srcRect t="2439"/>
                    <a:stretch/>
                  </pic:blipFill>
                  <pic:spPr bwMode="auto">
                    <a:xfrm>
                      <a:off x="0" y="0"/>
                      <a:ext cx="5036820" cy="2814466"/>
                    </a:xfrm>
                    <a:prstGeom prst="rect">
                      <a:avLst/>
                    </a:prstGeom>
                    <a:ln>
                      <a:noFill/>
                    </a:ln>
                    <a:extLst>
                      <a:ext uri="{53640926-AAD7-44D8-BBD7-CCE9431645EC}">
                        <a14:shadowObscured xmlns:a14="http://schemas.microsoft.com/office/drawing/2010/main"/>
                      </a:ext>
                    </a:extLst>
                  </pic:spPr>
                </pic:pic>
              </a:graphicData>
            </a:graphic>
          </wp:inline>
        </w:drawing>
      </w:r>
    </w:p>
    <w:p w14:paraId="703CF387" w14:textId="77777777" w:rsidR="0083639F" w:rsidRDefault="00807372">
      <w:pPr>
        <w:spacing w:line="360" w:lineRule="auto"/>
        <w:jc w:val="center"/>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图7：声学菲涅尔透镜</w:t>
      </w:r>
    </w:p>
    <w:p w14:paraId="6D577881" w14:textId="77777777" w:rsidR="0083639F" w:rsidRDefault="0083639F">
      <w:pPr>
        <w:spacing w:line="360" w:lineRule="auto"/>
        <w:rPr>
          <w:rFonts w:ascii="SimSun" w:eastAsia="SimSun" w:hAnsi="SimSun" w:cs="SimSun"/>
          <w:sz w:val="24"/>
          <w:szCs w:val="24"/>
        </w:rPr>
      </w:pPr>
    </w:p>
    <w:p w14:paraId="4FB6CD72" w14:textId="77777777" w:rsidR="0083639F" w:rsidRDefault="00807372">
      <w:pPr>
        <w:spacing w:line="360" w:lineRule="auto"/>
        <w:rPr>
          <w:rFonts w:ascii="SimSun" w:eastAsia="SimSun" w:hAnsi="SimSun" w:cs="SimSun"/>
          <w:b/>
          <w:bCs/>
          <w:sz w:val="28"/>
          <w:szCs w:val="28"/>
        </w:rPr>
      </w:pPr>
      <w:r>
        <w:rPr>
          <w:rFonts w:ascii="SimSun" w:eastAsia="SimSun" w:hAnsi="SimSun" w:cs="SimSun" w:hint="eastAsia"/>
          <w:b/>
          <w:bCs/>
          <w:sz w:val="28"/>
          <w:szCs w:val="28"/>
        </w:rPr>
        <w:t>2.关键技术与方法</w:t>
      </w:r>
    </w:p>
    <w:p w14:paraId="32F46D80" w14:textId="77777777" w:rsidR="0083639F" w:rsidRDefault="00807372">
      <w:pPr>
        <w:spacing w:line="360" w:lineRule="auto"/>
        <w:rPr>
          <w:rFonts w:ascii="SimSun" w:eastAsia="SimSun" w:hAnsi="SimSun" w:cs="SimSun"/>
          <w:b/>
          <w:bCs/>
          <w:sz w:val="24"/>
          <w:szCs w:val="24"/>
        </w:rPr>
      </w:pPr>
      <w:r>
        <w:rPr>
          <w:rFonts w:ascii="SimSun" w:eastAsia="SimSun" w:hAnsi="SimSun" w:cs="SimSun" w:hint="eastAsia"/>
          <w:b/>
          <w:bCs/>
          <w:sz w:val="24"/>
          <w:szCs w:val="24"/>
        </w:rPr>
        <w:t>2.1 声学菲涅尔透镜设计原理</w:t>
      </w:r>
    </w:p>
    <w:p w14:paraId="66198E3B" w14:textId="77777777" w:rsidR="0083639F" w:rsidRDefault="00807372">
      <w:pPr>
        <w:spacing w:line="360" w:lineRule="auto"/>
        <w:ind w:firstLineChars="200" w:firstLine="480"/>
        <w:rPr>
          <w:rFonts w:ascii="SimSun" w:eastAsia="SimSun" w:hAnsi="SimSun" w:cs="SimSun"/>
          <w:sz w:val="24"/>
          <w:szCs w:val="24"/>
        </w:rPr>
      </w:pPr>
      <w:r>
        <w:rPr>
          <w:rFonts w:ascii="SimSun" w:eastAsia="SimSun" w:hAnsi="SimSun" w:cs="SimSun" w:hint="eastAsia"/>
          <w:sz w:val="24"/>
          <w:szCs w:val="24"/>
        </w:rPr>
        <w:t>菲涅尔透镜是一种利用分段设计原理实现声波聚焦的透声元件。在设计声学菲涅尔透镜时，首先需要理解声波在介质中的传播特性，以及如何通过不同的结构设计来聚焦超声波。</w:t>
      </w:r>
      <w:r>
        <w:rPr>
          <w:rFonts w:ascii="SimSun" w:eastAsia="SimSun" w:hAnsi="SimSun" w:cs="SimSun" w:hint="eastAsia"/>
          <w:sz w:val="24"/>
          <w:szCs w:val="24"/>
        </w:rPr>
        <w:lastRenderedPageBreak/>
        <w:t>在本项目中，声学菲涅尔透镜的设计基于以下几个核心原理：</w:t>
      </w:r>
    </w:p>
    <w:p w14:paraId="7D725941" w14:textId="77777777" w:rsidR="0083639F" w:rsidRDefault="00807372">
      <w:pPr>
        <w:spacing w:line="360" w:lineRule="auto"/>
        <w:ind w:firstLineChars="200" w:firstLine="480"/>
        <w:rPr>
          <w:rFonts w:ascii="SimSun" w:eastAsia="SimSun" w:hAnsi="SimSun" w:cs="SimSun"/>
          <w:sz w:val="24"/>
          <w:szCs w:val="24"/>
        </w:rPr>
      </w:pPr>
      <w:r>
        <w:rPr>
          <w:rFonts w:ascii="SimSun" w:eastAsia="SimSun" w:hAnsi="SimSun" w:cs="SimSun" w:hint="eastAsia"/>
          <w:sz w:val="24"/>
          <w:szCs w:val="24"/>
        </w:rPr>
        <w:t>菲涅尔透镜原理：菲涅尔透镜通过一系列的同心环形结构来聚焦声波。每个环形结构的折射角度和几何形状是根据声波的传播特性和所需焦点来优化的。这些环形结构使得透镜体积大大减小，同时保持了良好的聚焦能力。</w:t>
      </w:r>
    </w:p>
    <w:p w14:paraId="26D6FB11" w14:textId="77777777" w:rsidR="0083639F" w:rsidRDefault="00807372">
      <w:pPr>
        <w:spacing w:line="360" w:lineRule="auto"/>
        <w:ind w:firstLineChars="200" w:firstLine="480"/>
        <w:rPr>
          <w:rFonts w:ascii="SimSun" w:eastAsia="SimSun" w:hAnsi="SimSun" w:cs="SimSun"/>
          <w:sz w:val="24"/>
          <w:szCs w:val="24"/>
        </w:rPr>
      </w:pPr>
      <w:r>
        <w:rPr>
          <w:rFonts w:ascii="SimSun" w:eastAsia="SimSun" w:hAnsi="SimSun" w:cs="SimSun" w:hint="eastAsia"/>
          <w:sz w:val="24"/>
          <w:szCs w:val="24"/>
        </w:rPr>
        <w:t>声波传播与折射：声波在不同介质中的传播速度不同，因此透镜的设计需要考虑声波在不同介质中的折射率差异。这一差异将影响菲涅尔透镜的折射角度和最终聚焦的效果。</w:t>
      </w:r>
    </w:p>
    <w:p w14:paraId="206A76BF" w14:textId="77777777" w:rsidR="0083639F" w:rsidRDefault="00807372">
      <w:pPr>
        <w:spacing w:line="360" w:lineRule="auto"/>
        <w:ind w:firstLineChars="200" w:firstLine="480"/>
        <w:rPr>
          <w:rFonts w:ascii="SimSun" w:eastAsia="SimSun" w:hAnsi="SimSun" w:cs="SimSun"/>
          <w:sz w:val="24"/>
          <w:szCs w:val="24"/>
        </w:rPr>
      </w:pPr>
      <w:r>
        <w:rPr>
          <w:rFonts w:ascii="SimSun" w:eastAsia="SimSun" w:hAnsi="SimSun" w:cs="SimSun" w:hint="eastAsia"/>
          <w:sz w:val="24"/>
          <w:szCs w:val="24"/>
        </w:rPr>
        <w:t>焦距与透镜尺寸的关系：透镜的设计不仅要考虑焦距的准确性，还要确保结构的紧凑性。通过优化各个环形段的几何形状，可以实现精确的声波聚焦，并保持较小的体积。</w:t>
      </w:r>
    </w:p>
    <w:p w14:paraId="2F5A4060" w14:textId="77777777" w:rsidR="0083639F" w:rsidRDefault="0083639F">
      <w:pPr>
        <w:spacing w:line="360" w:lineRule="auto"/>
        <w:ind w:firstLineChars="200" w:firstLine="489"/>
        <w:rPr>
          <w:rFonts w:ascii="SimSun" w:eastAsia="SimSun" w:hAnsi="SimSun" w:cs="SimSun"/>
          <w:b/>
          <w:bCs/>
          <w:sz w:val="24"/>
          <w:szCs w:val="24"/>
        </w:rPr>
      </w:pPr>
    </w:p>
    <w:p w14:paraId="34646530" w14:textId="77777777" w:rsidR="0083639F" w:rsidRDefault="00807372">
      <w:pPr>
        <w:spacing w:line="360" w:lineRule="auto"/>
        <w:rPr>
          <w:rFonts w:ascii="SimSun" w:eastAsia="SimSun" w:hAnsi="SimSun" w:cs="SimSun"/>
          <w:b/>
          <w:bCs/>
          <w:sz w:val="24"/>
          <w:szCs w:val="24"/>
        </w:rPr>
      </w:pPr>
      <w:r>
        <w:rPr>
          <w:rFonts w:ascii="SimSun" w:eastAsia="SimSun" w:hAnsi="SimSun" w:cs="SimSun" w:hint="eastAsia"/>
          <w:b/>
          <w:bCs/>
          <w:sz w:val="24"/>
          <w:szCs w:val="24"/>
        </w:rPr>
        <w:t>2.2 COMSOL 仿真软件应用</w:t>
      </w:r>
    </w:p>
    <w:p w14:paraId="0A8AB2C4" w14:textId="77777777" w:rsidR="0083639F" w:rsidRDefault="00807372">
      <w:pPr>
        <w:spacing w:line="360" w:lineRule="auto"/>
        <w:ind w:firstLineChars="200" w:firstLine="480"/>
        <w:rPr>
          <w:rFonts w:ascii="SimSun" w:eastAsia="SimSun" w:hAnsi="SimSun" w:cs="SimSun"/>
          <w:sz w:val="24"/>
          <w:szCs w:val="24"/>
        </w:rPr>
      </w:pPr>
      <w:r>
        <w:rPr>
          <w:rFonts w:ascii="SimSun" w:eastAsia="SimSun" w:hAnsi="SimSun" w:cs="SimSun" w:hint="eastAsia"/>
          <w:sz w:val="24"/>
          <w:szCs w:val="24"/>
        </w:rPr>
        <w:t>在设计声学菲涅尔透镜之后，仿真分析是验证设计效果的关键步骤。是一个强大的仿真软件，可以用于多物理场的耦合仿真，特别是在声学仿真领域。本项目使用 COMSOL 进行以下几方面的仿真：</w:t>
      </w:r>
    </w:p>
    <w:p w14:paraId="05F8B1E5" w14:textId="77777777" w:rsidR="0083639F" w:rsidRDefault="00807372">
      <w:pPr>
        <w:spacing w:line="360" w:lineRule="auto"/>
        <w:ind w:firstLineChars="200" w:firstLine="480"/>
        <w:rPr>
          <w:rFonts w:ascii="SimSun" w:eastAsia="SimSun" w:hAnsi="SimSun" w:cs="SimSun"/>
          <w:sz w:val="24"/>
          <w:szCs w:val="24"/>
        </w:rPr>
      </w:pPr>
      <w:r>
        <w:rPr>
          <w:rFonts w:ascii="SimSun" w:eastAsia="SimSun" w:hAnsi="SimSun" w:cs="SimSun" w:hint="eastAsia"/>
          <w:sz w:val="24"/>
          <w:szCs w:val="24"/>
        </w:rPr>
        <w:t>声场仿真：首先利用 COMSOL 的声学模块对设计的菲涅尔透镜进行声场分析。该步骤通过仿真声波的传播、折射与聚焦过程，评估不同设计参数对透镜性能的影响。主要分析聚焦效果、声波束的形状与分布，以及能量传递效率。</w:t>
      </w:r>
    </w:p>
    <w:p w14:paraId="30CD4382" w14:textId="77777777" w:rsidR="0083639F" w:rsidRDefault="00807372">
      <w:pPr>
        <w:spacing w:line="360" w:lineRule="auto"/>
        <w:ind w:firstLineChars="200" w:firstLine="480"/>
        <w:rPr>
          <w:rFonts w:ascii="SimSun" w:eastAsia="SimSun" w:hAnsi="SimSun" w:cs="SimSun"/>
          <w:sz w:val="24"/>
          <w:szCs w:val="24"/>
        </w:rPr>
      </w:pPr>
      <w:r>
        <w:rPr>
          <w:rFonts w:ascii="SimSun" w:eastAsia="SimSun" w:hAnsi="SimSun" w:cs="SimSun" w:hint="eastAsia"/>
          <w:sz w:val="24"/>
          <w:szCs w:val="24"/>
        </w:rPr>
        <w:t>结构与声学耦合仿真：为进一步提高透镜设计的精确性，本项目还考虑了透镜材料的力学特性，并进行了结构与声学的耦合仿真。通过这个仿真，可以确保透镜在实际应用中不会因外力或温度变化而影响其聚焦效果。</w:t>
      </w:r>
    </w:p>
    <w:p w14:paraId="4DA3973C" w14:textId="77777777" w:rsidR="0083639F" w:rsidRDefault="00807372">
      <w:pPr>
        <w:spacing w:line="360" w:lineRule="auto"/>
        <w:ind w:firstLineChars="200" w:firstLine="480"/>
        <w:rPr>
          <w:rFonts w:ascii="SimSun" w:eastAsia="SimSun" w:hAnsi="SimSun" w:cs="SimSun"/>
          <w:sz w:val="24"/>
          <w:szCs w:val="24"/>
        </w:rPr>
      </w:pPr>
      <w:r>
        <w:rPr>
          <w:rFonts w:ascii="SimSun" w:eastAsia="SimSun" w:hAnsi="SimSun" w:cs="SimSun" w:hint="eastAsia"/>
          <w:sz w:val="24"/>
          <w:szCs w:val="24"/>
        </w:rPr>
        <w:t>优化设计：利用 COMSOL 中的优化模块，对透镜的几何形状进行自动优化，以求在满足性能要求的同时，进一步减小透镜体积或提高声波聚焦精度。优化过程中，考虑到焦距、聚焦效率、声压分布等多个因素。</w:t>
      </w:r>
    </w:p>
    <w:p w14:paraId="17EDBDCE" w14:textId="77777777" w:rsidR="0083639F" w:rsidRDefault="0083639F">
      <w:pPr>
        <w:spacing w:line="360" w:lineRule="auto"/>
        <w:ind w:firstLineChars="200" w:firstLine="480"/>
        <w:rPr>
          <w:rFonts w:ascii="SimSun" w:eastAsia="SimSun" w:hAnsi="SimSun" w:cs="SimSun"/>
          <w:sz w:val="24"/>
          <w:szCs w:val="24"/>
        </w:rPr>
      </w:pPr>
    </w:p>
    <w:p w14:paraId="1697359F" w14:textId="77777777" w:rsidR="0083639F" w:rsidRDefault="00807372">
      <w:pPr>
        <w:spacing w:line="360" w:lineRule="auto"/>
        <w:rPr>
          <w:rFonts w:ascii="SimSun" w:eastAsia="SimSun" w:hAnsi="SimSun" w:cs="SimSun"/>
          <w:b/>
          <w:bCs/>
          <w:sz w:val="28"/>
          <w:szCs w:val="28"/>
        </w:rPr>
      </w:pPr>
      <w:r>
        <w:rPr>
          <w:rFonts w:ascii="SimSun" w:eastAsia="SimSun" w:hAnsi="SimSun" w:cs="SimSun" w:hint="eastAsia"/>
          <w:b/>
          <w:bCs/>
          <w:sz w:val="28"/>
          <w:szCs w:val="28"/>
        </w:rPr>
        <w:t>3.中期成果</w:t>
      </w:r>
    </w:p>
    <w:p w14:paraId="41F0C790" w14:textId="77777777" w:rsidR="0083639F" w:rsidRDefault="00807372">
      <w:pPr>
        <w:spacing w:line="360" w:lineRule="auto"/>
        <w:rPr>
          <w:rFonts w:ascii="SimSun" w:eastAsia="SimSun" w:hAnsi="SimSun" w:cs="SimSun"/>
          <w:b/>
          <w:bCs/>
          <w:sz w:val="24"/>
          <w:szCs w:val="24"/>
        </w:rPr>
      </w:pPr>
      <w:r>
        <w:rPr>
          <w:rFonts w:ascii="SimSun" w:eastAsia="SimSun" w:hAnsi="SimSun" w:cs="SimSun" w:hint="eastAsia"/>
          <w:b/>
          <w:bCs/>
          <w:sz w:val="24"/>
          <w:szCs w:val="24"/>
        </w:rPr>
        <w:t>3.1 聚焦超声与菲涅尔透镜的调研</w:t>
      </w:r>
    </w:p>
    <w:p w14:paraId="4D24BEFF" w14:textId="77777777" w:rsidR="0083639F" w:rsidRDefault="00807372">
      <w:pPr>
        <w:spacing w:line="360" w:lineRule="auto"/>
        <w:ind w:firstLineChars="200" w:firstLine="480"/>
        <w:rPr>
          <w:rFonts w:ascii="SimSun" w:eastAsia="SimSun" w:hAnsi="SimSun" w:cs="SimSun"/>
          <w:sz w:val="24"/>
          <w:szCs w:val="24"/>
        </w:rPr>
      </w:pPr>
      <w:r>
        <w:rPr>
          <w:rFonts w:ascii="SimSun" w:eastAsia="SimSun" w:hAnsi="SimSun" w:cs="SimSun" w:hint="eastAsia"/>
          <w:sz w:val="24"/>
          <w:szCs w:val="24"/>
        </w:rPr>
        <w:t>在项目初期，我进行了对聚焦超声和菲涅尔透镜相关领域的全面调研，旨在深入了解这些技术在实际应用中的原理与挑战，尤其是在医学中的应用。例如，聚焦超声作为一种非侵入性的治疗技术，广泛应用于肿瘤治疗、碎石术等领域，其能够精确聚焦超声波进行高强度局部加热或机械破坏。菲涅尔透镜作为一种有效的声学透镜，其利用分段设计原理，通过多层环形结构实现声波的聚焦，可以有效改善超声聚焦效率和精度。</w:t>
      </w:r>
    </w:p>
    <w:p w14:paraId="15C014C1" w14:textId="77777777" w:rsidR="0083639F" w:rsidRDefault="00807372">
      <w:pPr>
        <w:spacing w:line="360" w:lineRule="auto"/>
        <w:ind w:firstLineChars="200" w:firstLine="480"/>
        <w:rPr>
          <w:rFonts w:ascii="SimSun" w:eastAsia="SimSun" w:hAnsi="SimSun" w:cs="SimSun"/>
          <w:sz w:val="24"/>
          <w:szCs w:val="24"/>
        </w:rPr>
      </w:pPr>
      <w:r>
        <w:rPr>
          <w:rFonts w:ascii="SimSun" w:eastAsia="SimSun" w:hAnsi="SimSun" w:cs="SimSun" w:hint="eastAsia"/>
          <w:sz w:val="24"/>
          <w:szCs w:val="24"/>
        </w:rPr>
        <w:lastRenderedPageBreak/>
        <w:t>调研中，我详细查阅了大量关于聚焦超声与声学透镜的文献，深入了解了其设计原理、应用场景、技术瓶颈及发展趋势。这为我后续的菲涅尔声学透镜设计提供了坚实的理论基础。</w:t>
      </w:r>
    </w:p>
    <w:p w14:paraId="04E8FAF8" w14:textId="77777777" w:rsidR="0083639F" w:rsidRDefault="0083639F">
      <w:pPr>
        <w:spacing w:line="360" w:lineRule="auto"/>
        <w:rPr>
          <w:rFonts w:ascii="SimSun" w:eastAsia="SimSun" w:hAnsi="SimSun" w:cs="SimSun"/>
          <w:sz w:val="24"/>
          <w:szCs w:val="24"/>
        </w:rPr>
      </w:pPr>
    </w:p>
    <w:p w14:paraId="78F0C12D" w14:textId="77777777" w:rsidR="0083639F" w:rsidRDefault="00807372">
      <w:pPr>
        <w:spacing w:line="360" w:lineRule="auto"/>
        <w:rPr>
          <w:rFonts w:ascii="SimSun" w:eastAsia="SimSun" w:hAnsi="SimSun" w:cs="SimSun"/>
          <w:b/>
          <w:bCs/>
          <w:sz w:val="24"/>
          <w:szCs w:val="24"/>
        </w:rPr>
      </w:pPr>
      <w:r>
        <w:rPr>
          <w:rFonts w:ascii="SimSun" w:eastAsia="SimSun" w:hAnsi="SimSun" w:cs="SimSun" w:hint="eastAsia"/>
          <w:b/>
          <w:bCs/>
          <w:sz w:val="24"/>
          <w:szCs w:val="24"/>
        </w:rPr>
        <w:t>3.2 COMSOL 软件的学习与案例学习</w:t>
      </w:r>
    </w:p>
    <w:p w14:paraId="472FC752" w14:textId="77777777" w:rsidR="0083639F" w:rsidRDefault="00807372">
      <w:pPr>
        <w:spacing w:line="360" w:lineRule="auto"/>
        <w:ind w:firstLineChars="200" w:firstLine="480"/>
        <w:rPr>
          <w:rFonts w:ascii="SimSun" w:eastAsia="SimSun" w:hAnsi="SimSun" w:cs="SimSun"/>
          <w:sz w:val="24"/>
          <w:szCs w:val="24"/>
        </w:rPr>
      </w:pPr>
      <w:r>
        <w:rPr>
          <w:rFonts w:ascii="SimSun" w:eastAsia="SimSun" w:hAnsi="SimSun" w:cs="SimSun" w:hint="eastAsia"/>
          <w:sz w:val="24"/>
          <w:szCs w:val="24"/>
        </w:rPr>
        <w:t>为了能够进行精确的菲涅尔透镜设计与仿真，我选择了COMSOL作为仿真工具。COMSOL 是一个功能强大的多物理场仿真软件，广泛应用于声学、光学等领域的研究与工程实践。作为项目的一部分，我在网上学习了 COMSOL 的基础操作与声学模块的应用，并结合官网提供的案例教程，进行了实际操作。</w:t>
      </w:r>
    </w:p>
    <w:p w14:paraId="0EFE64E4" w14:textId="77777777" w:rsidR="0083639F" w:rsidRDefault="00807372">
      <w:pPr>
        <w:spacing w:line="360" w:lineRule="auto"/>
        <w:ind w:firstLineChars="200" w:firstLine="480"/>
        <w:rPr>
          <w:rFonts w:ascii="SimSun" w:eastAsia="SimSun" w:hAnsi="SimSun" w:cs="SimSun"/>
          <w:sz w:val="24"/>
          <w:szCs w:val="24"/>
        </w:rPr>
      </w:pPr>
      <w:r>
        <w:rPr>
          <w:rFonts w:ascii="SimSun" w:eastAsia="SimSun" w:hAnsi="SimSun" w:cs="SimSun" w:hint="eastAsia"/>
          <w:sz w:val="24"/>
          <w:szCs w:val="24"/>
        </w:rPr>
        <w:t>通过学习，我掌握了如何使用 COMSOL 创建声学模型，设置不同材料的声学属性，并进行不同条件下的仿真。特别是在光学菲涅尔透镜的仿真中，我根据官网提供的案例，成功进行了光学菲涅尔透镜的仿真，得到了关于电场模式、电场强度以及透镜附近的电场分布等结果（图8-13）。</w:t>
      </w:r>
    </w:p>
    <w:p w14:paraId="507138F9" w14:textId="77777777" w:rsidR="0083639F" w:rsidRDefault="00807372" w:rsidP="00AE2919">
      <w:pPr>
        <w:spacing w:line="360" w:lineRule="auto"/>
        <w:ind w:firstLineChars="200" w:firstLine="480"/>
        <w:jc w:val="center"/>
        <w:rPr>
          <w:rFonts w:ascii="SimSun" w:eastAsia="SimSun" w:hAnsi="SimSun" w:cs="SimSun"/>
          <w:sz w:val="24"/>
          <w:szCs w:val="24"/>
        </w:rPr>
      </w:pPr>
      <w:r>
        <w:rPr>
          <w:rFonts w:ascii="SimSun" w:eastAsia="SimSun" w:hAnsi="SimSun" w:cs="SimSun" w:hint="eastAsia"/>
          <w:noProof/>
          <w:sz w:val="24"/>
          <w:szCs w:val="24"/>
        </w:rPr>
        <w:drawing>
          <wp:inline distT="0" distB="0" distL="114300" distR="114300" wp14:anchorId="5C87AA8A" wp14:editId="51AFCF5F">
            <wp:extent cx="5089938" cy="3698631"/>
            <wp:effectExtent l="0" t="0" r="0" b="0"/>
            <wp:docPr id="10" name="图片 10" descr="56c9703c468ac974b0ea042a104ff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6c9703c468ac974b0ea042a104ff81"/>
                    <pic:cNvPicPr>
                      <a:picLocks noChangeAspect="1"/>
                    </pic:cNvPicPr>
                  </pic:nvPicPr>
                  <pic:blipFill>
                    <a:blip r:embed="rId16"/>
                    <a:stretch>
                      <a:fillRect/>
                    </a:stretch>
                  </pic:blipFill>
                  <pic:spPr>
                    <a:xfrm>
                      <a:off x="0" y="0"/>
                      <a:ext cx="5101359" cy="3706930"/>
                    </a:xfrm>
                    <a:prstGeom prst="rect">
                      <a:avLst/>
                    </a:prstGeom>
                  </pic:spPr>
                </pic:pic>
              </a:graphicData>
            </a:graphic>
          </wp:inline>
        </w:drawing>
      </w:r>
    </w:p>
    <w:p w14:paraId="22A38080" w14:textId="77777777" w:rsidR="0083639F" w:rsidRDefault="00807372">
      <w:pPr>
        <w:spacing w:line="360" w:lineRule="auto"/>
        <w:ind w:firstLineChars="200" w:firstLine="360"/>
        <w:jc w:val="center"/>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图8.电场模</w:t>
      </w:r>
    </w:p>
    <w:p w14:paraId="75857262" w14:textId="77777777" w:rsidR="0083639F" w:rsidRDefault="00807372" w:rsidP="00AE2919">
      <w:pPr>
        <w:spacing w:line="360" w:lineRule="auto"/>
        <w:ind w:firstLineChars="200" w:firstLine="480"/>
        <w:jc w:val="center"/>
        <w:rPr>
          <w:rFonts w:ascii="SimSun" w:eastAsia="SimSun" w:hAnsi="SimSun" w:cs="SimSun"/>
          <w:sz w:val="24"/>
          <w:szCs w:val="24"/>
        </w:rPr>
      </w:pPr>
      <w:r>
        <w:rPr>
          <w:rFonts w:ascii="SimSun" w:eastAsia="SimSun" w:hAnsi="SimSun" w:cs="SimSun" w:hint="eastAsia"/>
          <w:noProof/>
          <w:sz w:val="24"/>
          <w:szCs w:val="24"/>
        </w:rPr>
        <w:lastRenderedPageBreak/>
        <w:drawing>
          <wp:inline distT="0" distB="0" distL="114300" distR="114300" wp14:anchorId="15E3A1F5" wp14:editId="51F92ABF">
            <wp:extent cx="5069567" cy="3609584"/>
            <wp:effectExtent l="0" t="0" r="0" b="0"/>
            <wp:docPr id="12" name="图片 12" descr="d1422e020242b315627af4853e229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1422e020242b315627af4853e229f0"/>
                    <pic:cNvPicPr>
                      <a:picLocks noChangeAspect="1"/>
                    </pic:cNvPicPr>
                  </pic:nvPicPr>
                  <pic:blipFill rotWithShape="1">
                    <a:blip r:embed="rId17"/>
                    <a:srcRect t="10572"/>
                    <a:stretch/>
                  </pic:blipFill>
                  <pic:spPr bwMode="auto">
                    <a:xfrm>
                      <a:off x="0" y="0"/>
                      <a:ext cx="5086273" cy="3621479"/>
                    </a:xfrm>
                    <a:prstGeom prst="rect">
                      <a:avLst/>
                    </a:prstGeom>
                    <a:ln>
                      <a:noFill/>
                    </a:ln>
                    <a:extLst>
                      <a:ext uri="{53640926-AAD7-44D8-BBD7-CCE9431645EC}">
                        <a14:shadowObscured xmlns:a14="http://schemas.microsoft.com/office/drawing/2010/main"/>
                      </a:ext>
                    </a:extLst>
                  </pic:spPr>
                </pic:pic>
              </a:graphicData>
            </a:graphic>
          </wp:inline>
        </w:drawing>
      </w:r>
    </w:p>
    <w:p w14:paraId="1B82092C" w14:textId="77777777" w:rsidR="0083639F" w:rsidRDefault="00807372">
      <w:pPr>
        <w:spacing w:line="360" w:lineRule="auto"/>
        <w:ind w:firstLineChars="200" w:firstLine="360"/>
        <w:jc w:val="center"/>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图9.电场大小</w:t>
      </w:r>
    </w:p>
    <w:p w14:paraId="66A6A24A" w14:textId="77777777" w:rsidR="0083639F" w:rsidRDefault="0083639F">
      <w:pPr>
        <w:spacing w:line="360" w:lineRule="auto"/>
        <w:ind w:firstLineChars="200" w:firstLine="480"/>
        <w:rPr>
          <w:rFonts w:ascii="SimSun" w:eastAsia="SimSun" w:hAnsi="SimSun" w:cs="SimSun"/>
          <w:sz w:val="24"/>
          <w:szCs w:val="24"/>
        </w:rPr>
      </w:pPr>
    </w:p>
    <w:p w14:paraId="21ACF1C3" w14:textId="77777777" w:rsidR="0083639F" w:rsidRDefault="00807372" w:rsidP="00AE2919">
      <w:pPr>
        <w:spacing w:line="360" w:lineRule="auto"/>
        <w:jc w:val="center"/>
        <w:rPr>
          <w:rFonts w:ascii="SimSun" w:eastAsia="SimSun" w:hAnsi="SimSun" w:cs="SimSun"/>
          <w:sz w:val="24"/>
          <w:szCs w:val="24"/>
        </w:rPr>
      </w:pPr>
      <w:r>
        <w:rPr>
          <w:rFonts w:ascii="SimSun" w:eastAsia="SimSun" w:hAnsi="SimSun" w:cs="SimSun" w:hint="eastAsia"/>
          <w:noProof/>
          <w:sz w:val="24"/>
          <w:szCs w:val="24"/>
        </w:rPr>
        <w:drawing>
          <wp:inline distT="0" distB="0" distL="114300" distR="114300" wp14:anchorId="325EBD93" wp14:editId="4760999A">
            <wp:extent cx="5176142" cy="3697849"/>
            <wp:effectExtent l="0" t="0" r="5715" b="0"/>
            <wp:docPr id="13" name="图片 13" descr="bfefc884c1faeb4ee41079477d8b3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bfefc884c1faeb4ee41079477d8b3f2"/>
                    <pic:cNvPicPr>
                      <a:picLocks noChangeAspect="1"/>
                    </pic:cNvPicPr>
                  </pic:nvPicPr>
                  <pic:blipFill rotWithShape="1">
                    <a:blip r:embed="rId18"/>
                    <a:srcRect l="1340" t="10243"/>
                    <a:stretch/>
                  </pic:blipFill>
                  <pic:spPr bwMode="auto">
                    <a:xfrm>
                      <a:off x="0" y="0"/>
                      <a:ext cx="5186835" cy="3705488"/>
                    </a:xfrm>
                    <a:prstGeom prst="rect">
                      <a:avLst/>
                    </a:prstGeom>
                    <a:ln>
                      <a:noFill/>
                    </a:ln>
                    <a:extLst>
                      <a:ext uri="{53640926-AAD7-44D8-BBD7-CCE9431645EC}">
                        <a14:shadowObscured xmlns:a14="http://schemas.microsoft.com/office/drawing/2010/main"/>
                      </a:ext>
                    </a:extLst>
                  </pic:spPr>
                </pic:pic>
              </a:graphicData>
            </a:graphic>
          </wp:inline>
        </w:drawing>
      </w:r>
    </w:p>
    <w:p w14:paraId="2CECA4FC" w14:textId="39AF1898" w:rsidR="0083639F" w:rsidRPr="00AE2919" w:rsidRDefault="00807372" w:rsidP="00AE2919">
      <w:pPr>
        <w:spacing w:line="360" w:lineRule="auto"/>
        <w:jc w:val="center"/>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图10.透镜附近的电场模</w:t>
      </w:r>
    </w:p>
    <w:p w14:paraId="0D8220E8" w14:textId="77777777" w:rsidR="0083639F" w:rsidRDefault="00807372" w:rsidP="00AE2919">
      <w:pPr>
        <w:spacing w:line="360" w:lineRule="auto"/>
        <w:jc w:val="center"/>
        <w:rPr>
          <w:rFonts w:ascii="SimSun" w:eastAsia="SimSun" w:hAnsi="SimSun" w:cs="SimSun"/>
          <w:sz w:val="24"/>
          <w:szCs w:val="24"/>
        </w:rPr>
      </w:pPr>
      <w:r>
        <w:rPr>
          <w:rFonts w:ascii="SimSun" w:eastAsia="SimSun" w:hAnsi="SimSun" w:cs="SimSun" w:hint="eastAsia"/>
          <w:noProof/>
          <w:sz w:val="24"/>
          <w:szCs w:val="24"/>
        </w:rPr>
        <w:lastRenderedPageBreak/>
        <w:drawing>
          <wp:inline distT="0" distB="0" distL="114300" distR="114300" wp14:anchorId="24D9C0C9" wp14:editId="53BC26B4">
            <wp:extent cx="5462505" cy="3852838"/>
            <wp:effectExtent l="0" t="0" r="0" b="0"/>
            <wp:docPr id="15" name="图片 15" descr="a49b8987e6d5b38d4307350ecef7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a49b8987e6d5b38d4307350ecef7731"/>
                    <pic:cNvPicPr>
                      <a:picLocks noChangeAspect="1"/>
                    </pic:cNvPicPr>
                  </pic:nvPicPr>
                  <pic:blipFill rotWithShape="1">
                    <a:blip r:embed="rId19"/>
                    <a:srcRect t="10464" r="2236" b="847"/>
                    <a:stretch/>
                  </pic:blipFill>
                  <pic:spPr bwMode="auto">
                    <a:xfrm>
                      <a:off x="0" y="0"/>
                      <a:ext cx="5478755" cy="3864299"/>
                    </a:xfrm>
                    <a:prstGeom prst="rect">
                      <a:avLst/>
                    </a:prstGeom>
                    <a:ln>
                      <a:noFill/>
                    </a:ln>
                    <a:extLst>
                      <a:ext uri="{53640926-AAD7-44D8-BBD7-CCE9431645EC}">
                        <a14:shadowObscured xmlns:a14="http://schemas.microsoft.com/office/drawing/2010/main"/>
                      </a:ext>
                    </a:extLst>
                  </pic:spPr>
                </pic:pic>
              </a:graphicData>
            </a:graphic>
          </wp:inline>
        </w:drawing>
      </w:r>
    </w:p>
    <w:p w14:paraId="53519DED" w14:textId="41A3C754" w:rsidR="0083639F" w:rsidRPr="00AE2919" w:rsidRDefault="00807372" w:rsidP="00AE2919">
      <w:pPr>
        <w:spacing w:line="360" w:lineRule="auto"/>
        <w:jc w:val="center"/>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图11.透镜附近的电场大小</w:t>
      </w:r>
    </w:p>
    <w:p w14:paraId="7D246057" w14:textId="77777777" w:rsidR="0083639F" w:rsidRDefault="00807372">
      <w:pPr>
        <w:spacing w:line="360" w:lineRule="auto"/>
        <w:jc w:val="center"/>
        <w:rPr>
          <w:rFonts w:asciiTheme="majorEastAsia" w:eastAsiaTheme="majorEastAsia" w:hAnsiTheme="majorEastAsia" w:cstheme="majorEastAsia"/>
          <w:sz w:val="18"/>
          <w:szCs w:val="18"/>
        </w:rPr>
      </w:pPr>
      <w:r>
        <w:rPr>
          <w:rFonts w:asciiTheme="majorEastAsia" w:eastAsiaTheme="majorEastAsia" w:hAnsiTheme="majorEastAsia" w:cstheme="majorEastAsia" w:hint="eastAsia"/>
          <w:noProof/>
          <w:sz w:val="18"/>
          <w:szCs w:val="18"/>
        </w:rPr>
        <w:drawing>
          <wp:inline distT="0" distB="0" distL="114300" distR="114300" wp14:anchorId="4760DA7F" wp14:editId="4450C845">
            <wp:extent cx="5288483" cy="3651397"/>
            <wp:effectExtent l="0" t="0" r="7620" b="6350"/>
            <wp:docPr id="16" name="图片 16" descr="d7e28dbce17e985fda9049ad7e816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7e28dbce17e985fda9049ad7e8163e"/>
                    <pic:cNvPicPr>
                      <a:picLocks noChangeAspect="1"/>
                    </pic:cNvPicPr>
                  </pic:nvPicPr>
                  <pic:blipFill rotWithShape="1">
                    <a:blip r:embed="rId20"/>
                    <a:srcRect t="10562"/>
                    <a:stretch/>
                  </pic:blipFill>
                  <pic:spPr bwMode="auto">
                    <a:xfrm>
                      <a:off x="0" y="0"/>
                      <a:ext cx="5296926" cy="3657226"/>
                    </a:xfrm>
                    <a:prstGeom prst="rect">
                      <a:avLst/>
                    </a:prstGeom>
                    <a:ln>
                      <a:noFill/>
                    </a:ln>
                    <a:extLst>
                      <a:ext uri="{53640926-AAD7-44D8-BBD7-CCE9431645EC}">
                        <a14:shadowObscured xmlns:a14="http://schemas.microsoft.com/office/drawing/2010/main"/>
                      </a:ext>
                    </a:extLst>
                  </pic:spPr>
                </pic:pic>
              </a:graphicData>
            </a:graphic>
          </wp:inline>
        </w:drawing>
      </w:r>
    </w:p>
    <w:p w14:paraId="7790E23D" w14:textId="77777777" w:rsidR="0083639F" w:rsidRDefault="00807372">
      <w:pPr>
        <w:spacing w:line="360" w:lineRule="auto"/>
        <w:jc w:val="center"/>
        <w:rPr>
          <w:rFonts w:asciiTheme="majorEastAsia" w:eastAsiaTheme="majorEastAsia" w:hAnsiTheme="majorEastAsia" w:cstheme="majorEastAsia"/>
          <w:b/>
          <w:bCs/>
          <w:sz w:val="18"/>
          <w:szCs w:val="18"/>
        </w:rPr>
      </w:pPr>
      <w:r>
        <w:rPr>
          <w:rFonts w:asciiTheme="majorEastAsia" w:eastAsiaTheme="majorEastAsia" w:hAnsiTheme="majorEastAsia" w:cstheme="majorEastAsia" w:hint="eastAsia"/>
          <w:sz w:val="18"/>
          <w:szCs w:val="18"/>
        </w:rPr>
        <w:t>图12.出射面处的电场大小</w:t>
      </w:r>
    </w:p>
    <w:p w14:paraId="0C442916" w14:textId="77777777" w:rsidR="0083639F" w:rsidRDefault="0083639F">
      <w:pPr>
        <w:spacing w:line="360" w:lineRule="auto"/>
        <w:rPr>
          <w:rFonts w:ascii="SimSun" w:eastAsia="SimSun" w:hAnsi="SimSun" w:cs="SimSun"/>
          <w:sz w:val="24"/>
          <w:szCs w:val="24"/>
        </w:rPr>
      </w:pPr>
    </w:p>
    <w:p w14:paraId="2DE8EC43" w14:textId="77777777" w:rsidR="0083639F" w:rsidRDefault="00807372" w:rsidP="00AE2919">
      <w:pPr>
        <w:spacing w:line="360" w:lineRule="auto"/>
        <w:jc w:val="center"/>
        <w:rPr>
          <w:rFonts w:ascii="SimSun" w:eastAsia="SimSun" w:hAnsi="SimSun" w:cs="SimSun"/>
          <w:sz w:val="24"/>
          <w:szCs w:val="24"/>
        </w:rPr>
      </w:pPr>
      <w:r>
        <w:rPr>
          <w:rFonts w:ascii="SimSun" w:eastAsia="SimSun" w:hAnsi="SimSun" w:cs="SimSun" w:hint="eastAsia"/>
          <w:noProof/>
          <w:sz w:val="24"/>
          <w:szCs w:val="24"/>
        </w:rPr>
        <w:lastRenderedPageBreak/>
        <w:drawing>
          <wp:inline distT="0" distB="0" distL="114300" distR="114300" wp14:anchorId="649FDEAE" wp14:editId="41E032EB">
            <wp:extent cx="4765434" cy="3371362"/>
            <wp:effectExtent l="0" t="0" r="0" b="0"/>
            <wp:docPr id="20" name="图片 20" descr="8c6f1481a0193485f5378bc94dd9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8c6f1481a0193485f5378bc94dd9466"/>
                    <pic:cNvPicPr>
                      <a:picLocks noChangeAspect="1"/>
                    </pic:cNvPicPr>
                  </pic:nvPicPr>
                  <pic:blipFill rotWithShape="1">
                    <a:blip r:embed="rId21"/>
                    <a:srcRect t="9275"/>
                    <a:stretch/>
                  </pic:blipFill>
                  <pic:spPr bwMode="auto">
                    <a:xfrm>
                      <a:off x="0" y="0"/>
                      <a:ext cx="4769379" cy="3374153"/>
                    </a:xfrm>
                    <a:prstGeom prst="rect">
                      <a:avLst/>
                    </a:prstGeom>
                    <a:ln>
                      <a:noFill/>
                    </a:ln>
                    <a:extLst>
                      <a:ext uri="{53640926-AAD7-44D8-BBD7-CCE9431645EC}">
                        <a14:shadowObscured xmlns:a14="http://schemas.microsoft.com/office/drawing/2010/main"/>
                      </a:ext>
                    </a:extLst>
                  </pic:spPr>
                </pic:pic>
              </a:graphicData>
            </a:graphic>
          </wp:inline>
        </w:drawing>
      </w:r>
    </w:p>
    <w:p w14:paraId="5BBC93D0" w14:textId="77777777" w:rsidR="0083639F" w:rsidRDefault="00807372">
      <w:pPr>
        <w:spacing w:line="360" w:lineRule="auto"/>
        <w:jc w:val="center"/>
        <w:rPr>
          <w:rFonts w:asciiTheme="majorEastAsia" w:eastAsiaTheme="majorEastAsia" w:hAnsiTheme="majorEastAsia" w:cstheme="majorEastAsia"/>
          <w:sz w:val="18"/>
          <w:szCs w:val="18"/>
        </w:rPr>
      </w:pPr>
      <w:r>
        <w:rPr>
          <w:rFonts w:asciiTheme="majorEastAsia" w:eastAsiaTheme="majorEastAsia" w:hAnsiTheme="majorEastAsia" w:cstheme="majorEastAsia" w:hint="eastAsia"/>
          <w:sz w:val="18"/>
          <w:szCs w:val="18"/>
        </w:rPr>
        <w:t>图13.菲涅尔与亥姆霍兹的比较</w:t>
      </w:r>
    </w:p>
    <w:p w14:paraId="6C7F8BB8" w14:textId="77777777" w:rsidR="0083639F" w:rsidRDefault="0083639F">
      <w:pPr>
        <w:spacing w:line="360" w:lineRule="auto"/>
        <w:rPr>
          <w:rFonts w:ascii="SimSun" w:eastAsia="SimSun" w:hAnsi="SimSun" w:cs="SimSun"/>
          <w:sz w:val="24"/>
          <w:szCs w:val="24"/>
        </w:rPr>
      </w:pPr>
    </w:p>
    <w:p w14:paraId="74200707" w14:textId="77777777" w:rsidR="0083639F" w:rsidRDefault="00807372">
      <w:pPr>
        <w:spacing w:line="360" w:lineRule="auto"/>
        <w:rPr>
          <w:rFonts w:ascii="SimSun" w:eastAsia="SimSun" w:hAnsi="SimSun" w:cs="SimSun"/>
          <w:b/>
          <w:bCs/>
          <w:sz w:val="28"/>
          <w:szCs w:val="28"/>
        </w:rPr>
      </w:pPr>
      <w:r>
        <w:rPr>
          <w:rFonts w:ascii="SimSun" w:eastAsia="SimSun" w:hAnsi="SimSun" w:cs="SimSun" w:hint="eastAsia"/>
          <w:b/>
          <w:bCs/>
          <w:sz w:val="28"/>
          <w:szCs w:val="28"/>
        </w:rPr>
        <w:t>4.下学期计划</w:t>
      </w:r>
    </w:p>
    <w:p w14:paraId="0BBA9B0C" w14:textId="77777777" w:rsidR="0083639F" w:rsidRDefault="00807372">
      <w:pPr>
        <w:spacing w:line="360" w:lineRule="auto"/>
        <w:rPr>
          <w:rFonts w:ascii="SimSun" w:eastAsia="SimSun" w:hAnsi="SimSun" w:cs="SimSun"/>
          <w:b/>
          <w:bCs/>
          <w:sz w:val="24"/>
          <w:szCs w:val="24"/>
        </w:rPr>
      </w:pPr>
      <w:r>
        <w:rPr>
          <w:rFonts w:ascii="SimSun" w:eastAsia="SimSun" w:hAnsi="SimSun" w:cs="SimSun" w:hint="eastAsia"/>
          <w:b/>
          <w:bCs/>
          <w:sz w:val="24"/>
          <w:szCs w:val="24"/>
        </w:rPr>
        <w:t>4.1 声学菲涅尔透镜参数设计</w:t>
      </w:r>
    </w:p>
    <w:p w14:paraId="10DAC672" w14:textId="77777777" w:rsidR="0083639F" w:rsidRDefault="00807372">
      <w:pPr>
        <w:spacing w:line="360" w:lineRule="auto"/>
        <w:ind w:firstLineChars="200" w:firstLine="480"/>
        <w:rPr>
          <w:rFonts w:ascii="SimSun" w:eastAsia="SimSun" w:hAnsi="SimSun" w:cs="SimSun"/>
          <w:sz w:val="24"/>
          <w:szCs w:val="24"/>
        </w:rPr>
      </w:pPr>
      <w:r>
        <w:rPr>
          <w:rFonts w:ascii="SimSun" w:eastAsia="SimSun" w:hAnsi="SimSun" w:cs="SimSun" w:hint="eastAsia"/>
          <w:sz w:val="24"/>
          <w:szCs w:val="24"/>
        </w:rPr>
        <w:t>在下学期，我将重点关注声学菲涅尔透镜的参数设计</w:t>
      </w:r>
    </w:p>
    <w:p w14:paraId="33FBC7E6" w14:textId="77777777" w:rsidR="0083639F" w:rsidRDefault="00807372">
      <w:pPr>
        <w:spacing w:line="360" w:lineRule="auto"/>
        <w:ind w:firstLineChars="200" w:firstLine="480"/>
        <w:rPr>
          <w:rFonts w:ascii="SimSun" w:eastAsia="SimSun" w:hAnsi="SimSun" w:cs="SimSun"/>
          <w:sz w:val="24"/>
          <w:szCs w:val="24"/>
        </w:rPr>
      </w:pPr>
      <w:r>
        <w:rPr>
          <w:rFonts w:ascii="SimSun" w:eastAsia="SimSun" w:hAnsi="SimSun" w:cs="SimSun" w:hint="eastAsia"/>
          <w:sz w:val="24"/>
          <w:szCs w:val="24"/>
        </w:rPr>
        <w:t>优化透镜结构参数：深入研究菲涅尔透镜的不同几何结构（如透镜的圆形或环形段设计），并探讨其对声波聚焦效果的影响。通过调整透镜的各个环节尺寸、间距和厚度等参数，优化声波的聚焦精度和效率。</w:t>
      </w:r>
    </w:p>
    <w:p w14:paraId="5D309D24" w14:textId="77777777" w:rsidR="0083639F" w:rsidRDefault="00807372">
      <w:pPr>
        <w:spacing w:line="360" w:lineRule="auto"/>
        <w:ind w:firstLineChars="200" w:firstLine="480"/>
        <w:rPr>
          <w:rFonts w:ascii="SimSun" w:eastAsia="SimSun" w:hAnsi="SimSun" w:cs="SimSun"/>
          <w:sz w:val="24"/>
          <w:szCs w:val="24"/>
        </w:rPr>
      </w:pPr>
      <w:r>
        <w:rPr>
          <w:rFonts w:ascii="SimSun" w:eastAsia="SimSun" w:hAnsi="SimSun" w:cs="SimSun" w:hint="eastAsia"/>
          <w:sz w:val="24"/>
          <w:szCs w:val="24"/>
        </w:rPr>
        <w:t>材料属性的选择与优化：根据声学透镜的应用需求，选择合适的材料（如超声波透过性好的材料），并分析其在不同频率下的声学特性。特别是对声速、密度、吸声系数等材料参数的影响进行系统分析，以确保透镜的良好传输与聚焦效果。</w:t>
      </w:r>
    </w:p>
    <w:p w14:paraId="2D095F12" w14:textId="77777777" w:rsidR="0083639F" w:rsidRDefault="00807372">
      <w:pPr>
        <w:spacing w:line="360" w:lineRule="auto"/>
        <w:ind w:firstLineChars="200" w:firstLine="480"/>
        <w:rPr>
          <w:rFonts w:ascii="SimSun" w:eastAsia="SimSun" w:hAnsi="SimSun" w:cs="SimSun"/>
          <w:sz w:val="24"/>
          <w:szCs w:val="24"/>
        </w:rPr>
      </w:pPr>
      <w:r>
        <w:rPr>
          <w:rFonts w:ascii="SimSun" w:eastAsia="SimSun" w:hAnsi="SimSun" w:cs="SimSun" w:hint="eastAsia"/>
          <w:sz w:val="24"/>
          <w:szCs w:val="24"/>
        </w:rPr>
        <w:t>考虑非线性效应：在高强度超声波应用中，可能会出现非线性效应。下学期，我将探讨声学透镜设计中如何考虑这些效应，如非线性传播、声束弯曲等，以提升透镜在实际应用中的可靠性和准确性。</w:t>
      </w:r>
    </w:p>
    <w:p w14:paraId="5B910C14" w14:textId="77777777" w:rsidR="0083639F" w:rsidRDefault="0083639F">
      <w:pPr>
        <w:spacing w:line="360" w:lineRule="auto"/>
        <w:rPr>
          <w:rFonts w:ascii="SimSun" w:eastAsia="SimSun" w:hAnsi="SimSun" w:cs="SimSun"/>
          <w:sz w:val="24"/>
          <w:szCs w:val="24"/>
        </w:rPr>
      </w:pPr>
    </w:p>
    <w:p w14:paraId="66895399" w14:textId="77777777" w:rsidR="0083639F" w:rsidRDefault="00807372">
      <w:pPr>
        <w:spacing w:line="360" w:lineRule="auto"/>
        <w:rPr>
          <w:rFonts w:ascii="SimSun" w:eastAsia="SimSun" w:hAnsi="SimSun" w:cs="SimSun"/>
          <w:b/>
          <w:bCs/>
          <w:sz w:val="24"/>
          <w:szCs w:val="24"/>
        </w:rPr>
      </w:pPr>
      <w:r>
        <w:rPr>
          <w:rFonts w:ascii="SimSun" w:eastAsia="SimSun" w:hAnsi="SimSun" w:cs="SimSun" w:hint="eastAsia"/>
          <w:b/>
          <w:bCs/>
          <w:sz w:val="24"/>
          <w:szCs w:val="24"/>
        </w:rPr>
        <w:t>4.2 声学透镜仿真设置</w:t>
      </w:r>
    </w:p>
    <w:p w14:paraId="3D5909D8" w14:textId="77777777" w:rsidR="0083639F" w:rsidRDefault="00807372">
      <w:pPr>
        <w:spacing w:line="360" w:lineRule="auto"/>
        <w:ind w:firstLineChars="200" w:firstLine="480"/>
        <w:rPr>
          <w:rFonts w:ascii="SimSun" w:eastAsia="SimSun" w:hAnsi="SimSun" w:cs="SimSun"/>
          <w:sz w:val="24"/>
          <w:szCs w:val="24"/>
        </w:rPr>
      </w:pPr>
      <w:r>
        <w:rPr>
          <w:rFonts w:ascii="SimSun" w:eastAsia="SimSun" w:hAnsi="SimSun" w:cs="SimSun" w:hint="eastAsia"/>
          <w:sz w:val="24"/>
          <w:szCs w:val="24"/>
        </w:rPr>
        <w:t>为了精确模拟声学菲涅尔透镜的行为，下学期我将加强在仿真设置方面的学习与应用，重点包括以下几个方面：</w:t>
      </w:r>
    </w:p>
    <w:p w14:paraId="1BDB8793" w14:textId="77777777" w:rsidR="0083639F" w:rsidRDefault="00807372">
      <w:pPr>
        <w:spacing w:line="360" w:lineRule="auto"/>
        <w:ind w:firstLineChars="200" w:firstLine="480"/>
        <w:rPr>
          <w:rFonts w:ascii="SimSun" w:eastAsia="SimSun" w:hAnsi="SimSun" w:cs="SimSun"/>
          <w:sz w:val="24"/>
          <w:szCs w:val="24"/>
        </w:rPr>
      </w:pPr>
      <w:r>
        <w:rPr>
          <w:rFonts w:ascii="SimSun" w:eastAsia="SimSun" w:hAnsi="SimSun" w:cs="SimSun" w:hint="eastAsia"/>
          <w:sz w:val="24"/>
          <w:szCs w:val="24"/>
        </w:rPr>
        <w:lastRenderedPageBreak/>
        <w:t>仿真模型的建立与调整：根据设计目标，建立更为复杂和精确的声学透镜仿真模型。通过对模型边界条件、初始条件和求解设置的优化，确保仿真结果具有高度的物理现实性。</w:t>
      </w:r>
    </w:p>
    <w:p w14:paraId="4FECDFA7" w14:textId="77777777" w:rsidR="0083639F" w:rsidRDefault="00807372">
      <w:pPr>
        <w:spacing w:line="360" w:lineRule="auto"/>
        <w:ind w:firstLineChars="200" w:firstLine="480"/>
        <w:rPr>
          <w:rFonts w:ascii="SimSun" w:eastAsia="SimSun" w:hAnsi="SimSun" w:cs="SimSun"/>
          <w:sz w:val="24"/>
          <w:szCs w:val="24"/>
        </w:rPr>
      </w:pPr>
      <w:r>
        <w:rPr>
          <w:rFonts w:ascii="SimSun" w:eastAsia="SimSun" w:hAnsi="SimSun" w:cs="SimSun" w:hint="eastAsia"/>
          <w:sz w:val="24"/>
          <w:szCs w:val="24"/>
        </w:rPr>
        <w:t>高频声波的传播特性仿真：针对超声波频率范围，我将进一步学习如何在 COMSOL 中设置适用于高频声波的模型，考虑到超声波的传播特性和与透镜材料的相互作用，以模拟更接近实际应用的效果。</w:t>
      </w:r>
    </w:p>
    <w:p w14:paraId="4D4CEDEC" w14:textId="77777777" w:rsidR="0083639F" w:rsidRDefault="00807372">
      <w:pPr>
        <w:spacing w:line="360" w:lineRule="auto"/>
        <w:ind w:firstLineChars="200" w:firstLine="480"/>
        <w:rPr>
          <w:rFonts w:ascii="SimSun" w:eastAsia="SimSun" w:hAnsi="SimSun" w:cs="SimSun"/>
          <w:sz w:val="24"/>
          <w:szCs w:val="24"/>
        </w:rPr>
      </w:pPr>
      <w:r>
        <w:rPr>
          <w:rFonts w:ascii="SimSun" w:eastAsia="SimSun" w:hAnsi="SimSun" w:cs="SimSun" w:hint="eastAsia"/>
          <w:sz w:val="24"/>
          <w:szCs w:val="24"/>
        </w:rPr>
        <w:t>多物理场耦合仿真：声学透镜的性能不仅依赖于声学波的传播特性，还与材料的温度效应、机械振动等因素密切相关。下学期，我计划对声学透镜进行多物理场仿真，考虑声学、热学和机械场的耦合作用，进一步提升透镜设计的综合性能。</w:t>
      </w:r>
    </w:p>
    <w:p w14:paraId="1B5051ED" w14:textId="77777777" w:rsidR="0083639F" w:rsidRDefault="00807372">
      <w:pPr>
        <w:spacing w:line="360" w:lineRule="auto"/>
        <w:ind w:firstLineChars="200" w:firstLine="480"/>
        <w:rPr>
          <w:rFonts w:ascii="SimSun" w:eastAsia="SimSun" w:hAnsi="SimSun" w:cs="SimSun"/>
          <w:sz w:val="24"/>
          <w:szCs w:val="24"/>
        </w:rPr>
      </w:pPr>
      <w:r>
        <w:rPr>
          <w:rFonts w:ascii="SimSun" w:eastAsia="SimSun" w:hAnsi="SimSun" w:cs="SimSun" w:hint="eastAsia"/>
          <w:sz w:val="24"/>
          <w:szCs w:val="24"/>
        </w:rPr>
        <w:t>精细化仿真参数分析：通过改变仿真中的不同参数（如透镜尺寸、材料属性、超声波频率等），系统分析每个参数对声波聚焦效果的影响。特别是要通过仿真结果来确认透镜焦距、聚焦精度以及能量损失等关键性能指标。</w:t>
      </w:r>
    </w:p>
    <w:p w14:paraId="7363A6BE" w14:textId="77777777" w:rsidR="0083639F" w:rsidRDefault="0083639F">
      <w:pPr>
        <w:spacing w:line="360" w:lineRule="auto"/>
        <w:ind w:firstLineChars="200" w:firstLine="480"/>
        <w:rPr>
          <w:rFonts w:ascii="SimSun" w:eastAsia="SimSun" w:hAnsi="SimSun" w:cs="SimSun"/>
          <w:sz w:val="24"/>
          <w:szCs w:val="24"/>
        </w:rPr>
      </w:pPr>
    </w:p>
    <w:p w14:paraId="5100C953" w14:textId="77777777" w:rsidR="0083639F" w:rsidRDefault="00807372">
      <w:pPr>
        <w:spacing w:line="360" w:lineRule="auto"/>
        <w:rPr>
          <w:rFonts w:ascii="SimSun" w:eastAsia="SimSun" w:hAnsi="SimSun" w:cs="SimSun"/>
          <w:b/>
          <w:bCs/>
          <w:sz w:val="24"/>
          <w:szCs w:val="24"/>
        </w:rPr>
      </w:pPr>
      <w:r>
        <w:rPr>
          <w:rFonts w:ascii="SimSun" w:eastAsia="SimSun" w:hAnsi="SimSun" w:cs="SimSun" w:hint="eastAsia"/>
          <w:b/>
          <w:bCs/>
          <w:sz w:val="24"/>
          <w:szCs w:val="24"/>
        </w:rPr>
        <w:t>4.3 仿真与实验结合</w:t>
      </w:r>
    </w:p>
    <w:p w14:paraId="1910D80E" w14:textId="4DCEF923" w:rsidR="00AE2919" w:rsidRPr="00AD4767" w:rsidRDefault="00807372" w:rsidP="00AD4767">
      <w:pPr>
        <w:spacing w:line="360" w:lineRule="auto"/>
        <w:ind w:firstLineChars="200" w:firstLine="480"/>
        <w:rPr>
          <w:rFonts w:ascii="SimSun" w:eastAsia="SimSun" w:hAnsi="SimSun" w:cs="SimSun" w:hint="eastAsia"/>
          <w:sz w:val="24"/>
          <w:szCs w:val="24"/>
        </w:rPr>
      </w:pPr>
      <w:r>
        <w:rPr>
          <w:rFonts w:ascii="SimSun" w:eastAsia="SimSun" w:hAnsi="SimSun" w:cs="SimSun" w:hint="eastAsia"/>
          <w:sz w:val="24"/>
          <w:szCs w:val="24"/>
        </w:rPr>
        <w:t>除了仿真研究，我还计划将仿真结果与实验验证相结合。下学期，我将尝试设计一个实验方案，通过实际构建声学菲涅尔透镜并测试其在不同条件下的表现，验证仿真结果的准确性。通过实验反馈，进一步优化仿真模型和设计参数，以确保透镜设计符合实际应用需求。</w:t>
      </w:r>
      <w:bookmarkEnd w:id="0"/>
    </w:p>
    <w:p w14:paraId="3E439F4D" w14:textId="77777777" w:rsidR="0083639F" w:rsidRDefault="00807372">
      <w:pPr>
        <w:pStyle w:val="Heading2"/>
        <w:numPr>
          <w:ilvl w:val="0"/>
          <w:numId w:val="0"/>
        </w:numPr>
        <w:spacing w:line="360" w:lineRule="auto"/>
        <w:rPr>
          <w:rFonts w:ascii="Microsoft YaHei" w:eastAsia="Microsoft YaHei" w:hAnsi="Microsoft YaHei"/>
          <w:sz w:val="28"/>
          <w:szCs w:val="28"/>
          <w:lang w:eastAsia="zh-TW"/>
        </w:rPr>
      </w:pPr>
      <w:r>
        <w:rPr>
          <w:rFonts w:ascii="Microsoft YaHei" w:eastAsia="Microsoft YaHei" w:hAnsi="Microsoft YaHei" w:hint="eastAsia"/>
          <w:sz w:val="28"/>
          <w:szCs w:val="28"/>
          <w:lang w:eastAsia="zh-TW"/>
        </w:rPr>
        <w:t>参考文献</w:t>
      </w:r>
    </w:p>
    <w:p w14:paraId="43432996" w14:textId="77777777" w:rsidR="0083639F" w:rsidRDefault="00807372">
      <w:pPr>
        <w:spacing w:line="360" w:lineRule="auto"/>
        <w:rPr>
          <w:rFonts w:ascii="Times New Roman" w:eastAsia="SimSun" w:hAnsi="Times New Roman" w:cs="Times New Roman"/>
          <w:sz w:val="24"/>
          <w:szCs w:val="24"/>
        </w:rPr>
      </w:pPr>
      <w:r>
        <w:rPr>
          <w:rFonts w:ascii="Times New Roman" w:eastAsia="SimSun" w:hAnsi="Times New Roman" w:cs="Times New Roman"/>
          <w:sz w:val="24"/>
          <w:szCs w:val="24"/>
          <w:lang w:eastAsia="zh-TW"/>
        </w:rPr>
        <w:t>[</w:t>
      </w:r>
      <w:proofErr w:type="gramStart"/>
      <w:r>
        <w:rPr>
          <w:rFonts w:ascii="Times New Roman" w:eastAsia="SimSun" w:hAnsi="Times New Roman" w:cs="Times New Roman"/>
          <w:sz w:val="24"/>
          <w:szCs w:val="24"/>
          <w:lang w:eastAsia="zh-TW"/>
        </w:rPr>
        <w:t>1]</w:t>
      </w:r>
      <w:proofErr w:type="spellStart"/>
      <w:r>
        <w:rPr>
          <w:rFonts w:ascii="Times New Roman" w:eastAsia="SimSun" w:hAnsi="Times New Roman" w:cs="Times New Roman"/>
          <w:sz w:val="24"/>
          <w:szCs w:val="24"/>
          <w:lang w:eastAsia="zh-TW"/>
        </w:rPr>
        <w:t>Tarrazó</w:t>
      </w:r>
      <w:proofErr w:type="spellEnd"/>
      <w:proofErr w:type="gramEnd"/>
      <w:r>
        <w:rPr>
          <w:rFonts w:ascii="Times New Roman" w:eastAsia="SimSun" w:hAnsi="Times New Roman" w:cs="Times New Roman"/>
          <w:sz w:val="24"/>
          <w:szCs w:val="24"/>
          <w:lang w:eastAsia="zh-TW"/>
        </w:rPr>
        <w:t xml:space="preserve">-Serrano D, Pérez-López S, Candelas P, et al. Acoustic focusing enhancement in </w:t>
      </w:r>
      <w:proofErr w:type="spellStart"/>
      <w:r>
        <w:rPr>
          <w:rFonts w:ascii="Times New Roman" w:eastAsia="SimSun" w:hAnsi="Times New Roman" w:cs="Times New Roman"/>
          <w:sz w:val="24"/>
          <w:szCs w:val="24"/>
          <w:lang w:eastAsia="zh-TW"/>
        </w:rPr>
        <w:t>fresnel</w:t>
      </w:r>
      <w:proofErr w:type="spellEnd"/>
      <w:r>
        <w:rPr>
          <w:rFonts w:ascii="Times New Roman" w:eastAsia="SimSun" w:hAnsi="Times New Roman" w:cs="Times New Roman"/>
          <w:sz w:val="24"/>
          <w:szCs w:val="24"/>
          <w:lang w:eastAsia="zh-TW"/>
        </w:rPr>
        <w:t xml:space="preserve"> zone plate lenses[J]. </w:t>
      </w:r>
      <w:r>
        <w:rPr>
          <w:rFonts w:ascii="Times New Roman" w:eastAsia="SimSun" w:hAnsi="Times New Roman" w:cs="Times New Roman"/>
          <w:sz w:val="24"/>
          <w:szCs w:val="24"/>
        </w:rPr>
        <w:t>Scientific Reports, 2019, 9(1): 7067.</w:t>
      </w:r>
    </w:p>
    <w:p w14:paraId="029F2674" w14:textId="77777777" w:rsidR="0083639F" w:rsidRDefault="00807372">
      <w:pPr>
        <w:spacing w:line="360" w:lineRule="auto"/>
        <w:rPr>
          <w:rFonts w:ascii="Times New Roman" w:eastAsia="SimSun" w:hAnsi="Times New Roman" w:cs="Times New Roman"/>
          <w:sz w:val="24"/>
          <w:szCs w:val="24"/>
        </w:rPr>
      </w:pPr>
      <w:r>
        <w:rPr>
          <w:rFonts w:ascii="Times New Roman" w:eastAsia="SimSun" w:hAnsi="Times New Roman" w:cs="Times New Roman"/>
          <w:sz w:val="24"/>
          <w:szCs w:val="24"/>
        </w:rPr>
        <w:t>[</w:t>
      </w:r>
      <w:proofErr w:type="gramStart"/>
      <w:r>
        <w:rPr>
          <w:rFonts w:ascii="Times New Roman" w:eastAsia="SimSun" w:hAnsi="Times New Roman" w:cs="Times New Roman"/>
          <w:sz w:val="24"/>
          <w:szCs w:val="24"/>
        </w:rPr>
        <w:t>2]Zhao</w:t>
      </w:r>
      <w:proofErr w:type="gramEnd"/>
      <w:r>
        <w:rPr>
          <w:rFonts w:ascii="Times New Roman" w:eastAsia="SimSun" w:hAnsi="Times New Roman" w:cs="Times New Roman"/>
          <w:sz w:val="24"/>
          <w:szCs w:val="24"/>
        </w:rPr>
        <w:t xml:space="preserve"> J, Ye H, Huang K, et al. Manipulation of acoustic focusing with an active and configurable planar </w:t>
      </w:r>
      <w:proofErr w:type="spellStart"/>
      <w:r>
        <w:rPr>
          <w:rFonts w:ascii="Times New Roman" w:eastAsia="SimSun" w:hAnsi="Times New Roman" w:cs="Times New Roman"/>
          <w:sz w:val="24"/>
          <w:szCs w:val="24"/>
        </w:rPr>
        <w:t>metasurface</w:t>
      </w:r>
      <w:proofErr w:type="spellEnd"/>
      <w:r>
        <w:rPr>
          <w:rFonts w:ascii="Times New Roman" w:eastAsia="SimSun" w:hAnsi="Times New Roman" w:cs="Times New Roman"/>
          <w:sz w:val="24"/>
          <w:szCs w:val="24"/>
        </w:rPr>
        <w:t xml:space="preserve"> transducer[J]. Scientific Reports, 2014, 4(1): 6257.</w:t>
      </w:r>
    </w:p>
    <w:p w14:paraId="2E92E424" w14:textId="77777777" w:rsidR="0083639F" w:rsidRDefault="00807372">
      <w:pPr>
        <w:spacing w:line="360" w:lineRule="auto"/>
        <w:rPr>
          <w:rFonts w:ascii="Times New Roman" w:eastAsia="SimSun" w:hAnsi="Times New Roman" w:cs="Times New Roman"/>
          <w:sz w:val="24"/>
          <w:szCs w:val="24"/>
        </w:rPr>
      </w:pPr>
      <w:r>
        <w:rPr>
          <w:rFonts w:ascii="Times New Roman" w:eastAsia="SimSun" w:hAnsi="Times New Roman" w:cs="Times New Roman"/>
          <w:sz w:val="24"/>
          <w:szCs w:val="24"/>
        </w:rPr>
        <w:t>[</w:t>
      </w:r>
      <w:proofErr w:type="gramStart"/>
      <w:r>
        <w:rPr>
          <w:rFonts w:ascii="Times New Roman" w:eastAsia="SimSun" w:hAnsi="Times New Roman" w:cs="Times New Roman"/>
          <w:sz w:val="24"/>
          <w:szCs w:val="24"/>
        </w:rPr>
        <w:t>3]Hertzberg</w:t>
      </w:r>
      <w:proofErr w:type="gramEnd"/>
      <w:r>
        <w:rPr>
          <w:rFonts w:ascii="Times New Roman" w:eastAsia="SimSun" w:hAnsi="Times New Roman" w:cs="Times New Roman"/>
          <w:sz w:val="24"/>
          <w:szCs w:val="24"/>
        </w:rPr>
        <w:t xml:space="preserve"> Y, Naor O, </w:t>
      </w:r>
      <w:proofErr w:type="spellStart"/>
      <w:r>
        <w:rPr>
          <w:rFonts w:ascii="Times New Roman" w:eastAsia="SimSun" w:hAnsi="Times New Roman" w:cs="Times New Roman"/>
          <w:sz w:val="24"/>
          <w:szCs w:val="24"/>
        </w:rPr>
        <w:t>Volovick</w:t>
      </w:r>
      <w:proofErr w:type="spellEnd"/>
      <w:r>
        <w:rPr>
          <w:rFonts w:ascii="Times New Roman" w:eastAsia="SimSun" w:hAnsi="Times New Roman" w:cs="Times New Roman"/>
          <w:sz w:val="24"/>
          <w:szCs w:val="24"/>
        </w:rPr>
        <w:t xml:space="preserve"> A, et al. Towards multifocal ultrasonic neural stimulation: pattern generation algorithms[J]. Journal of neural engineering, 2010, 7(5): 056002.</w:t>
      </w:r>
    </w:p>
    <w:p w14:paraId="5447152B" w14:textId="77777777" w:rsidR="0083639F" w:rsidRDefault="00807372">
      <w:pPr>
        <w:spacing w:line="360" w:lineRule="auto"/>
        <w:rPr>
          <w:rFonts w:ascii="Times New Roman" w:eastAsia="SimSun" w:hAnsi="Times New Roman" w:cs="Times New Roman"/>
          <w:sz w:val="24"/>
          <w:szCs w:val="24"/>
        </w:rPr>
      </w:pPr>
      <w:r>
        <w:rPr>
          <w:rFonts w:ascii="Times New Roman" w:eastAsia="SimSun" w:hAnsi="Times New Roman" w:cs="Times New Roman"/>
          <w:sz w:val="24"/>
          <w:szCs w:val="24"/>
        </w:rPr>
        <w:t>[</w:t>
      </w:r>
      <w:proofErr w:type="gramStart"/>
      <w:r>
        <w:rPr>
          <w:rFonts w:ascii="Times New Roman" w:eastAsia="SimSun" w:hAnsi="Times New Roman" w:cs="Times New Roman"/>
          <w:sz w:val="24"/>
          <w:szCs w:val="24"/>
        </w:rPr>
        <w:t>4]O’Reilly</w:t>
      </w:r>
      <w:proofErr w:type="gramEnd"/>
      <w:r>
        <w:rPr>
          <w:rFonts w:ascii="Times New Roman" w:eastAsia="SimSun" w:hAnsi="Times New Roman" w:cs="Times New Roman"/>
          <w:sz w:val="24"/>
          <w:szCs w:val="24"/>
        </w:rPr>
        <w:t xml:space="preserve"> M A. Exploiting the mechanical effects of ultrasound for noninvasive therapy[J]. Science, 2024, 385(6714): eadp7206.</w:t>
      </w:r>
    </w:p>
    <w:p w14:paraId="4603E62B" w14:textId="77777777" w:rsidR="0083639F" w:rsidRDefault="00807372">
      <w:pPr>
        <w:spacing w:line="360" w:lineRule="auto"/>
        <w:rPr>
          <w:rFonts w:ascii="Times New Roman" w:eastAsia="SimSun" w:hAnsi="Times New Roman" w:cs="Times New Roman"/>
          <w:sz w:val="24"/>
          <w:szCs w:val="24"/>
        </w:rPr>
      </w:pPr>
      <w:r>
        <w:rPr>
          <w:rFonts w:ascii="Times New Roman" w:eastAsia="SimSun" w:hAnsi="Times New Roman" w:cs="Times New Roman"/>
          <w:sz w:val="24"/>
          <w:szCs w:val="24"/>
        </w:rPr>
        <w:t>[</w:t>
      </w:r>
      <w:proofErr w:type="gramStart"/>
      <w:r>
        <w:rPr>
          <w:rFonts w:ascii="Times New Roman" w:eastAsia="SimSun" w:hAnsi="Times New Roman" w:cs="Times New Roman"/>
          <w:sz w:val="24"/>
          <w:szCs w:val="24"/>
        </w:rPr>
        <w:t>5]Ren</w:t>
      </w:r>
      <w:proofErr w:type="gramEnd"/>
      <w:r>
        <w:rPr>
          <w:rFonts w:ascii="Times New Roman" w:eastAsia="SimSun" w:hAnsi="Times New Roman" w:cs="Times New Roman"/>
          <w:sz w:val="24"/>
          <w:szCs w:val="24"/>
        </w:rPr>
        <w:t xml:space="preserve"> J, Li J, Chen S, et al. Unveiling the potential of ultrasound in brain imaging: Innovations, challenges, and prospects[J]. Ultrasonics, 2024: 107465.</w:t>
      </w:r>
    </w:p>
    <w:p w14:paraId="7D4A921A" w14:textId="423FA041" w:rsidR="0083639F" w:rsidRPr="00AE2919" w:rsidRDefault="00807372">
      <w:pPr>
        <w:spacing w:line="360" w:lineRule="auto"/>
        <w:rPr>
          <w:rFonts w:ascii="Times New Roman" w:eastAsia="SimSun" w:hAnsi="Times New Roman" w:cs="Times New Roman"/>
          <w:sz w:val="24"/>
          <w:szCs w:val="24"/>
        </w:rPr>
      </w:pPr>
      <w:r>
        <w:rPr>
          <w:rFonts w:ascii="Times New Roman" w:eastAsia="SimSun" w:hAnsi="Times New Roman" w:cs="Times New Roman"/>
          <w:sz w:val="24"/>
          <w:szCs w:val="24"/>
        </w:rPr>
        <w:t>[</w:t>
      </w:r>
      <w:proofErr w:type="gramStart"/>
      <w:r>
        <w:rPr>
          <w:rFonts w:ascii="Times New Roman" w:eastAsia="SimSun" w:hAnsi="Times New Roman" w:cs="Times New Roman"/>
          <w:sz w:val="24"/>
          <w:szCs w:val="24"/>
        </w:rPr>
        <w:t>6]Ma</w:t>
      </w:r>
      <w:proofErr w:type="gramEnd"/>
      <w:r>
        <w:rPr>
          <w:rFonts w:ascii="Times New Roman" w:eastAsia="SimSun" w:hAnsi="Times New Roman" w:cs="Times New Roman"/>
          <w:sz w:val="24"/>
          <w:szCs w:val="24"/>
        </w:rPr>
        <w:t xml:space="preserve"> M, Gao H, Guo X, et al. Reconfigurable ultrasound focusing effect through acoustic barriers[J]. Ultrasonics, 2025, 145: 107470.</w:t>
      </w:r>
    </w:p>
    <w:sectPr w:rsidR="0083639F" w:rsidRPr="00AE2919">
      <w:headerReference w:type="even" r:id="rId22"/>
      <w:headerReference w:type="default" r:id="rId23"/>
      <w:pgSz w:w="11900" w:h="16840"/>
      <w:pgMar w:top="1440" w:right="1080" w:bottom="1440" w:left="1080" w:header="851" w:footer="992" w:gutter="0"/>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42E4D0" w14:textId="77777777" w:rsidR="00B95173" w:rsidRDefault="00B95173">
      <w:r>
        <w:separator/>
      </w:r>
    </w:p>
  </w:endnote>
  <w:endnote w:type="continuationSeparator" w:id="0">
    <w:p w14:paraId="4CEDCA65" w14:textId="77777777" w:rsidR="00B95173" w:rsidRDefault="00B951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7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Helvetica Neue">
    <w:altName w:val="Arial"/>
    <w:panose1 w:val="02000503000000020004"/>
    <w:charset w:val="00"/>
    <w:family w:val="auto"/>
    <w:pitch w:val="variable"/>
    <w:sig w:usb0="E50002FF" w:usb1="500079DB" w:usb2="00000010" w:usb3="00000000" w:csb0="00000001" w:csb1="00000000"/>
  </w:font>
  <w:font w:name="Arial Unicode MS">
    <w:panose1 w:val="020B0604020202020204"/>
    <w:charset w:val="86"/>
    <w:family w:val="swiss"/>
    <w:pitch w:val="variable"/>
    <w:sig w:usb0="F7FFAFFF" w:usb1="F9DFFFFF" w:usb2="0000007F" w:usb3="00000000" w:csb0="003F01FF" w:csb1="00000000"/>
  </w:font>
  <w:font w:name="MS PMincho">
    <w:altName w:val="Yu Gothic"/>
    <w:panose1 w:val="02020600040205080304"/>
    <w:charset w:val="80"/>
    <w:family w:val="roman"/>
    <w:pitch w:val="variable"/>
    <w:sig w:usb0="E00002FF" w:usb1="6AC7FDFB" w:usb2="08000012" w:usb3="00000000" w:csb0="0002009F" w:csb1="00000000"/>
  </w:font>
  <w:font w:name="华康简宋">
    <w:altName w:val="宋体"/>
    <w:panose1 w:val="020B0604020202020204"/>
    <w:charset w:val="86"/>
    <w:family w:val="modern"/>
    <w:pitch w:val="default"/>
    <w:sig w:usb0="00000000" w:usb1="00000000" w:usb2="00000010" w:usb3="00000000" w:csb0="00040000" w:csb1="00000000"/>
  </w:font>
  <w:font w:name="Microsoft YaHei">
    <w:altName w:val="微软雅黑"/>
    <w:panose1 w:val="020B0503020204020204"/>
    <w:charset w:val="86"/>
    <w:family w:val="swiss"/>
    <w:pitch w:val="variable"/>
    <w:sig w:usb0="80000287" w:usb1="2ACF3C50" w:usb2="00000016" w:usb3="00000000" w:csb0="0004001F" w:csb1="00000000"/>
  </w:font>
  <w:font w:name="KaiTi">
    <w:panose1 w:val="02010609060101010101"/>
    <w:charset w:val="86"/>
    <w:family w:val="modern"/>
    <w:pitch w:val="fixed"/>
    <w:sig w:usb0="800002BF" w:usb1="38CF7CFA" w:usb2="00000016" w:usb3="00000000" w:csb0="00040001" w:csb1="00000000"/>
  </w:font>
  <w:font w:name="KaiTi_GB2312">
    <w:altName w:val="楷体"/>
    <w:panose1 w:val="020B0604020202020204"/>
    <w:charset w:val="86"/>
    <w:family w:val="modern"/>
    <w:pitch w:val="default"/>
    <w:sig w:usb0="00000000" w:usb1="00000000" w:usb2="00000010" w:usb3="00000000" w:csb0="00040000" w:csb1="00000000"/>
  </w:font>
  <w:font w:name="SimHei">
    <w:altName w:val="黑体"/>
    <w:panose1 w:val="02010609060101010101"/>
    <w:charset w:val="86"/>
    <w:family w:val="modern"/>
    <w:pitch w:val="fixed"/>
    <w:sig w:usb0="800002BF" w:usb1="38CF7CFA"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65260E" w14:textId="77777777" w:rsidR="00B95173" w:rsidRDefault="00B95173">
      <w:r>
        <w:separator/>
      </w:r>
    </w:p>
  </w:footnote>
  <w:footnote w:type="continuationSeparator" w:id="0">
    <w:p w14:paraId="5DD1B583" w14:textId="77777777" w:rsidR="00B95173" w:rsidRDefault="00B951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0ED99E" w14:textId="77777777" w:rsidR="0083639F" w:rsidRDefault="0083639F">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FCE268" w14:textId="77777777" w:rsidR="0083639F" w:rsidRDefault="0083639F">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862683"/>
    <w:multiLevelType w:val="multilevel"/>
    <w:tmpl w:val="1E862683"/>
    <w:lvl w:ilvl="0">
      <w:start w:val="1"/>
      <w:numFmt w:val="decimal"/>
      <w:pStyle w:val="Heading1"/>
      <w:lvlText w:val="%1."/>
      <w:lvlJc w:val="left"/>
      <w:pPr>
        <w:tabs>
          <w:tab w:val="left" w:pos="540"/>
        </w:tabs>
        <w:ind w:left="540" w:hanging="360"/>
      </w:pPr>
      <w:rPr>
        <w:rFonts w:hint="default"/>
      </w:rPr>
    </w:lvl>
    <w:lvl w:ilvl="1">
      <w:start w:val="1"/>
      <w:numFmt w:val="lowerLetter"/>
      <w:pStyle w:val="Heading2"/>
      <w:lvlText w:val="%2)"/>
      <w:lvlJc w:val="left"/>
      <w:pPr>
        <w:tabs>
          <w:tab w:val="left" w:pos="1020"/>
        </w:tabs>
        <w:ind w:left="1020" w:hanging="420"/>
      </w:pPr>
    </w:lvl>
    <w:lvl w:ilvl="2">
      <w:start w:val="1"/>
      <w:numFmt w:val="lowerRoman"/>
      <w:lvlText w:val="%3."/>
      <w:lvlJc w:val="right"/>
      <w:pPr>
        <w:tabs>
          <w:tab w:val="left" w:pos="1440"/>
        </w:tabs>
        <w:ind w:left="1440" w:hanging="420"/>
      </w:pPr>
    </w:lvl>
    <w:lvl w:ilvl="3">
      <w:start w:val="1"/>
      <w:numFmt w:val="decimal"/>
      <w:lvlText w:val="%4."/>
      <w:lvlJc w:val="left"/>
      <w:pPr>
        <w:tabs>
          <w:tab w:val="left" w:pos="1860"/>
        </w:tabs>
        <w:ind w:left="1860" w:hanging="420"/>
      </w:pPr>
    </w:lvl>
    <w:lvl w:ilvl="4">
      <w:start w:val="1"/>
      <w:numFmt w:val="lowerLetter"/>
      <w:lvlText w:val="%5)"/>
      <w:lvlJc w:val="left"/>
      <w:pPr>
        <w:tabs>
          <w:tab w:val="left" w:pos="2280"/>
        </w:tabs>
        <w:ind w:left="2280" w:hanging="420"/>
      </w:pPr>
    </w:lvl>
    <w:lvl w:ilvl="5">
      <w:start w:val="1"/>
      <w:numFmt w:val="lowerRoman"/>
      <w:lvlText w:val="%6."/>
      <w:lvlJc w:val="right"/>
      <w:pPr>
        <w:tabs>
          <w:tab w:val="left" w:pos="2700"/>
        </w:tabs>
        <w:ind w:left="2700" w:hanging="420"/>
      </w:pPr>
    </w:lvl>
    <w:lvl w:ilvl="6">
      <w:start w:val="1"/>
      <w:numFmt w:val="decimal"/>
      <w:lvlText w:val="%7."/>
      <w:lvlJc w:val="left"/>
      <w:pPr>
        <w:tabs>
          <w:tab w:val="left" w:pos="3120"/>
        </w:tabs>
        <w:ind w:left="3120" w:hanging="420"/>
      </w:pPr>
    </w:lvl>
    <w:lvl w:ilvl="7">
      <w:start w:val="1"/>
      <w:numFmt w:val="lowerLetter"/>
      <w:lvlText w:val="%8)"/>
      <w:lvlJc w:val="left"/>
      <w:pPr>
        <w:tabs>
          <w:tab w:val="left" w:pos="3540"/>
        </w:tabs>
        <w:ind w:left="3540" w:hanging="420"/>
      </w:pPr>
    </w:lvl>
    <w:lvl w:ilvl="8">
      <w:start w:val="1"/>
      <w:numFmt w:val="lowerRoman"/>
      <w:lvlText w:val="%9."/>
      <w:lvlJc w:val="right"/>
      <w:pPr>
        <w:tabs>
          <w:tab w:val="left" w:pos="3960"/>
        </w:tabs>
        <w:ind w:left="3960" w:hanging="420"/>
      </w:pPr>
    </w:lvl>
  </w:abstractNum>
  <w:abstractNum w:abstractNumId="1" w15:restartNumberingAfterBreak="0">
    <w:nsid w:val="289C080E"/>
    <w:multiLevelType w:val="singleLevel"/>
    <w:tmpl w:val="289C080E"/>
    <w:lvl w:ilvl="0">
      <w:start w:val="1"/>
      <w:numFmt w:val="bullet"/>
      <w:lvlText w:val=""/>
      <w:lvlJc w:val="left"/>
      <w:pPr>
        <w:ind w:left="420" w:hanging="420"/>
      </w:pPr>
      <w:rPr>
        <w:rFonts w:ascii="Wingdings" w:hAnsi="Wingdings" w:hint="default"/>
      </w:rPr>
    </w:lvl>
  </w:abstractNum>
  <w:num w:numId="1" w16cid:durableId="737242931">
    <w:abstractNumId w:val="0"/>
  </w:num>
  <w:num w:numId="2" w16cid:durableId="8711872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isplayBackgroundShape/>
  <w:proofState w:spelling="clean" w:grammar="clean"/>
  <w:defaultTabStop w:val="4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zgxNjQzMWJjMDQ1NjE3MzU1NGExOGViYmFhODYyNzcifQ=="/>
  </w:docVars>
  <w:rsids>
    <w:rsidRoot w:val="00840CC0"/>
    <w:rsid w:val="00003E9C"/>
    <w:rsid w:val="00014A03"/>
    <w:rsid w:val="0002130F"/>
    <w:rsid w:val="00031B61"/>
    <w:rsid w:val="0004435C"/>
    <w:rsid w:val="00056449"/>
    <w:rsid w:val="0006051E"/>
    <w:rsid w:val="00065800"/>
    <w:rsid w:val="00070FC2"/>
    <w:rsid w:val="00072FA6"/>
    <w:rsid w:val="0009445D"/>
    <w:rsid w:val="000947EC"/>
    <w:rsid w:val="00095173"/>
    <w:rsid w:val="000952CD"/>
    <w:rsid w:val="000A4E80"/>
    <w:rsid w:val="000C51BD"/>
    <w:rsid w:val="000D2825"/>
    <w:rsid w:val="000D2975"/>
    <w:rsid w:val="000E0E74"/>
    <w:rsid w:val="000F2746"/>
    <w:rsid w:val="000F2B66"/>
    <w:rsid w:val="000F7C30"/>
    <w:rsid w:val="00106F8D"/>
    <w:rsid w:val="00124533"/>
    <w:rsid w:val="00153DB7"/>
    <w:rsid w:val="00155360"/>
    <w:rsid w:val="00172F32"/>
    <w:rsid w:val="0017375E"/>
    <w:rsid w:val="00251153"/>
    <w:rsid w:val="0025557B"/>
    <w:rsid w:val="002B4993"/>
    <w:rsid w:val="002C1056"/>
    <w:rsid w:val="002F22F7"/>
    <w:rsid w:val="002F51DE"/>
    <w:rsid w:val="00353191"/>
    <w:rsid w:val="003876E6"/>
    <w:rsid w:val="003A0C58"/>
    <w:rsid w:val="003A79E3"/>
    <w:rsid w:val="003F42C7"/>
    <w:rsid w:val="0041389C"/>
    <w:rsid w:val="00463AF7"/>
    <w:rsid w:val="004A5013"/>
    <w:rsid w:val="004D0D58"/>
    <w:rsid w:val="004D0F2E"/>
    <w:rsid w:val="004E49A9"/>
    <w:rsid w:val="004F6A08"/>
    <w:rsid w:val="004F73BB"/>
    <w:rsid w:val="0051747F"/>
    <w:rsid w:val="00522F80"/>
    <w:rsid w:val="005433A1"/>
    <w:rsid w:val="00560618"/>
    <w:rsid w:val="00575AD1"/>
    <w:rsid w:val="005D3D46"/>
    <w:rsid w:val="005F20F8"/>
    <w:rsid w:val="0066236F"/>
    <w:rsid w:val="00682199"/>
    <w:rsid w:val="00693FC8"/>
    <w:rsid w:val="00694937"/>
    <w:rsid w:val="00706508"/>
    <w:rsid w:val="00712925"/>
    <w:rsid w:val="00733450"/>
    <w:rsid w:val="00785AE5"/>
    <w:rsid w:val="008053D9"/>
    <w:rsid w:val="00807372"/>
    <w:rsid w:val="00832650"/>
    <w:rsid w:val="0083639F"/>
    <w:rsid w:val="00840CC0"/>
    <w:rsid w:val="00841800"/>
    <w:rsid w:val="00861C89"/>
    <w:rsid w:val="008735D6"/>
    <w:rsid w:val="008B3485"/>
    <w:rsid w:val="008F4B2E"/>
    <w:rsid w:val="008F4F0A"/>
    <w:rsid w:val="00935975"/>
    <w:rsid w:val="009605FF"/>
    <w:rsid w:val="009851DD"/>
    <w:rsid w:val="009C5DD5"/>
    <w:rsid w:val="009D10EA"/>
    <w:rsid w:val="009D208B"/>
    <w:rsid w:val="009D778D"/>
    <w:rsid w:val="009F585A"/>
    <w:rsid w:val="00A072DC"/>
    <w:rsid w:val="00A30ADF"/>
    <w:rsid w:val="00A64FAB"/>
    <w:rsid w:val="00A9543B"/>
    <w:rsid w:val="00AD4767"/>
    <w:rsid w:val="00AD7B9D"/>
    <w:rsid w:val="00AE103E"/>
    <w:rsid w:val="00AE2919"/>
    <w:rsid w:val="00B03883"/>
    <w:rsid w:val="00B2352A"/>
    <w:rsid w:val="00B25A7A"/>
    <w:rsid w:val="00B30B8D"/>
    <w:rsid w:val="00B414F3"/>
    <w:rsid w:val="00B46104"/>
    <w:rsid w:val="00B7567A"/>
    <w:rsid w:val="00B801BE"/>
    <w:rsid w:val="00B95173"/>
    <w:rsid w:val="00B97FFD"/>
    <w:rsid w:val="00BD262D"/>
    <w:rsid w:val="00BE6F64"/>
    <w:rsid w:val="00BF2FE1"/>
    <w:rsid w:val="00C05878"/>
    <w:rsid w:val="00C170DD"/>
    <w:rsid w:val="00C2525E"/>
    <w:rsid w:val="00C3352F"/>
    <w:rsid w:val="00C81BB5"/>
    <w:rsid w:val="00C86437"/>
    <w:rsid w:val="00CB3668"/>
    <w:rsid w:val="00CB40CD"/>
    <w:rsid w:val="00CB4704"/>
    <w:rsid w:val="00CF5CBD"/>
    <w:rsid w:val="00CF6630"/>
    <w:rsid w:val="00D06D79"/>
    <w:rsid w:val="00D45CD7"/>
    <w:rsid w:val="00D478C4"/>
    <w:rsid w:val="00D47A54"/>
    <w:rsid w:val="00DB1395"/>
    <w:rsid w:val="00DC79C1"/>
    <w:rsid w:val="00DE24B2"/>
    <w:rsid w:val="00E2030B"/>
    <w:rsid w:val="00E233FC"/>
    <w:rsid w:val="00E3722B"/>
    <w:rsid w:val="00E57207"/>
    <w:rsid w:val="00E76F8E"/>
    <w:rsid w:val="00F0395D"/>
    <w:rsid w:val="00F41AFE"/>
    <w:rsid w:val="00F45E4E"/>
    <w:rsid w:val="00FC7829"/>
    <w:rsid w:val="031F3DF1"/>
    <w:rsid w:val="03511E99"/>
    <w:rsid w:val="0E95362B"/>
    <w:rsid w:val="0E9E26E2"/>
    <w:rsid w:val="120C556B"/>
    <w:rsid w:val="13841D40"/>
    <w:rsid w:val="14720966"/>
    <w:rsid w:val="14BE5F79"/>
    <w:rsid w:val="20AF33AE"/>
    <w:rsid w:val="27CF45F4"/>
    <w:rsid w:val="293164A9"/>
    <w:rsid w:val="2B8E016A"/>
    <w:rsid w:val="33FD64E9"/>
    <w:rsid w:val="37477080"/>
    <w:rsid w:val="41981FAF"/>
    <w:rsid w:val="4A275456"/>
    <w:rsid w:val="547A32A8"/>
    <w:rsid w:val="58A77AFF"/>
    <w:rsid w:val="59093C10"/>
    <w:rsid w:val="5FE24574"/>
    <w:rsid w:val="698D37BB"/>
    <w:rsid w:val="69DA03D5"/>
    <w:rsid w:val="6E7D2BC3"/>
    <w:rsid w:val="73AA3CF1"/>
    <w:rsid w:val="756F3F97"/>
    <w:rsid w:val="7683119A"/>
    <w:rsid w:val="791E7E8F"/>
    <w:rsid w:val="79CE06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8A7E4"/>
  <w15:docId w15:val="{42D902E1-C873-412E-8B38-A6CC05AAE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rFonts w:ascii="DengXian" w:eastAsia="DengXian" w:hAnsi="DengXian" w:cs="DengXian"/>
      <w:color w:val="000000"/>
      <w:kern w:val="2"/>
      <w:sz w:val="21"/>
      <w:szCs w:val="21"/>
      <w:u w:color="000000"/>
    </w:rPr>
  </w:style>
  <w:style w:type="paragraph" w:styleId="Heading1">
    <w:name w:val="heading 1"/>
    <w:next w:val="Normal"/>
    <w:link w:val="Heading1Char"/>
    <w:qFormat/>
    <w:pPr>
      <w:pageBreakBefore/>
      <w:widowControl w:val="0"/>
      <w:numPr>
        <w:numId w:val="1"/>
      </w:numPr>
      <w:spacing w:before="480"/>
      <w:jc w:val="center"/>
      <w:outlineLvl w:val="0"/>
    </w:pPr>
    <w:rPr>
      <w:rFonts w:ascii="Cambria" w:hAnsi="Cambria"/>
      <w:b/>
      <w:bCs/>
      <w:sz w:val="28"/>
      <w:szCs w:val="28"/>
    </w:rPr>
  </w:style>
  <w:style w:type="paragraph" w:styleId="Heading2">
    <w:name w:val="heading 2"/>
    <w:next w:val="Normal"/>
    <w:link w:val="Heading2Char"/>
    <w:qFormat/>
    <w:pPr>
      <w:numPr>
        <w:ilvl w:val="1"/>
        <w:numId w:val="1"/>
      </w:numPr>
      <w:spacing w:before="200"/>
      <w:outlineLvl w:val="1"/>
    </w:pPr>
    <w:rPr>
      <w:rFonts w:ascii="Cambria" w:hAnsi="Cambria"/>
      <w:b/>
      <w:bCs/>
      <w:sz w:val="24"/>
      <w:szCs w:val="26"/>
    </w:rPr>
  </w:style>
  <w:style w:type="paragraph" w:styleId="Heading3">
    <w:name w:val="heading 3"/>
    <w:basedOn w:val="Normal"/>
    <w:next w:val="Normal"/>
    <w:uiPriority w:val="9"/>
    <w:semiHidden/>
    <w:unhideWhenUsed/>
    <w:qFormat/>
    <w:pPr>
      <w:spacing w:beforeAutospacing="1" w:afterAutospacing="1"/>
      <w:jc w:val="left"/>
      <w:outlineLvl w:val="2"/>
    </w:pPr>
    <w:rPr>
      <w:rFonts w:ascii="SimSun" w:eastAsia="SimSun" w:hAnsi="SimSun" w:cs="Times New Roman" w:hint="eastAsia"/>
      <w:b/>
      <w:bCs/>
      <w:kern w:val="0"/>
      <w:sz w:val="27"/>
      <w:szCs w:val="27"/>
    </w:rPr>
  </w:style>
  <w:style w:type="paragraph" w:styleId="Heading4">
    <w:name w:val="heading 4"/>
    <w:basedOn w:val="Normal"/>
    <w:next w:val="Normal"/>
    <w:uiPriority w:val="9"/>
    <w:semiHidden/>
    <w:unhideWhenUsed/>
    <w:qFormat/>
    <w:pPr>
      <w:spacing w:beforeAutospacing="1" w:afterAutospacing="1"/>
      <w:jc w:val="left"/>
      <w:outlineLvl w:val="3"/>
    </w:pPr>
    <w:rPr>
      <w:rFonts w:ascii="SimSun" w:eastAsia="SimSun" w:hAnsi="SimSun" w:cs="Times New Roman" w:hint="eastAsia"/>
      <w:b/>
      <w:bCs/>
      <w:kern w:val="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153"/>
        <w:tab w:val="right" w:pos="8306"/>
      </w:tabs>
      <w:snapToGrid w:val="0"/>
      <w:jc w:val="left"/>
    </w:pPr>
    <w:rPr>
      <w:sz w:val="18"/>
      <w:szCs w:val="18"/>
    </w:rPr>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jc w:val="center"/>
    </w:pPr>
    <w:rPr>
      <w:sz w:val="18"/>
      <w:szCs w:val="18"/>
    </w:rPr>
  </w:style>
  <w:style w:type="paragraph" w:styleId="NormalWeb">
    <w:name w:val="Normal (Web)"/>
    <w:basedOn w:val="Normal"/>
    <w:uiPriority w:val="99"/>
    <w:semiHidden/>
    <w:unhideWhenUsed/>
    <w:pPr>
      <w:spacing w:beforeAutospacing="1" w:afterAutospacing="1"/>
      <w:jc w:val="left"/>
    </w:pPr>
    <w:rPr>
      <w:rFonts w:cs="Times New Roman"/>
      <w:kern w:val="0"/>
      <w:sz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Pr>
      <w:b/>
    </w:rPr>
  </w:style>
  <w:style w:type="character" w:styleId="LineNumber">
    <w:name w:val="line number"/>
    <w:basedOn w:val="DefaultParagraphFont"/>
    <w:uiPriority w:val="99"/>
    <w:semiHidden/>
    <w:unhideWhenUsed/>
    <w:qFormat/>
  </w:style>
  <w:style w:type="character" w:styleId="Hyperlink">
    <w:name w:val="Hyperlink"/>
    <w:qFormat/>
    <w:rPr>
      <w:u w:val="single"/>
    </w:rPr>
  </w:style>
  <w:style w:type="table" w:customStyle="1" w:styleId="TableNormal1">
    <w:name w:val="Table Normal1"/>
    <w:qFormat/>
    <w:tblPr>
      <w:tblCellMar>
        <w:top w:w="0" w:type="dxa"/>
        <w:left w:w="0" w:type="dxa"/>
        <w:bottom w:w="0" w:type="dxa"/>
        <w:right w:w="0" w:type="dxa"/>
      </w:tblCellMar>
    </w:tblPr>
  </w:style>
  <w:style w:type="paragraph" w:customStyle="1" w:styleId="a">
    <w:name w:val="页眉与页脚"/>
    <w:qFormat/>
    <w:pPr>
      <w:tabs>
        <w:tab w:val="right" w:pos="9020"/>
      </w:tabs>
    </w:pPr>
    <w:rPr>
      <w:rFonts w:ascii="Helvetica Neue" w:eastAsia="Arial Unicode MS" w:hAnsi="Helvetica Neue" w:cs="Arial Unicode MS"/>
      <w:color w:val="000000"/>
      <w:sz w:val="24"/>
      <w:szCs w:val="24"/>
    </w:rPr>
  </w:style>
  <w:style w:type="character" w:customStyle="1" w:styleId="HeaderChar">
    <w:name w:val="Header Char"/>
    <w:basedOn w:val="DefaultParagraphFont"/>
    <w:link w:val="Header"/>
    <w:uiPriority w:val="99"/>
    <w:qFormat/>
    <w:rPr>
      <w:rFonts w:ascii="DengXian" w:eastAsia="DengXian" w:hAnsi="DengXian" w:cs="DengXian"/>
      <w:color w:val="000000"/>
      <w:kern w:val="2"/>
      <w:sz w:val="18"/>
      <w:szCs w:val="18"/>
      <w:u w:color="000000"/>
    </w:rPr>
  </w:style>
  <w:style w:type="character" w:customStyle="1" w:styleId="FooterChar">
    <w:name w:val="Footer Char"/>
    <w:basedOn w:val="DefaultParagraphFont"/>
    <w:link w:val="Footer"/>
    <w:uiPriority w:val="99"/>
    <w:qFormat/>
    <w:rPr>
      <w:rFonts w:ascii="DengXian" w:eastAsia="DengXian" w:hAnsi="DengXian" w:cs="DengXian"/>
      <w:color w:val="000000"/>
      <w:kern w:val="2"/>
      <w:sz w:val="18"/>
      <w:szCs w:val="18"/>
      <w:u w:color="000000"/>
    </w:rPr>
  </w:style>
  <w:style w:type="paragraph" w:customStyle="1" w:styleId="0">
    <w:name w:val="0"/>
    <w:basedOn w:val="Normal"/>
    <w:qFormat/>
    <w:pPr>
      <w:spacing w:before="120" w:line="312" w:lineRule="atLeast"/>
    </w:pPr>
    <w:rPr>
      <w:rFonts w:ascii="MS PMincho" w:eastAsia="华康简宋" w:hAnsi="MS PMincho" w:cs="Times New Roman"/>
      <w:sz w:val="18"/>
      <w:szCs w:val="24"/>
    </w:rPr>
  </w:style>
  <w:style w:type="character" w:customStyle="1" w:styleId="1">
    <w:name w:val="标题 1 字符"/>
    <w:basedOn w:val="DefaultParagraphFont"/>
    <w:uiPriority w:val="9"/>
    <w:qFormat/>
    <w:rPr>
      <w:rFonts w:ascii="DengXian" w:eastAsia="DengXian" w:hAnsi="DengXian" w:cs="DengXian"/>
      <w:b/>
      <w:bCs/>
      <w:color w:val="000000"/>
      <w:kern w:val="44"/>
      <w:sz w:val="44"/>
      <w:szCs w:val="44"/>
      <w:u w:color="000000"/>
    </w:rPr>
  </w:style>
  <w:style w:type="character" w:customStyle="1" w:styleId="Heading2Char">
    <w:name w:val="Heading 2 Char"/>
    <w:basedOn w:val="DefaultParagraphFont"/>
    <w:link w:val="Heading2"/>
    <w:qFormat/>
    <w:rPr>
      <w:rFonts w:ascii="Cambria" w:eastAsia="SimSun" w:hAnsi="Cambria"/>
      <w:b/>
      <w:bCs/>
      <w:sz w:val="24"/>
      <w:szCs w:val="26"/>
    </w:rPr>
  </w:style>
  <w:style w:type="character" w:customStyle="1" w:styleId="Heading1Char">
    <w:name w:val="Heading 1 Char"/>
    <w:basedOn w:val="DefaultParagraphFont"/>
    <w:link w:val="Heading1"/>
    <w:qFormat/>
    <w:rPr>
      <w:rFonts w:ascii="Cambria" w:eastAsia="SimSun" w:hAnsi="Cambria"/>
      <w:b/>
      <w:bCs/>
      <w:sz w:val="28"/>
      <w:szCs w:val="28"/>
    </w:rPr>
  </w:style>
  <w:style w:type="paragraph" w:styleId="ListParagraph">
    <w:name w:val="List Paragraph"/>
    <w:basedOn w:val="Normal"/>
    <w:uiPriority w:val="34"/>
    <w:qFormat/>
    <w:pPr>
      <w:ind w:firstLineChars="200" w:firstLine="420"/>
    </w:pPr>
  </w:style>
  <w:style w:type="character" w:styleId="PlaceholderText">
    <w:name w:val="Placeholder Text"/>
    <w:basedOn w:val="DefaultParagraphFont"/>
    <w:uiPriority w:val="99"/>
    <w:semiHidden/>
    <w:qFormat/>
    <w:rPr>
      <w:color w:val="808080"/>
    </w:rPr>
  </w:style>
  <w:style w:type="paragraph" w:customStyle="1" w:styleId="Default">
    <w:name w:val="Default"/>
    <w:qFormat/>
    <w:pPr>
      <w:widowControl w:val="0"/>
      <w:autoSpaceDE w:val="0"/>
      <w:autoSpaceDN w:val="0"/>
      <w:adjustRightInd w:val="0"/>
    </w:pPr>
    <w:rPr>
      <w:rFonts w:ascii="SimSun" w:cs="SimSu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主题​​">
      <a:majorFont>
        <a:latin typeface="Helvetica Neue"/>
        <a:ea typeface="黑体"/>
        <a:cs typeface="Helvetica Neue"/>
      </a:majorFont>
      <a:minorFont>
        <a:latin typeface="Helvetica Neue"/>
        <a:ea typeface="宋体"/>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45718" tIns="45718" rIns="45718" bIns="45718" numCol="1" spcCol="38100" rtlCol="0" anchor="ctr">
        <a:spAutoFit/>
      </a:body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45718" tIns="45718" rIns="45718" bIns="45718"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41934-3B0E-4A5C-B98C-B81D17ABB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11</Pages>
  <Words>793</Words>
  <Characters>4522</Characters>
  <Application>Microsoft Office Word</Application>
  <DocSecurity>0</DocSecurity>
  <Lines>37</Lines>
  <Paragraphs>10</Paragraphs>
  <ScaleCrop>false</ScaleCrop>
  <Company/>
  <LinksUpToDate>false</LinksUpToDate>
  <CharactersWithSpaces>5305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zhx</dc:creator>
  <cp:lastModifiedBy>Bo Ma</cp:lastModifiedBy>
  <cp:revision>8</cp:revision>
  <dcterms:created xsi:type="dcterms:W3CDTF">2021-06-25T00:06:00Z</dcterms:created>
  <dcterms:modified xsi:type="dcterms:W3CDTF">2025-02-19T03:08:00Z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1180431289</vt:i4>
  </property>
  <property fmtid="{D5CDD505-2E9C-101B-9397-08002B2CF9AE}" pid="3" name="KSOProductBuildVer">
    <vt:lpwstr>2052-12.1.0.19770</vt:lpwstr>
  </property>
  <property fmtid="{D5CDD505-2E9C-101B-9397-08002B2CF9AE}" pid="4" name="ICV">
    <vt:lpwstr>4D31881DD735430ABC76366184D07159_13</vt:lpwstr>
  </property>
  <property fmtid="{D5CDD505-2E9C-101B-9397-08002B2CF9AE}" pid="5" name="KSOTemplateDocerSaveRecord">
    <vt:lpwstr>eyJoZGlkIjoiM2I0MmYwODc5MTZmNzhlMzZhOTY3ZTA4NDQ5YTRjOTUiLCJ1c2VySWQiOiI2NTUzNTIyMzEifQ==</vt:lpwstr>
  </property>
</Properties>
</file>