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A5A709">
      <w:pPr>
        <w:widowControl/>
        <w:jc w:val="left"/>
        <w:rPr>
          <w:rFonts w:ascii="等线" w:hAnsi="等线" w:eastAsia="等线" w:cs="等线"/>
          <w:color w:val="000000"/>
          <w:kern w:val="2"/>
          <w:sz w:val="21"/>
          <w:szCs w:val="21"/>
          <w:u w:color="000000"/>
          <w:lang w:val="en-US" w:eastAsia="zh-CN" w:bidi="ar-SA"/>
        </w:rPr>
      </w:pPr>
    </w:p>
    <w:p w14:paraId="311848F4">
      <w:pPr>
        <w:jc w:val="left"/>
        <w:rPr>
          <w:rFonts w:ascii="微软雅黑" w:hAnsi="微软雅黑" w:eastAsia="微软雅黑" w:cs="微软雅黑"/>
          <w:sz w:val="56"/>
          <w:szCs w:val="56"/>
        </w:rPr>
      </w:pPr>
      <w:r>
        <w:drawing>
          <wp:inline distT="0" distB="0" distL="114300" distR="114300">
            <wp:extent cx="1834515" cy="1836420"/>
            <wp:effectExtent l="0" t="0" r="1333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34515" cy="1836420"/>
                    </a:xfrm>
                    <a:prstGeom prst="rect">
                      <a:avLst/>
                    </a:prstGeom>
                  </pic:spPr>
                </pic:pic>
              </a:graphicData>
            </a:graphic>
          </wp:inline>
        </w:drawing>
      </w:r>
    </w:p>
    <w:p w14:paraId="12063F74">
      <w:pPr>
        <w:jc w:val="center"/>
        <w:rPr>
          <w:rFonts w:ascii="楷体" w:hAnsi="楷体" w:eastAsia="楷体" w:cs="楷体"/>
          <w:sz w:val="32"/>
          <w:szCs w:val="32"/>
        </w:rPr>
      </w:pPr>
    </w:p>
    <w:p w14:paraId="19AA8677">
      <w:pPr>
        <w:jc w:val="center"/>
        <w:rPr>
          <w:rFonts w:ascii="楷体" w:hAnsi="楷体" w:eastAsia="楷体" w:cs="楷体"/>
          <w:sz w:val="32"/>
          <w:szCs w:val="32"/>
        </w:rPr>
      </w:pPr>
    </w:p>
    <w:p w14:paraId="28966F28">
      <w:pPr>
        <w:jc w:val="center"/>
        <w:rPr>
          <w:rFonts w:ascii="微软雅黑" w:hAnsi="微软雅黑" w:eastAsia="微软雅黑" w:cs="楷体"/>
          <w:b/>
          <w:sz w:val="32"/>
          <w:szCs w:val="32"/>
        </w:rPr>
      </w:pPr>
    </w:p>
    <w:p w14:paraId="12295000">
      <w:pPr>
        <w:jc w:val="center"/>
        <w:rPr>
          <w:rFonts w:ascii="微软雅黑" w:hAnsi="微软雅黑" w:eastAsia="微软雅黑" w:cs="楷体"/>
          <w:b/>
          <w:sz w:val="32"/>
          <w:szCs w:val="32"/>
        </w:rPr>
      </w:pPr>
      <w:r>
        <w:rPr>
          <w:rFonts w:hint="eastAsia" w:ascii="微软雅黑" w:hAnsi="微软雅黑" w:eastAsia="微软雅黑" w:cs="楷体"/>
          <w:b/>
          <w:sz w:val="32"/>
          <w:szCs w:val="32"/>
        </w:rPr>
        <w:t>机械科学与工程学院</w:t>
      </w:r>
    </w:p>
    <w:p w14:paraId="7C201C2E">
      <w:pPr>
        <w:jc w:val="center"/>
        <w:rPr>
          <w:rFonts w:ascii="微软雅黑" w:hAnsi="微软雅黑" w:eastAsia="微软雅黑" w:cs="楷体"/>
          <w:b/>
          <w:sz w:val="32"/>
          <w:szCs w:val="32"/>
        </w:rPr>
      </w:pPr>
    </w:p>
    <w:p w14:paraId="3BF417DE">
      <w:pPr>
        <w:jc w:val="center"/>
        <w:rPr>
          <w:rFonts w:ascii="微软雅黑" w:hAnsi="微软雅黑" w:eastAsia="微软雅黑" w:cs="楷体"/>
          <w:b/>
          <w:sz w:val="52"/>
          <w:szCs w:val="52"/>
        </w:rPr>
      </w:pPr>
      <w:r>
        <w:rPr>
          <w:rFonts w:hint="eastAsia" w:ascii="微软雅黑" w:hAnsi="微软雅黑" w:eastAsia="微软雅黑" w:cs="楷体"/>
          <w:b/>
          <w:sz w:val="52"/>
          <w:szCs w:val="52"/>
        </w:rPr>
        <w:t>《</w:t>
      </w:r>
      <w:r>
        <w:rPr>
          <w:rFonts w:hint="eastAsia" w:ascii="微软雅黑" w:hAnsi="微软雅黑" w:eastAsia="微软雅黑" w:cs="楷体"/>
          <w:b/>
          <w:sz w:val="52"/>
          <w:szCs w:val="52"/>
          <w:lang w:val="en-US" w:eastAsia="zh-CN"/>
        </w:rPr>
        <w:t>创新项目实践</w:t>
      </w:r>
      <w:r>
        <w:rPr>
          <w:rFonts w:hint="eastAsia" w:ascii="微软雅黑" w:hAnsi="微软雅黑" w:eastAsia="微软雅黑" w:cs="楷体"/>
          <w:b/>
          <w:sz w:val="52"/>
          <w:szCs w:val="52"/>
        </w:rPr>
        <w:t>》</w:t>
      </w:r>
      <w:r>
        <w:rPr>
          <w:rFonts w:hint="eastAsia" w:ascii="微软雅黑" w:hAnsi="微软雅黑" w:eastAsia="微软雅黑" w:cs="楷体"/>
          <w:b/>
          <w:sz w:val="52"/>
          <w:szCs w:val="52"/>
          <w:lang w:val="en-US" w:eastAsia="zh-CN"/>
        </w:rPr>
        <w:t>中期</w:t>
      </w:r>
      <w:r>
        <w:rPr>
          <w:rFonts w:hint="eastAsia" w:ascii="微软雅黑" w:hAnsi="微软雅黑" w:eastAsia="微软雅黑" w:cs="楷体"/>
          <w:b/>
          <w:sz w:val="52"/>
          <w:szCs w:val="52"/>
        </w:rPr>
        <w:t>报告</w:t>
      </w:r>
    </w:p>
    <w:p w14:paraId="29A1D549">
      <w:pPr>
        <w:jc w:val="center"/>
        <w:rPr>
          <w:rFonts w:ascii="微软雅黑" w:hAnsi="微软雅黑" w:eastAsia="微软雅黑" w:cs="楷体"/>
          <w:b/>
          <w:sz w:val="32"/>
          <w:szCs w:val="32"/>
        </w:rPr>
      </w:pPr>
    </w:p>
    <w:p w14:paraId="126B528B">
      <w:pPr>
        <w:jc w:val="center"/>
        <w:rPr>
          <w:rFonts w:ascii="微软雅黑" w:hAnsi="微软雅黑" w:eastAsia="微软雅黑" w:cs="楷体"/>
          <w:b/>
          <w:sz w:val="32"/>
          <w:szCs w:val="32"/>
        </w:rPr>
      </w:pPr>
      <w:r>
        <w:rPr>
          <w:rFonts w:hint="eastAsia" w:ascii="微软雅黑" w:hAnsi="微软雅黑" w:eastAsia="微软雅黑" w:cs="楷体"/>
          <w:b/>
          <w:sz w:val="32"/>
          <w:szCs w:val="32"/>
        </w:rPr>
        <w:t>（题目：</w:t>
      </w:r>
      <w:r>
        <w:rPr>
          <w:rFonts w:hint="eastAsia" w:ascii="微软雅黑" w:hAnsi="微软雅黑" w:eastAsia="微软雅黑" w:cs="楷体"/>
          <w:b/>
          <w:sz w:val="32"/>
          <w:szCs w:val="32"/>
          <w:u w:val="single"/>
        </w:rPr>
        <w:t xml:space="preserve"> </w:t>
      </w:r>
      <w:r>
        <w:rPr>
          <w:rFonts w:ascii="微软雅黑" w:hAnsi="微软雅黑" w:eastAsia="微软雅黑" w:cs="楷体"/>
          <w:b/>
          <w:sz w:val="32"/>
          <w:szCs w:val="32"/>
          <w:u w:val="single"/>
        </w:rPr>
        <w:t xml:space="preserve"> </w:t>
      </w:r>
      <w:r>
        <w:rPr>
          <w:rFonts w:hint="eastAsia"/>
          <w:sz w:val="28"/>
          <w:szCs w:val="28"/>
          <w:u w:val="single" w:color="auto"/>
          <w:lang w:val="en-US" w:eastAsia="zh-CN"/>
        </w:rPr>
        <w:t>电生理信号及超声图像的算法研究</w:t>
      </w:r>
      <w:r>
        <w:rPr>
          <w:rFonts w:ascii="微软雅黑" w:hAnsi="微软雅黑" w:eastAsia="微软雅黑" w:cs="楷体"/>
          <w:b/>
          <w:sz w:val="32"/>
          <w:szCs w:val="32"/>
          <w:u w:val="single"/>
        </w:rPr>
        <w:t xml:space="preserve">  </w:t>
      </w:r>
      <w:r>
        <w:rPr>
          <w:rFonts w:hint="eastAsia" w:ascii="微软雅黑" w:hAnsi="微软雅黑" w:eastAsia="微软雅黑" w:cs="楷体"/>
          <w:b/>
          <w:sz w:val="32"/>
          <w:szCs w:val="32"/>
        </w:rPr>
        <w:t>）</w:t>
      </w:r>
    </w:p>
    <w:p w14:paraId="1EE09F14">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44"/>
          <w:szCs w:val="44"/>
        </w:rPr>
      </w:pPr>
    </w:p>
    <w:p w14:paraId="76727BAA">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44"/>
          <w:szCs w:val="44"/>
        </w:rPr>
      </w:pPr>
    </w:p>
    <w:p w14:paraId="289EE615">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44"/>
          <w:szCs w:val="44"/>
        </w:rPr>
      </w:pPr>
    </w:p>
    <w:tbl>
      <w:tblPr>
        <w:tblStyle w:val="6"/>
        <w:tblW w:w="6525" w:type="dxa"/>
        <w:jc w:val="center"/>
        <w:tblLayout w:type="autofit"/>
        <w:tblCellMar>
          <w:top w:w="0" w:type="dxa"/>
          <w:left w:w="108" w:type="dxa"/>
          <w:bottom w:w="0" w:type="dxa"/>
          <w:right w:w="108" w:type="dxa"/>
        </w:tblCellMar>
      </w:tblPr>
      <w:tblGrid>
        <w:gridCol w:w="1696"/>
        <w:gridCol w:w="4829"/>
      </w:tblGrid>
      <w:tr w14:paraId="14643591">
        <w:tblPrEx>
          <w:tblCellMar>
            <w:top w:w="0" w:type="dxa"/>
            <w:left w:w="108" w:type="dxa"/>
            <w:bottom w:w="0" w:type="dxa"/>
            <w:right w:w="108" w:type="dxa"/>
          </w:tblCellMar>
        </w:tblPrEx>
        <w:trPr>
          <w:trHeight w:val="611" w:hRule="atLeast"/>
          <w:jc w:val="center"/>
        </w:trPr>
        <w:tc>
          <w:tcPr>
            <w:tcW w:w="1696" w:type="dxa"/>
            <w:vAlign w:val="center"/>
          </w:tcPr>
          <w:p w14:paraId="00D38C5C">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 xml:space="preserve">姓 </w:t>
            </w:r>
            <w:r>
              <w:rPr>
                <w:rFonts w:ascii="微软雅黑" w:hAnsi="微软雅黑" w:eastAsia="微软雅黑" w:cs="楷体"/>
                <w:b/>
                <w:color w:val="auto"/>
                <w:sz w:val="28"/>
                <w:szCs w:val="28"/>
              </w:rPr>
              <w:t xml:space="preserve">     </w:t>
            </w:r>
            <w:r>
              <w:rPr>
                <w:rFonts w:hint="eastAsia" w:ascii="微软雅黑" w:hAnsi="微软雅黑" w:eastAsia="微软雅黑" w:cs="楷体"/>
                <w:b/>
                <w:color w:val="auto"/>
                <w:sz w:val="28"/>
                <w:szCs w:val="28"/>
              </w:rPr>
              <w:t>名</w:t>
            </w:r>
          </w:p>
        </w:tc>
        <w:tc>
          <w:tcPr>
            <w:tcW w:w="4829" w:type="dxa"/>
            <w:vAlign w:val="center"/>
          </w:tcPr>
          <w:p w14:paraId="5F6F3254">
            <w:pPr>
              <w:pBdr>
                <w:top w:val="none" w:color="auto" w:sz="0" w:space="0"/>
                <w:left w:val="none" w:color="auto" w:sz="0" w:space="0"/>
                <w:bottom w:val="none" w:color="auto" w:sz="0" w:space="0"/>
                <w:right w:val="none" w:color="auto" w:sz="0" w:space="0"/>
                <w:between w:val="none" w:color="auto" w:sz="0" w:space="0"/>
              </w:pBdr>
              <w:spacing w:line="324" w:lineRule="auto"/>
              <w:jc w:val="center"/>
              <w:rPr>
                <w:rFonts w:hint="default" w:ascii="楷体" w:hAnsi="楷体" w:eastAsia="楷体" w:cs="楷体"/>
                <w:color w:val="auto"/>
                <w:sz w:val="28"/>
                <w:szCs w:val="28"/>
                <w:lang w:val="en-US" w:eastAsia="zh-CN"/>
              </w:rPr>
            </w:pPr>
            <w:r>
              <w:rPr>
                <w:rFonts w:hint="eastAsia" w:ascii="楷体" w:hAnsi="楷体" w:eastAsia="楷体" w:cs="楷体"/>
                <w:color w:val="auto"/>
                <w:sz w:val="28"/>
                <w:szCs w:val="28"/>
                <w:lang w:val="en-US" w:eastAsia="zh-CN"/>
              </w:rPr>
              <w:t>陈诗雨</w:t>
            </w:r>
          </w:p>
        </w:tc>
      </w:tr>
      <w:tr w14:paraId="5B88585F">
        <w:tblPrEx>
          <w:tblCellMar>
            <w:top w:w="0" w:type="dxa"/>
            <w:left w:w="108" w:type="dxa"/>
            <w:bottom w:w="0" w:type="dxa"/>
            <w:right w:w="108" w:type="dxa"/>
          </w:tblCellMar>
        </w:tblPrEx>
        <w:trPr>
          <w:jc w:val="center"/>
        </w:trPr>
        <w:tc>
          <w:tcPr>
            <w:tcW w:w="1696" w:type="dxa"/>
            <w:vAlign w:val="center"/>
          </w:tcPr>
          <w:p w14:paraId="3F0D9F28">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 xml:space="preserve">班 </w:t>
            </w:r>
            <w:r>
              <w:rPr>
                <w:rFonts w:ascii="微软雅黑" w:hAnsi="微软雅黑" w:eastAsia="微软雅黑" w:cs="楷体"/>
                <w:b/>
                <w:color w:val="auto"/>
                <w:sz w:val="28"/>
                <w:szCs w:val="28"/>
              </w:rPr>
              <w:t xml:space="preserve">     </w:t>
            </w:r>
            <w:r>
              <w:rPr>
                <w:rFonts w:hint="eastAsia" w:ascii="微软雅黑" w:hAnsi="微软雅黑" w:eastAsia="微软雅黑" w:cs="楷体"/>
                <w:b/>
                <w:color w:val="auto"/>
                <w:sz w:val="28"/>
                <w:szCs w:val="28"/>
              </w:rPr>
              <w:t>级</w:t>
            </w:r>
          </w:p>
        </w:tc>
        <w:tc>
          <w:tcPr>
            <w:tcW w:w="4829" w:type="dxa"/>
            <w:vAlign w:val="center"/>
          </w:tcPr>
          <w:p w14:paraId="5BFAF72A">
            <w:pPr>
              <w:pBdr>
                <w:top w:val="none" w:color="auto" w:sz="0" w:space="0"/>
                <w:left w:val="none" w:color="auto" w:sz="0" w:space="0"/>
                <w:bottom w:val="none" w:color="auto" w:sz="0" w:space="0"/>
                <w:right w:val="none" w:color="auto" w:sz="0" w:space="0"/>
                <w:between w:val="none" w:color="auto" w:sz="0" w:space="0"/>
              </w:pBdr>
              <w:spacing w:before="120" w:beforeLines="50" w:line="324" w:lineRule="auto"/>
              <w:jc w:val="center"/>
              <w:rPr>
                <w:rFonts w:hint="default" w:ascii="楷体" w:hAnsi="楷体" w:eastAsia="楷体" w:cs="楷体"/>
                <w:color w:val="auto"/>
                <w:sz w:val="28"/>
                <w:szCs w:val="28"/>
                <w:u w:val="single"/>
                <w:lang w:val="en-US" w:eastAsia="zh-CN"/>
              </w:rPr>
            </w:pPr>
            <w:r>
              <w:rPr>
                <w:rFonts w:hint="eastAsia" w:ascii="楷体" w:hAnsi="楷体" w:eastAsia="楷体" w:cs="楷体"/>
                <w:color w:val="auto"/>
                <w:sz w:val="28"/>
                <w:szCs w:val="28"/>
                <w:u w:val="none" w:color="auto"/>
                <w:lang w:val="en-US" w:eastAsia="zh-CN"/>
              </w:rPr>
              <w:t>机械本硕博2201班</w:t>
            </w:r>
          </w:p>
        </w:tc>
      </w:tr>
      <w:tr w14:paraId="29C0AE77">
        <w:tblPrEx>
          <w:tblCellMar>
            <w:top w:w="0" w:type="dxa"/>
            <w:left w:w="108" w:type="dxa"/>
            <w:bottom w:w="0" w:type="dxa"/>
            <w:right w:w="108" w:type="dxa"/>
          </w:tblCellMar>
        </w:tblPrEx>
        <w:trPr>
          <w:jc w:val="center"/>
        </w:trPr>
        <w:tc>
          <w:tcPr>
            <w:tcW w:w="1696" w:type="dxa"/>
            <w:vAlign w:val="center"/>
          </w:tcPr>
          <w:p w14:paraId="0D7DC84B">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 xml:space="preserve">学 </w:t>
            </w:r>
            <w:r>
              <w:rPr>
                <w:rFonts w:ascii="微软雅黑" w:hAnsi="微软雅黑" w:eastAsia="微软雅黑" w:cs="楷体"/>
                <w:b/>
                <w:color w:val="auto"/>
                <w:sz w:val="28"/>
                <w:szCs w:val="28"/>
              </w:rPr>
              <w:t xml:space="preserve">     </w:t>
            </w:r>
            <w:r>
              <w:rPr>
                <w:rFonts w:hint="eastAsia" w:ascii="微软雅黑" w:hAnsi="微软雅黑" w:eastAsia="微软雅黑" w:cs="楷体"/>
                <w:b/>
                <w:color w:val="auto"/>
                <w:sz w:val="28"/>
                <w:szCs w:val="28"/>
              </w:rPr>
              <w:t>号</w:t>
            </w:r>
          </w:p>
        </w:tc>
        <w:tc>
          <w:tcPr>
            <w:tcW w:w="4829" w:type="dxa"/>
            <w:vAlign w:val="center"/>
          </w:tcPr>
          <w:p w14:paraId="2388A41F">
            <w:pPr>
              <w:pBdr>
                <w:top w:val="none" w:color="auto" w:sz="0" w:space="0"/>
                <w:left w:val="none" w:color="auto" w:sz="0" w:space="0"/>
                <w:bottom w:val="none" w:color="auto" w:sz="0" w:space="0"/>
                <w:right w:val="none" w:color="auto" w:sz="0" w:space="0"/>
                <w:between w:val="none" w:color="auto" w:sz="0" w:space="0"/>
              </w:pBdr>
              <w:spacing w:line="324" w:lineRule="auto"/>
              <w:jc w:val="center"/>
              <w:rPr>
                <w:rFonts w:hint="default" w:ascii="楷体" w:hAnsi="楷体" w:eastAsia="楷体" w:cs="楷体"/>
                <w:color w:val="auto"/>
                <w:sz w:val="28"/>
                <w:szCs w:val="28"/>
                <w:lang w:val="en-US" w:eastAsia="zh-CN"/>
              </w:rPr>
            </w:pPr>
            <w:r>
              <w:rPr>
                <w:rFonts w:hint="eastAsia" w:ascii="楷体" w:hAnsi="楷体" w:eastAsia="楷体" w:cs="楷体"/>
                <w:color w:val="auto"/>
                <w:sz w:val="28"/>
                <w:szCs w:val="28"/>
                <w:lang w:val="en-US" w:eastAsia="zh-CN"/>
              </w:rPr>
              <w:t>U202210869</w:t>
            </w:r>
          </w:p>
        </w:tc>
      </w:tr>
      <w:tr w14:paraId="7AE60FC2">
        <w:tblPrEx>
          <w:tblCellMar>
            <w:top w:w="0" w:type="dxa"/>
            <w:left w:w="108" w:type="dxa"/>
            <w:bottom w:w="0" w:type="dxa"/>
            <w:right w:w="108" w:type="dxa"/>
          </w:tblCellMar>
        </w:tblPrEx>
        <w:trPr>
          <w:jc w:val="center"/>
        </w:trPr>
        <w:tc>
          <w:tcPr>
            <w:tcW w:w="1696" w:type="dxa"/>
            <w:vAlign w:val="center"/>
          </w:tcPr>
          <w:p w14:paraId="35B0937E">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报告评分</w:t>
            </w:r>
          </w:p>
        </w:tc>
        <w:tc>
          <w:tcPr>
            <w:tcW w:w="4829" w:type="dxa"/>
            <w:vAlign w:val="center"/>
          </w:tcPr>
          <w:p w14:paraId="0CB3EB59">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28"/>
                <w:szCs w:val="28"/>
              </w:rPr>
            </w:pPr>
          </w:p>
        </w:tc>
      </w:tr>
    </w:tbl>
    <w:p w14:paraId="594F90F6">
      <w:pPr>
        <w:pBdr>
          <w:top w:val="none" w:color="auto" w:sz="0" w:space="0"/>
          <w:left w:val="none" w:color="auto" w:sz="0" w:space="0"/>
          <w:bottom w:val="none" w:color="auto" w:sz="0" w:space="0"/>
          <w:right w:val="none" w:color="auto" w:sz="0" w:space="0"/>
          <w:between w:val="none" w:color="auto" w:sz="0" w:space="0"/>
        </w:pBdr>
        <w:spacing w:line="324" w:lineRule="auto"/>
        <w:ind w:firstLine="369"/>
        <w:jc w:val="center"/>
        <w:rPr>
          <w:rFonts w:ascii="楷体" w:hAnsi="楷体" w:eastAsia="楷体" w:cs="楷体"/>
          <w:color w:val="auto"/>
          <w:sz w:val="30"/>
          <w:szCs w:val="30"/>
        </w:rPr>
      </w:pPr>
    </w:p>
    <w:p w14:paraId="1F25DFF9">
      <w:pPr>
        <w:pBdr>
          <w:top w:val="none" w:color="auto" w:sz="0" w:space="0"/>
          <w:left w:val="none" w:color="auto" w:sz="0" w:space="0"/>
          <w:bottom w:val="none" w:color="auto" w:sz="0" w:space="0"/>
          <w:right w:val="none" w:color="auto" w:sz="0" w:space="0"/>
          <w:between w:val="none" w:color="auto" w:sz="0" w:space="0"/>
        </w:pBdr>
        <w:spacing w:line="324" w:lineRule="auto"/>
        <w:ind w:firstLine="369"/>
        <w:jc w:val="center"/>
        <w:rPr>
          <w:rFonts w:hint="default" w:ascii="楷体" w:hAnsi="楷体" w:eastAsia="楷体" w:cs="楷体"/>
          <w:color w:val="auto"/>
          <w:sz w:val="28"/>
          <w:szCs w:val="30"/>
          <w:lang w:val="en-US" w:eastAsia="zh-CN"/>
        </w:rPr>
      </w:pPr>
      <w:r>
        <w:rPr>
          <w:rFonts w:hint="eastAsia" w:ascii="楷体" w:hAnsi="楷体" w:eastAsia="楷体" w:cs="楷体"/>
          <w:color w:val="auto"/>
          <w:sz w:val="28"/>
          <w:szCs w:val="30"/>
        </w:rPr>
        <w:t>20</w:t>
      </w:r>
      <w:r>
        <w:rPr>
          <w:rFonts w:ascii="楷体" w:hAnsi="楷体" w:eastAsia="楷体" w:cs="楷体"/>
          <w:color w:val="auto"/>
          <w:sz w:val="28"/>
          <w:szCs w:val="30"/>
        </w:rPr>
        <w:t>2</w:t>
      </w:r>
      <w:r>
        <w:rPr>
          <w:rFonts w:hint="eastAsia" w:ascii="楷体" w:hAnsi="楷体" w:eastAsia="楷体" w:cs="楷体"/>
          <w:color w:val="auto"/>
          <w:sz w:val="28"/>
          <w:szCs w:val="30"/>
          <w:lang w:val="en-US" w:eastAsia="zh-CN"/>
        </w:rPr>
        <w:t>4</w:t>
      </w:r>
      <w:r>
        <w:rPr>
          <w:rFonts w:hint="eastAsia" w:ascii="楷体" w:hAnsi="楷体" w:eastAsia="楷体" w:cs="楷体"/>
          <w:color w:val="auto"/>
          <w:sz w:val="28"/>
          <w:szCs w:val="30"/>
        </w:rPr>
        <w:t>年</w:t>
      </w:r>
      <w:r>
        <w:rPr>
          <w:rFonts w:ascii="楷体" w:hAnsi="楷体" w:eastAsia="楷体" w:cs="楷体"/>
          <w:color w:val="auto"/>
          <w:sz w:val="28"/>
          <w:szCs w:val="30"/>
        </w:rPr>
        <w:t xml:space="preserve"> </w:t>
      </w:r>
      <w:r>
        <w:rPr>
          <w:rFonts w:hint="eastAsia" w:ascii="楷体" w:hAnsi="楷体" w:eastAsia="楷体" w:cs="楷体"/>
          <w:color w:val="auto"/>
          <w:sz w:val="28"/>
          <w:szCs w:val="30"/>
          <w:lang w:val="en-US" w:eastAsia="zh-CN"/>
        </w:rPr>
        <w:t>1</w:t>
      </w:r>
      <w:r>
        <w:rPr>
          <w:rFonts w:ascii="楷体" w:hAnsi="楷体" w:eastAsia="楷体" w:cs="楷体"/>
          <w:color w:val="auto"/>
          <w:sz w:val="28"/>
          <w:szCs w:val="30"/>
        </w:rPr>
        <w:t xml:space="preserve"> </w:t>
      </w:r>
      <w:r>
        <w:rPr>
          <w:rFonts w:hint="eastAsia" w:ascii="楷体" w:hAnsi="楷体" w:eastAsia="楷体" w:cs="楷体"/>
          <w:color w:val="auto"/>
          <w:sz w:val="28"/>
          <w:szCs w:val="30"/>
        </w:rPr>
        <w:t>月</w:t>
      </w:r>
      <w:r>
        <w:rPr>
          <w:rFonts w:hint="eastAsia" w:ascii="楷体" w:hAnsi="楷体" w:eastAsia="楷体" w:cs="楷体"/>
          <w:color w:val="auto"/>
          <w:sz w:val="28"/>
          <w:szCs w:val="30"/>
          <w:lang w:val="en-US" w:eastAsia="zh-CN"/>
        </w:rPr>
        <w:t xml:space="preserve">  14 日</w:t>
      </w:r>
    </w:p>
    <w:p w14:paraId="229E7407">
      <w:pPr>
        <w:spacing w:line="324" w:lineRule="auto"/>
        <w:jc w:val="center"/>
        <w:rPr>
          <w:rFonts w:ascii="Times New Roman" w:hAnsi="Times New Roman" w:eastAsia="楷体_GB2312" w:cs="Times New Roman"/>
          <w:b/>
          <w:color w:val="auto"/>
          <w:kern w:val="0"/>
          <w:sz w:val="28"/>
          <w:szCs w:val="24"/>
        </w:rPr>
      </w:pPr>
      <w:r>
        <w:rPr>
          <w:rFonts w:ascii="Times New Roman" w:hAnsi="Times New Roman" w:eastAsia="楷体_GB2312" w:cs="Times New Roman"/>
          <w:b/>
          <w:color w:val="auto"/>
          <w:kern w:val="0"/>
          <w:sz w:val="28"/>
          <w:szCs w:val="24"/>
        </w:rPr>
        <w:br w:type="page"/>
      </w:r>
    </w:p>
    <w:p w14:paraId="0DA541D7">
      <w:pPr>
        <w:spacing w:line="324" w:lineRule="auto"/>
        <w:jc w:val="left"/>
        <w:rPr>
          <w:rFonts w:ascii="黑体" w:hAnsi="黑体" w:eastAsia="PMingLiU" w:cs="宋体"/>
          <w:sz w:val="28"/>
          <w:szCs w:val="28"/>
          <w:lang w:val="zh-TW" w:eastAsia="zh-TW"/>
        </w:rPr>
      </w:pPr>
    </w:p>
    <w:p w14:paraId="2FACFC6F">
      <w:pPr>
        <w:spacing w:line="324" w:lineRule="auto"/>
        <w:jc w:val="left"/>
        <w:rPr>
          <w:rFonts w:ascii="宋体" w:hAnsi="宋体" w:eastAsia="PMingLiU" w:cs="宋体"/>
          <w:sz w:val="24"/>
          <w:szCs w:val="24"/>
          <w:lang w:val="zh-TW" w:eastAsia="zh-TW"/>
        </w:rPr>
      </w:pPr>
      <w:r>
        <w:rPr>
          <w:rFonts w:ascii="黑体" w:hAnsi="黑体" w:eastAsia="黑体" w:cs="宋体"/>
          <w:sz w:val="28"/>
          <w:szCs w:val="28"/>
          <w:lang w:val="zh-TW" w:eastAsia="zh-TW"/>
        </w:rPr>
        <w:t>摘要</w:t>
      </w:r>
    </w:p>
    <w:p w14:paraId="6335AFA8">
      <w:pPr>
        <w:spacing w:line="240" w:lineRule="auto"/>
        <w:ind w:firstLine="480" w:firstLineChars="200"/>
        <w:rPr>
          <w:rFonts w:hint="eastAsia" w:ascii="宋体" w:hAnsi="宋体" w:eastAsia="宋体" w:cs="宋体"/>
          <w:sz w:val="24"/>
          <w:szCs w:val="24"/>
          <w:lang w:val="zh-TW" w:eastAsia="zh-TW"/>
        </w:rPr>
      </w:pPr>
      <w:r>
        <w:rPr>
          <w:rFonts w:hint="eastAsia" w:ascii="宋体" w:hAnsi="宋体" w:eastAsia="宋体" w:cs="宋体"/>
          <w:sz w:val="24"/>
          <w:szCs w:val="24"/>
          <w:lang w:val="zh-TW" w:eastAsia="zh-TW"/>
        </w:rPr>
        <w:t>本报告致力于复现两篇文献中的核心算法，并对其性能进行深入验证与分析。首先，针对心电图（ECG）这一电生理信号，成功复现了支持向量机（SVM）与卷积神经网络（CNN）的分类算法。通过精心的数据预处理、精准的特征提取以及严谨的模型训练，全面验证了这两种方法在分类精度方面的卓越表现。其次，复现了一种针对超声图像的无漂移算法，该算法主要用于估计肌肉的几何特征。借助漂移校正和几何参数提取等关键步骤，深入分析了其在目标特征准确性与稳定性方面的优势。实验结果充分表明，SVM与CNN能够高效、精准地对ECG信号进行分类，而无漂移算法在超声图像特征提取领域展现出了极高的可靠性。通过对算法复现过程的详细记录以及对实验结果的全面分析，本报告深入探讨了这些算法的适用性与局限性，为后续的优化工作及实际应用提供了坚实有力的理论基础，具有重要的参考价值。</w:t>
      </w:r>
    </w:p>
    <w:p w14:paraId="7A9D4A34">
      <w:pPr>
        <w:spacing w:line="324" w:lineRule="auto"/>
        <w:ind w:firstLine="562"/>
        <w:rPr>
          <w:rFonts w:ascii="宋体" w:hAnsi="宋体" w:eastAsia="PMingLiU" w:cs="宋体"/>
          <w:sz w:val="24"/>
          <w:szCs w:val="24"/>
          <w:lang w:val="zh-TW" w:eastAsia="zh-TW"/>
        </w:rPr>
      </w:pPr>
    </w:p>
    <w:p w14:paraId="3102D413">
      <w:pPr>
        <w:spacing w:line="240" w:lineRule="auto"/>
        <w:rPr>
          <w:rFonts w:hint="eastAsia" w:ascii="宋体" w:hAnsi="宋体" w:eastAsia="黑体" w:cs="宋体"/>
          <w:sz w:val="24"/>
          <w:szCs w:val="24"/>
          <w:lang w:val="zh-TW" w:eastAsia="zh-CN"/>
        </w:rPr>
      </w:pPr>
      <w:r>
        <w:rPr>
          <w:rFonts w:ascii="黑体" w:hAnsi="黑体" w:eastAsia="黑体" w:cs="宋体"/>
          <w:sz w:val="28"/>
          <w:szCs w:val="28"/>
          <w:lang w:val="zh-TW" w:eastAsia="zh-TW"/>
        </w:rPr>
        <w:t>关键词</w:t>
      </w:r>
      <w:r>
        <w:rPr>
          <w:rFonts w:hint="eastAsia" w:ascii="黑体" w:hAnsi="黑体" w:eastAsia="黑体" w:cs="宋体"/>
          <w:sz w:val="28"/>
          <w:szCs w:val="28"/>
          <w:lang w:val="zh-TW" w:eastAsia="zh-CN"/>
        </w:rPr>
        <w:t>：</w:t>
      </w:r>
      <w:r>
        <w:rPr>
          <w:rFonts w:hint="eastAsia" w:ascii="宋体" w:hAnsi="宋体" w:eastAsia="宋体" w:cs="宋体"/>
          <w:sz w:val="24"/>
          <w:szCs w:val="24"/>
          <w:lang w:val="zh-TW" w:eastAsia="zh-CN"/>
        </w:rPr>
        <w:t>电生理信号；心电图（ECG）；支持向量机（SVM）；卷积神经网络（CNN）；超声图像；无漂移算法；肌肉几何特征；信号分类；医学信号处理</w:t>
      </w:r>
    </w:p>
    <w:p w14:paraId="57DBF2D4">
      <w:pPr>
        <w:spacing w:line="324" w:lineRule="auto"/>
        <w:rPr>
          <w:rFonts w:ascii="宋体" w:hAnsi="宋体" w:eastAsia="PMingLiU" w:cs="宋体"/>
          <w:sz w:val="24"/>
          <w:szCs w:val="24"/>
          <w:lang w:val="zh-TW" w:eastAsia="zh-TW"/>
        </w:rPr>
      </w:pPr>
    </w:p>
    <w:p w14:paraId="4A312F7B">
      <w:pPr>
        <w:rPr>
          <w:rFonts w:ascii="楷体" w:hAnsi="楷体" w:eastAsia="楷体"/>
          <w:sz w:val="24"/>
          <w:szCs w:val="24"/>
        </w:rPr>
      </w:pPr>
      <w:bookmarkStart w:id="0" w:name="_Toc295894311"/>
      <w:r>
        <w:rPr>
          <w:rFonts w:hint="eastAsia" w:ascii="黑体" w:hAnsi="黑体" w:eastAsia="黑体" w:cs="宋体"/>
          <w:sz w:val="28"/>
          <w:szCs w:val="28"/>
          <w:lang w:val="zh-TW" w:eastAsia="zh-TW"/>
        </w:rPr>
        <w:t>正文</w:t>
      </w:r>
    </w:p>
    <w:p w14:paraId="4EF6EE13">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 引言</w:t>
      </w:r>
    </w:p>
    <w:p w14:paraId="02100AC0">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随着生物医学工程和人工智能技术的快速发展，生理信号和医学影像的分析与处理在临床诊断和治疗中扮演着越来越重要的角色。生理信号（如心电图、脑电图）能够反映人体的动态生理活动，广泛应用于疾病检测和健康监测；而医学影像（如超声图像）则提供了生物组织的结构和功能信息，为病理分析和手术规划提供了重要依据。如何利用先进的算法对这些数据进行准确高效的处理，成为当前研究的热点问题之一。</w:t>
      </w:r>
    </w:p>
    <w:p w14:paraId="273177F5">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本报告复现了两篇相关文献中的核心算法，分别针对生理信号和医学影像展开研究。第一篇文献的核心算法应用支持向量机（SVM）和卷积神经网络（CNN），实现心电图（ECG）信号分类</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，重点在于通过数据特征提取和分类模型的优化，提高信号分类的准确性和鲁棒性。第二篇文献提出了一种无漂移算法</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，专注于超声图像中肌肉几何特征的准确提取，解决了由于漂移效应导致的参数偏差问题，为精准的几何特征分析提供了新思路。</w:t>
      </w:r>
    </w:p>
    <w:p w14:paraId="4EC73421">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复现这两种算法，深入理解其技术实现与性能表现，验证其在不同场景中的适用性，并探讨可能的优化方向。本报告不仅记录了算法的复现过程，还对实验结果进行了详细分析，为进一步研究和实际应用奠定了基础。</w:t>
      </w:r>
    </w:p>
    <w:p w14:paraId="35EC1F07">
      <w:pPr>
        <w:ind w:firstLine="480" w:firstLineChars="200"/>
        <w:jc w:val="both"/>
        <w:rPr>
          <w:rFonts w:hint="eastAsia" w:ascii="宋体" w:hAnsi="宋体" w:eastAsia="宋体" w:cs="宋体"/>
          <w:sz w:val="24"/>
          <w:szCs w:val="24"/>
          <w:lang w:val="en-US" w:eastAsia="zh-CN"/>
        </w:rPr>
      </w:pPr>
    </w:p>
    <w:p w14:paraId="179043F9">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 方法与实现</w:t>
      </w:r>
    </w:p>
    <w:p w14:paraId="12489107">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 基于SVM和CNN的ECG信号分类</w:t>
      </w:r>
    </w:p>
    <w:p w14:paraId="25C54B26">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2.1.1 数据库来源</w:t>
      </w:r>
    </w:p>
    <w:p w14:paraId="724724CD">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本报告基于MIT-BIH Arrhythmia Database数据库</w:t>
      </w:r>
      <w:r>
        <w:rPr>
          <w:rFonts w:hint="eastAsia" w:ascii="宋体" w:hAnsi="宋体" w:eastAsia="宋体" w:cs="宋体"/>
          <w:sz w:val="24"/>
          <w:szCs w:val="24"/>
          <w:vertAlign w:val="superscript"/>
          <w:lang w:val="en-US" w:eastAsia="zh-CN"/>
        </w:rPr>
        <w:t>[3]</w:t>
      </w:r>
      <w:r>
        <w:rPr>
          <w:rFonts w:hint="eastAsia" w:ascii="宋体" w:hAnsi="宋体" w:eastAsia="宋体" w:cs="宋体"/>
          <w:sz w:val="24"/>
          <w:szCs w:val="24"/>
          <w:lang w:val="en-US" w:eastAsia="zh-CN"/>
        </w:rPr>
        <w:t>开展，该数据库包含了48条双导联ECG记录，其中，除少数记录外，每条记录的第一个导联为II导联，记录长度为30分钟，采样率360 Hz，并对应三个文件。</w:t>
      </w:r>
    </w:p>
    <w:tbl>
      <w:tblPr>
        <w:tblStyle w:val="7"/>
        <w:tblW w:w="0" w:type="auto"/>
        <w:tblInd w:w="14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6"/>
        <w:gridCol w:w="5898"/>
      </w:tblGrid>
      <w:tr w14:paraId="2CD6E6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14:paraId="6EA35266">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.atr</w:t>
            </w:r>
          </w:p>
        </w:tc>
        <w:tc>
          <w:tcPr>
            <w:tcW w:w="5898" w:type="dxa"/>
          </w:tcPr>
          <w:p w14:paraId="328CA936">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标记文件，保存着人工标注的心拍位置和类型。</w:t>
            </w:r>
          </w:p>
        </w:tc>
      </w:tr>
      <w:tr w14:paraId="24AB21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14:paraId="233CA18C">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.dat</w:t>
            </w:r>
          </w:p>
        </w:tc>
        <w:tc>
          <w:tcPr>
            <w:tcW w:w="5898" w:type="dxa"/>
          </w:tcPr>
          <w:p w14:paraId="1FA181FF">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数据文件，保存着需要的心电信号。</w:t>
            </w:r>
          </w:p>
        </w:tc>
      </w:tr>
      <w:tr w14:paraId="51CF58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14:paraId="35C5F15D">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.he</w:t>
            </w:r>
            <w:bookmarkStart w:id="1" w:name="_GoBack"/>
            <w:bookmarkEnd w:id="1"/>
            <w:r>
              <w:rPr>
                <w:rFonts w:hint="eastAsia" w:ascii="宋体" w:hAnsi="宋体" w:eastAsia="宋体" w:cs="宋体"/>
                <w:sz w:val="24"/>
                <w:szCs w:val="24"/>
                <w:lang w:val="en-US" w:eastAsia="zh-CN"/>
              </w:rPr>
              <w:t>a</w:t>
            </w:r>
          </w:p>
        </w:tc>
        <w:tc>
          <w:tcPr>
            <w:tcW w:w="5898" w:type="dxa"/>
          </w:tcPr>
          <w:p w14:paraId="491A1EEE">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头文件，保存着这条记录的附加信息。</w:t>
            </w:r>
          </w:p>
        </w:tc>
      </w:tr>
    </w:tbl>
    <w:p w14:paraId="2CC4E456">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474845" cy="1101725"/>
            <wp:effectExtent l="0" t="0" r="8255" b="3175"/>
            <wp:docPr id="4"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ChangeAspect="1"/>
                    </pic:cNvPicPr>
                  </pic:nvPicPr>
                  <pic:blipFill>
                    <a:blip r:embed="rId7"/>
                    <a:srcRect b="50557"/>
                    <a:stretch>
                      <a:fillRect/>
                    </a:stretch>
                  </pic:blipFill>
                  <pic:spPr>
                    <a:xfrm>
                      <a:off x="0" y="0"/>
                      <a:ext cx="4474845" cy="1101725"/>
                    </a:xfrm>
                    <a:prstGeom prst="rect">
                      <a:avLst/>
                    </a:prstGeom>
                  </pic:spPr>
                </pic:pic>
              </a:graphicData>
            </a:graphic>
          </wp:inline>
        </w:drawing>
      </w:r>
    </w:p>
    <w:p w14:paraId="58E0CF2C">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2.1.2 QRS心拍定位</w:t>
      </w:r>
    </w:p>
    <w:p w14:paraId="5E8C14AF">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类型心拍的各波段中，QRS波往往是最大、最明显的、最尖锐的，本身就利于检测；而在数学上，称为QRS波的“奇异性”，表现为斜率的突变，存在不可导的点，即波峰（或波谷）点。利用该性质可配合多种处理手法，如差分法，小波变换法等等进行有效检测。</w:t>
      </w:r>
    </w:p>
    <w:p w14:paraId="77F44BD9">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该报告使用预处理和自适应阈值进行心拍定位。其中，预处理的目的在于：（1）消除噪声和其他的杂波（P波、T波等）；（2）使波形模式变得更为单一，QRS波的变化更为突出。这一部分的总体步骤图如下：</w:t>
      </w:r>
    </w:p>
    <w:p w14:paraId="75B2F847">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5420" cy="735965"/>
            <wp:effectExtent l="0" t="0" r="5080" b="635"/>
            <wp:docPr id="1" name="图片 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pic:cNvPicPr>
                      <a:picLocks noChangeAspect="1"/>
                    </pic:cNvPicPr>
                  </pic:nvPicPr>
                  <pic:blipFill>
                    <a:blip r:embed="rId8"/>
                    <a:stretch>
                      <a:fillRect/>
                    </a:stretch>
                  </pic:blipFill>
                  <pic:spPr>
                    <a:xfrm>
                      <a:off x="0" y="0"/>
                      <a:ext cx="5265420" cy="735965"/>
                    </a:xfrm>
                    <a:prstGeom prst="rect">
                      <a:avLst/>
                    </a:prstGeom>
                  </pic:spPr>
                </pic:pic>
              </a:graphicData>
            </a:graphic>
          </wp:inline>
        </w:drawing>
      </w:r>
    </w:p>
    <w:p w14:paraId="7F6123D3">
      <w:pPr>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（1）对心电信号进行40阶FIR带通滤波，通带为15~25Hz，大致为QRS波所在频段。</w:t>
      </w:r>
    </w:p>
    <w:p w14:paraId="0056F2E0">
      <w:pPr>
        <w:ind w:firstLine="480" w:firstLineChars="20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预处理完成后，配合自适应阈值完成QRS波的定位。使用Matlab的Fdatool工具，得到相应的滤波器系数，然后套用filter内建函数完成滤波。以数据库的100号信号为例，滤波前后的波形示意如下：</w:t>
      </w:r>
    </w:p>
    <w:p w14:paraId="7A3E606B">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805045" cy="2392680"/>
            <wp:effectExtent l="0" t="0" r="5080" b="7620"/>
            <wp:docPr id="2"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内容占位符 3"/>
                    <pic:cNvPicPr>
                      <a:picLocks noChangeAspect="1"/>
                    </pic:cNvPicPr>
                  </pic:nvPicPr>
                  <pic:blipFill>
                    <a:blip r:embed="rId7"/>
                    <a:stretch>
                      <a:fillRect/>
                    </a:stretch>
                  </pic:blipFill>
                  <pic:spPr>
                    <a:xfrm>
                      <a:off x="0" y="0"/>
                      <a:ext cx="4805045" cy="2392680"/>
                    </a:xfrm>
                    <a:prstGeom prst="rect">
                      <a:avLst/>
                    </a:prstGeom>
                  </pic:spPr>
                </pic:pic>
              </a:graphicData>
            </a:graphic>
          </wp:inline>
        </w:drawing>
      </w:r>
    </w:p>
    <w:p w14:paraId="37D5F3A5">
      <w:pPr>
        <w:numPr>
          <w:ilvl w:val="0"/>
          <w:numId w:val="2"/>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对滤波后的波形“双斜率”预处理</w:t>
      </w:r>
      <w:r>
        <w:rPr>
          <w:rFonts w:hint="eastAsia" w:ascii="宋体" w:hAnsi="宋体" w:eastAsia="宋体" w:cs="宋体"/>
          <w:sz w:val="24"/>
          <w:szCs w:val="24"/>
          <w:vertAlign w:val="superscript"/>
          <w:lang w:val="en-US" w:eastAsia="zh-CN"/>
        </w:rPr>
        <w:t>[4]</w:t>
      </w:r>
      <w:r>
        <w:rPr>
          <w:rFonts w:hint="eastAsia" w:ascii="宋体" w:hAnsi="宋体" w:eastAsia="宋体" w:cs="宋体"/>
          <w:sz w:val="24"/>
          <w:szCs w:val="24"/>
          <w:lang w:val="en-US" w:eastAsia="zh-CN"/>
        </w:rPr>
        <w:t>。基本思想是分别在一个点的左右两侧的某个区间内寻找最大平均斜率与最小平均斜率，然后分别用左侧最大斜率减去右侧最小斜率，用右侧最大斜率减去左侧最小斜率，再求取两者中的最大者。过程有些复杂，但其实其基本动机就是利用QRS波两侧较陡的性质，只有QRS波这样的尖峰在经过上述处理时才会有很大的响应。在这里，设定这个寻找斜率的区间是左右两侧0.015s~0.060s处，此为经验参数。经过处理，可对比前后波形：</w:t>
      </w:r>
    </w:p>
    <w:p w14:paraId="2A11F66D">
      <w:pPr>
        <w:numPr>
          <w:ilvl w:val="0"/>
          <w:numId w:val="0"/>
        </w:num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93870" cy="1993900"/>
            <wp:effectExtent l="0" t="0" r="1905" b="6350"/>
            <wp:docPr id="5"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内容占位符 3"/>
                    <pic:cNvPicPr>
                      <a:picLocks noChangeAspect="1"/>
                    </pic:cNvPicPr>
                  </pic:nvPicPr>
                  <pic:blipFill>
                    <a:blip r:embed="rId9"/>
                    <a:stretch>
                      <a:fillRect/>
                    </a:stretch>
                  </pic:blipFill>
                  <pic:spPr>
                    <a:xfrm>
                      <a:off x="0" y="0"/>
                      <a:ext cx="4293870" cy="1993900"/>
                    </a:xfrm>
                    <a:prstGeom prst="rect">
                      <a:avLst/>
                    </a:prstGeom>
                  </pic:spPr>
                </pic:pic>
              </a:graphicData>
            </a:graphic>
          </wp:inline>
        </w:drawing>
      </w:r>
    </w:p>
    <w:p w14:paraId="50686315">
      <w:pPr>
        <w:numPr>
          <w:ilvl w:val="0"/>
          <w:numId w:val="2"/>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双斜率处理后，波形模式更为单一，但出现双峰现象，一定程度上不利于精准检测。因此，继续低通滤波（截止频率5Hz，经验参数）：</w:t>
      </w:r>
    </w:p>
    <w:p w14:paraId="75BEFA5C">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93615" cy="2202815"/>
            <wp:effectExtent l="0" t="0" r="6985" b="6985"/>
            <wp:docPr id="6"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内容占位符 3"/>
                    <pic:cNvPicPr>
                      <a:picLocks noChangeAspect="1"/>
                    </pic:cNvPicPr>
                  </pic:nvPicPr>
                  <pic:blipFill>
                    <a:blip r:embed="rId10"/>
                    <a:stretch>
                      <a:fillRect/>
                    </a:stretch>
                  </pic:blipFill>
                  <pic:spPr>
                    <a:xfrm>
                      <a:off x="0" y="0"/>
                      <a:ext cx="4793615" cy="2202815"/>
                    </a:xfrm>
                    <a:prstGeom prst="rect">
                      <a:avLst/>
                    </a:prstGeom>
                  </pic:spPr>
                </pic:pic>
              </a:graphicData>
            </a:graphic>
          </wp:inline>
        </w:drawing>
      </w:r>
    </w:p>
    <w:p w14:paraId="637E7D45">
      <w:pPr>
        <w:numPr>
          <w:ilvl w:val="0"/>
          <w:numId w:val="2"/>
        </w:numPr>
        <w:ind w:left="0" w:leftChars="0" w:firstLine="0" w:firstLine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滑动窗口积分。过小的幅值不利于检测，利用滑动窗口积分，使得绝对振幅增大，并使波形进一步光滑，滑动窗口宽度设为17个采样点，为经验参数：</w:t>
      </w:r>
    </w:p>
    <w:p w14:paraId="4313EE7B">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58740" cy="1249680"/>
            <wp:effectExtent l="0" t="0" r="10160"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rcRect t="47983"/>
                    <a:stretch>
                      <a:fillRect/>
                    </a:stretch>
                  </pic:blipFill>
                  <pic:spPr>
                    <a:xfrm>
                      <a:off x="0" y="0"/>
                      <a:ext cx="5158740" cy="1249680"/>
                    </a:xfrm>
                    <a:prstGeom prst="rect">
                      <a:avLst/>
                    </a:prstGeom>
                  </pic:spPr>
                </pic:pic>
              </a:graphicData>
            </a:graphic>
          </wp:inline>
        </w:drawing>
      </w:r>
    </w:p>
    <w:p w14:paraId="665C9F45">
      <w:pPr>
        <w:numPr>
          <w:ilvl w:val="0"/>
          <w:numId w:val="0"/>
        </w:numPr>
        <w:ind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预处理完成后，配合自适应阈值完成QRS波的定位。自适应算法的思路是：（1）自适应阈值要跟随信号实时变化。（2）为了保证变化的稳健，阈值需要根据前面已经检测到的正确波峰振幅变化，另外设定下限，以确保不会过高或过低。</w:t>
      </w:r>
    </w:p>
    <w:p w14:paraId="4CE8999C">
      <w:pPr>
        <w:numPr>
          <w:ilvl w:val="0"/>
          <w:numId w:val="0"/>
        </w:numPr>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14875" cy="1753870"/>
            <wp:effectExtent l="0" t="0" r="9525" b="1143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2"/>
                    <a:stretch>
                      <a:fillRect/>
                    </a:stretch>
                  </pic:blipFill>
                  <pic:spPr>
                    <a:xfrm>
                      <a:off x="0" y="0"/>
                      <a:ext cx="4714875" cy="1753870"/>
                    </a:xfrm>
                    <a:prstGeom prst="rect">
                      <a:avLst/>
                    </a:prstGeom>
                    <a:noFill/>
                    <a:ln w="9525">
                      <a:noFill/>
                    </a:ln>
                  </pic:spPr>
                </pic:pic>
              </a:graphicData>
            </a:graphic>
          </wp:inline>
        </w:drawing>
      </w:r>
    </w:p>
    <w:p w14:paraId="46EF0B19">
      <w:pPr>
        <w:numPr>
          <w:ilvl w:val="0"/>
          <w:numId w:val="0"/>
        </w:numPr>
        <w:ind w:leftChars="0"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该自适应阈值算法在原信号预处理后的特征信号上进行，检测到的波峰都认为对应于原信号中的一个QRS波，减去延迟即可得到原信号中QRS波的位置。</w:t>
      </w:r>
    </w:p>
    <w:p w14:paraId="131ECA37">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36845" cy="1790065"/>
            <wp:effectExtent l="0" t="0" r="8255" b="635"/>
            <wp:docPr id="10" name="内容占位符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内容占位符 5"/>
                    <pic:cNvPicPr>
                      <a:picLocks noChangeAspect="1"/>
                    </pic:cNvPicPr>
                  </pic:nvPicPr>
                  <pic:blipFill>
                    <a:blip r:embed="rId13"/>
                    <a:stretch>
                      <a:fillRect/>
                    </a:stretch>
                  </pic:blipFill>
                  <pic:spPr>
                    <a:xfrm>
                      <a:off x="0" y="0"/>
                      <a:ext cx="5236845" cy="1790065"/>
                    </a:xfrm>
                    <a:prstGeom prst="rect">
                      <a:avLst/>
                    </a:prstGeom>
                  </pic:spPr>
                </pic:pic>
              </a:graphicData>
            </a:graphic>
          </wp:inline>
        </w:drawing>
      </w:r>
    </w:p>
    <w:p w14:paraId="56692BF5">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2.1.3 心拍截取</w:t>
      </w:r>
    </w:p>
    <w:p w14:paraId="2071BC60">
      <w:pPr>
        <w:ind w:firstLine="480" w:firstLineChars="20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以QRS波的位置为基准，分别向前向后包括若干点，然后将这一段数据点截取出来作为心拍。本报告选择向左包含100个点，向右包含150个点，即截取的每个心拍长度为250个点（约0.7s）。截取后的心拍如下图所示，从左至右分别为正常、右束支阻滞、左束支阻滞与室性早搏。</w:t>
      </w:r>
    </w:p>
    <w:p w14:paraId="707632D8">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1280795" cy="1005205"/>
            <wp:effectExtent l="0" t="0" r="5080" b="4445"/>
            <wp:docPr id="9"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容占位符 3"/>
                    <pic:cNvPicPr>
                      <a:picLocks noChangeAspect="1"/>
                    </pic:cNvPicPr>
                  </pic:nvPicPr>
                  <pic:blipFill>
                    <a:blip r:embed="rId14"/>
                    <a:srcRect r="2343"/>
                    <a:stretch>
                      <a:fillRect/>
                    </a:stretch>
                  </pic:blipFill>
                  <pic:spPr>
                    <a:xfrm>
                      <a:off x="0" y="0"/>
                      <a:ext cx="1280795" cy="1005205"/>
                    </a:xfrm>
                    <a:prstGeom prst="rect">
                      <a:avLst/>
                    </a:prstGeom>
                  </pic:spPr>
                </pic:pic>
              </a:graphicData>
            </a:graphic>
          </wp:inline>
        </w:drawing>
      </w:r>
      <w:r>
        <w:rPr>
          <w:rFonts w:hint="eastAsia" w:ascii="宋体" w:hAnsi="宋体" w:eastAsia="宋体" w:cs="宋体"/>
          <w:sz w:val="24"/>
          <w:szCs w:val="24"/>
        </w:rPr>
        <w:drawing>
          <wp:inline distT="0" distB="0" distL="114300" distR="114300">
            <wp:extent cx="1263015" cy="1004570"/>
            <wp:effectExtent l="0" t="0" r="3810" b="508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5"/>
                    <a:srcRect r="2288" b="950"/>
                    <a:stretch>
                      <a:fillRect/>
                    </a:stretch>
                  </pic:blipFill>
                  <pic:spPr>
                    <a:xfrm>
                      <a:off x="0" y="0"/>
                      <a:ext cx="1263015" cy="1004570"/>
                    </a:xfrm>
                    <a:prstGeom prst="rect">
                      <a:avLst/>
                    </a:prstGeom>
                  </pic:spPr>
                </pic:pic>
              </a:graphicData>
            </a:graphic>
          </wp:inline>
        </w:drawing>
      </w:r>
      <w:r>
        <w:rPr>
          <w:rFonts w:hint="eastAsia" w:ascii="宋体" w:hAnsi="宋体" w:eastAsia="宋体" w:cs="宋体"/>
          <w:sz w:val="24"/>
          <w:szCs w:val="24"/>
        </w:rPr>
        <w:drawing>
          <wp:inline distT="0" distB="0" distL="114300" distR="114300">
            <wp:extent cx="1327150" cy="1004570"/>
            <wp:effectExtent l="0" t="0" r="6350" b="508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6"/>
                    <a:stretch>
                      <a:fillRect/>
                    </a:stretch>
                  </pic:blipFill>
                  <pic:spPr>
                    <a:xfrm>
                      <a:off x="0" y="0"/>
                      <a:ext cx="1327150" cy="1004570"/>
                    </a:xfrm>
                    <a:prstGeom prst="rect">
                      <a:avLst/>
                    </a:prstGeom>
                  </pic:spPr>
                </pic:pic>
              </a:graphicData>
            </a:graphic>
          </wp:inline>
        </w:drawing>
      </w:r>
      <w:r>
        <w:rPr>
          <w:rFonts w:hint="eastAsia" w:ascii="宋体" w:hAnsi="宋体" w:eastAsia="宋体" w:cs="宋体"/>
          <w:sz w:val="24"/>
          <w:szCs w:val="24"/>
        </w:rPr>
        <w:drawing>
          <wp:inline distT="0" distB="0" distL="114300" distR="114300">
            <wp:extent cx="1229360" cy="1004570"/>
            <wp:effectExtent l="0" t="0" r="8890" b="508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1229360" cy="1004570"/>
                    </a:xfrm>
                    <a:prstGeom prst="rect">
                      <a:avLst/>
                    </a:prstGeom>
                  </pic:spPr>
                </pic:pic>
              </a:graphicData>
            </a:graphic>
          </wp:inline>
        </w:drawing>
      </w:r>
    </w:p>
    <w:p w14:paraId="1F971FC1">
      <w:pPr>
        <w:jc w:val="both"/>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2.1.4 心律失常的SVM识别</w:t>
      </w:r>
    </w:p>
    <w:p w14:paraId="77EE3EF4">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采用小波变换（Wavelet Transform）提取心跳信号的特征。小波变换具有多分辨率分析的优点，并且内嵌了降维操作，可以有效减少特征维度。具体实现过程中，采用MATLAB中的wavedec函数对每段250点的心跳信号进行5阶小波分解，选用db6小波作为基函数。</w:t>
      </w:r>
    </w:p>
    <w:p w14:paraId="2DD40E57">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小波分解后，提取“近似”系数作为特征，这些系数保留了信号的低频成分，去除了高频细节，能够更好地反映信号的一般性规律。以疾病诊断为例，不同病人或相同病人在不同时间的细节差异往往不能反映疾病的普遍特性。因此，选取5阶分解后的前25个“近似”系数作为每段信号的主要特征输入分类器。</w:t>
      </w:r>
    </w:p>
    <w:p w14:paraId="17E68F04">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集随机划分为训练集和测试集，各包含10000个样本。通过MATLAB的randperm函数随机打乱样本索引后，前10000个样本用于训练，其余10000个样本用于测试。为了加快支持向量机（SVM）训练过程的收敛速度，本研究对输入特征进行归一化处理。利用MATLAB中的mapminmax函数将训练集特征归一化至[0, 1]区间，并保存归一化信息。随后，采用mapminmax的apply模式对测试集进行相同归一化处理，以保持训练集和测试集特征空间的一致性。</w:t>
      </w:r>
    </w:p>
    <w:p w14:paraId="2B9D3611">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MATLAB自带LibSVM工具包作为后端支持向量机（SVM）分类器的实现，模型训练通过调用libsvmtrain函数实现，核函数采用RBF核函数，并设置超参数C和γ分别为2和1。测试阶段通过libsvmpredict函数对测试集进行预测，并输出分类结果。</w:t>
      </w:r>
    </w:p>
    <w:p w14:paraId="5E69A8C7">
      <w:pPr>
        <w:ind w:firstLine="480" w:firstLineChars="200"/>
        <w:jc w:val="both"/>
        <w:rPr>
          <w:rFonts w:hint="eastAsia" w:ascii="宋体" w:hAnsi="宋体" w:eastAsia="宋体" w:cs="宋体"/>
          <w:sz w:val="24"/>
          <w:szCs w:val="24"/>
          <w:lang w:val="en-US" w:eastAsia="zh-CN"/>
        </w:rPr>
      </w:pPr>
    </w:p>
    <w:p w14:paraId="04E1CE87">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2.1.5 一维CNN的ECG心拍分类</w:t>
      </w:r>
    </w:p>
    <w:p w14:paraId="0D565509">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近几年来以卷积神经网络（Convolutional Neural Network，CNN）为代表的深度学习技术蓬勃兴起，其优势在于可以从大数据中自动习得特征而无需人工设计特征，其在多种任务，例如图像分类与定位，语音识别等领域都展现出了十分强大的性能。图像这样的数据形式，存在局部与整体的关系，由低层次特征经组合可形成高层次特征，并可以得到不同特征间的空间相关性。ECG信号也存在这样的特性，局部的一些波形与整体结果息息相关，而诊断，实质上就是由一些低层次的，可见的波形变化抽象成一些疾病的概念，即高层次的特征。而波形的空间关系也往往蕴含了丰富的信息。CNN通过以下几点可有效利用上述特点：</w:t>
      </w:r>
    </w:p>
    <w:p w14:paraId="03AD8F27">
      <w:pPr>
        <w:numPr>
          <w:ilvl w:val="0"/>
          <w:numId w:val="3"/>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局部连接：CNN网络可提取数据局部特征。</w:t>
      </w:r>
    </w:p>
    <w:p w14:paraId="619CB195">
      <w:pPr>
        <w:numPr>
          <w:ilvl w:val="0"/>
          <w:numId w:val="3"/>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权值共享：大大降低了网络训练难度，每个卷积层有多个filter,可提取多种特征。</w:t>
      </w:r>
    </w:p>
    <w:p w14:paraId="467782AD">
      <w:pPr>
        <w:numPr>
          <w:ilvl w:val="0"/>
          <w:numId w:val="3"/>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池化操作和多层次结构：实现数据的降维，将低层次局部特征组合无为较高层次特征。</w:t>
      </w:r>
    </w:p>
    <w:p w14:paraId="143B973E">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本研究设计了一个具有2个卷积层，2个池化层，和1个全连接层的1维CNN。确定超参数，学习率为0.01，batchsize为16，epoch为30，使用随机梯度下降法（SGD）法训练。</w:t>
      </w:r>
    </w:p>
    <w:p w14:paraId="13AA8945">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2.1.6 结果统计与展示</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14:paraId="1A384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420" w:type="dxa"/>
            <w:vMerge w:val="restart"/>
            <w:tcBorders>
              <w:top w:val="single" w:color="auto" w:sz="12" w:space="0"/>
              <w:left w:val="nil"/>
              <w:bottom w:val="nil"/>
              <w:right w:val="nil"/>
            </w:tcBorders>
          </w:tcPr>
          <w:p w14:paraId="33C9BB3F">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Policy</w:t>
            </w:r>
          </w:p>
        </w:tc>
        <w:tc>
          <w:tcPr>
            <w:tcW w:w="7102" w:type="dxa"/>
            <w:gridSpan w:val="5"/>
            <w:tcBorders>
              <w:top w:val="single" w:color="auto" w:sz="12" w:space="0"/>
              <w:left w:val="nil"/>
              <w:bottom w:val="single" w:color="auto" w:sz="4" w:space="0"/>
              <w:right w:val="nil"/>
            </w:tcBorders>
          </w:tcPr>
          <w:p w14:paraId="5FE9B266">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Accuracy（%）</w:t>
            </w:r>
          </w:p>
        </w:tc>
      </w:tr>
      <w:tr w14:paraId="77AA2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1" w:hRule="atLeast"/>
          <w:jc w:val="center"/>
        </w:trPr>
        <w:tc>
          <w:tcPr>
            <w:tcW w:w="1420" w:type="dxa"/>
            <w:vMerge w:val="continue"/>
            <w:tcBorders>
              <w:top w:val="nil"/>
              <w:left w:val="nil"/>
              <w:bottom w:val="single" w:color="auto" w:sz="4" w:space="0"/>
              <w:right w:val="nil"/>
            </w:tcBorders>
          </w:tcPr>
          <w:p w14:paraId="3961DBDE">
            <w:pPr>
              <w:jc w:val="center"/>
              <w:rPr>
                <w:rFonts w:hint="default" w:ascii="Times New Roman" w:hAnsi="Times New Roman" w:eastAsia="宋体" w:cs="Times New Roman"/>
                <w:sz w:val="24"/>
                <w:szCs w:val="24"/>
              </w:rPr>
            </w:pPr>
          </w:p>
        </w:tc>
        <w:tc>
          <w:tcPr>
            <w:tcW w:w="1420" w:type="dxa"/>
            <w:tcBorders>
              <w:top w:val="single" w:color="auto" w:sz="4" w:space="0"/>
              <w:left w:val="nil"/>
              <w:bottom w:val="single" w:color="auto" w:sz="4" w:space="0"/>
              <w:right w:val="nil"/>
            </w:tcBorders>
          </w:tcPr>
          <w:p w14:paraId="1FFA4010">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Normal</w:t>
            </w:r>
          </w:p>
        </w:tc>
        <w:tc>
          <w:tcPr>
            <w:tcW w:w="1420" w:type="dxa"/>
            <w:tcBorders>
              <w:top w:val="single" w:color="auto" w:sz="4" w:space="0"/>
              <w:left w:val="nil"/>
              <w:bottom w:val="single" w:color="auto" w:sz="4" w:space="0"/>
              <w:right w:val="nil"/>
            </w:tcBorders>
          </w:tcPr>
          <w:p w14:paraId="65E9BC87">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LBBB</w:t>
            </w:r>
          </w:p>
        </w:tc>
        <w:tc>
          <w:tcPr>
            <w:tcW w:w="1420" w:type="dxa"/>
            <w:tcBorders>
              <w:top w:val="single" w:color="auto" w:sz="4" w:space="0"/>
              <w:left w:val="nil"/>
              <w:bottom w:val="single" w:color="auto" w:sz="4" w:space="0"/>
              <w:right w:val="nil"/>
            </w:tcBorders>
          </w:tcPr>
          <w:p w14:paraId="334881FB">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RBBB</w:t>
            </w:r>
          </w:p>
        </w:tc>
        <w:tc>
          <w:tcPr>
            <w:tcW w:w="1421" w:type="dxa"/>
            <w:tcBorders>
              <w:top w:val="single" w:color="auto" w:sz="4" w:space="0"/>
              <w:left w:val="nil"/>
              <w:bottom w:val="single" w:color="auto" w:sz="4" w:space="0"/>
              <w:right w:val="nil"/>
            </w:tcBorders>
          </w:tcPr>
          <w:p w14:paraId="57149F05">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PVC</w:t>
            </w:r>
          </w:p>
        </w:tc>
        <w:tc>
          <w:tcPr>
            <w:tcW w:w="1421" w:type="dxa"/>
            <w:tcBorders>
              <w:top w:val="single" w:color="auto" w:sz="4" w:space="0"/>
              <w:left w:val="nil"/>
              <w:bottom w:val="single" w:color="auto" w:sz="4" w:space="0"/>
              <w:right w:val="nil"/>
            </w:tcBorders>
          </w:tcPr>
          <w:p w14:paraId="32308FA0">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Average</w:t>
            </w:r>
          </w:p>
        </w:tc>
      </w:tr>
      <w:tr w14:paraId="63C1A0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tcBorders>
              <w:top w:val="single" w:color="auto" w:sz="4" w:space="0"/>
              <w:left w:val="nil"/>
              <w:bottom w:val="nil"/>
              <w:right w:val="nil"/>
            </w:tcBorders>
          </w:tcPr>
          <w:p w14:paraId="50D4E887">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SVM</w:t>
            </w:r>
          </w:p>
        </w:tc>
        <w:tc>
          <w:tcPr>
            <w:tcW w:w="1420" w:type="dxa"/>
            <w:tcBorders>
              <w:top w:val="single" w:color="auto" w:sz="4" w:space="0"/>
              <w:left w:val="nil"/>
              <w:bottom w:val="nil"/>
              <w:right w:val="nil"/>
            </w:tcBorders>
          </w:tcPr>
          <w:p w14:paraId="0CDB71E4">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bCs/>
                <w:sz w:val="24"/>
                <w:szCs w:val="24"/>
                <w:vertAlign w:val="baseline"/>
                <w:lang w:val="en-US" w:eastAsia="zh-CN"/>
              </w:rPr>
              <w:t>99.84</w:t>
            </w:r>
          </w:p>
        </w:tc>
        <w:tc>
          <w:tcPr>
            <w:tcW w:w="1420" w:type="dxa"/>
            <w:tcBorders>
              <w:top w:val="single" w:color="auto" w:sz="4" w:space="0"/>
              <w:left w:val="nil"/>
              <w:bottom w:val="nil"/>
              <w:right w:val="nil"/>
            </w:tcBorders>
          </w:tcPr>
          <w:p w14:paraId="25B5B88F">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bCs/>
                <w:sz w:val="24"/>
                <w:szCs w:val="24"/>
                <w:vertAlign w:val="baseline"/>
                <w:lang w:val="en-US" w:eastAsia="zh-CN"/>
              </w:rPr>
              <w:t>98.73</w:t>
            </w:r>
          </w:p>
        </w:tc>
        <w:tc>
          <w:tcPr>
            <w:tcW w:w="1420" w:type="dxa"/>
            <w:tcBorders>
              <w:top w:val="single" w:color="auto" w:sz="4" w:space="0"/>
              <w:left w:val="nil"/>
              <w:bottom w:val="nil"/>
              <w:right w:val="nil"/>
            </w:tcBorders>
          </w:tcPr>
          <w:p w14:paraId="4062AD7B">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97.79</w:t>
            </w:r>
          </w:p>
        </w:tc>
        <w:tc>
          <w:tcPr>
            <w:tcW w:w="1421" w:type="dxa"/>
            <w:tcBorders>
              <w:top w:val="single" w:color="auto" w:sz="4" w:space="0"/>
              <w:left w:val="nil"/>
              <w:bottom w:val="nil"/>
              <w:right w:val="nil"/>
            </w:tcBorders>
          </w:tcPr>
          <w:p w14:paraId="2D3C4A8B">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91.79</w:t>
            </w:r>
          </w:p>
        </w:tc>
        <w:tc>
          <w:tcPr>
            <w:tcW w:w="1421" w:type="dxa"/>
            <w:tcBorders>
              <w:top w:val="single" w:color="auto" w:sz="4" w:space="0"/>
              <w:left w:val="nil"/>
              <w:bottom w:val="nil"/>
              <w:right w:val="nil"/>
            </w:tcBorders>
          </w:tcPr>
          <w:p w14:paraId="09BB7F23">
            <w:pPr>
              <w:numPr>
                <w:ilvl w:val="0"/>
                <w:numId w:val="0"/>
              </w:numPr>
              <w:tabs>
                <w:tab w:val="center" w:pos="602"/>
              </w:tabs>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97.04</w:t>
            </w:r>
          </w:p>
        </w:tc>
      </w:tr>
      <w:tr w14:paraId="7672E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20" w:type="dxa"/>
            <w:tcBorders>
              <w:top w:val="nil"/>
              <w:left w:val="nil"/>
              <w:bottom w:val="single" w:color="auto" w:sz="12" w:space="0"/>
              <w:right w:val="nil"/>
            </w:tcBorders>
          </w:tcPr>
          <w:p w14:paraId="65458B48">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CNN</w:t>
            </w:r>
          </w:p>
        </w:tc>
        <w:tc>
          <w:tcPr>
            <w:tcW w:w="1420" w:type="dxa"/>
            <w:tcBorders>
              <w:top w:val="nil"/>
              <w:left w:val="nil"/>
              <w:bottom w:val="single" w:color="auto" w:sz="12" w:space="0"/>
              <w:right w:val="nil"/>
            </w:tcBorders>
          </w:tcPr>
          <w:p w14:paraId="22CEBFF8">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99.76</w:t>
            </w:r>
          </w:p>
        </w:tc>
        <w:tc>
          <w:tcPr>
            <w:tcW w:w="1420" w:type="dxa"/>
            <w:tcBorders>
              <w:top w:val="nil"/>
              <w:left w:val="nil"/>
              <w:bottom w:val="single" w:color="auto" w:sz="12" w:space="0"/>
              <w:right w:val="nil"/>
            </w:tcBorders>
          </w:tcPr>
          <w:p w14:paraId="553E3595">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sz w:val="24"/>
                <w:szCs w:val="24"/>
                <w:vertAlign w:val="baseline"/>
                <w:lang w:val="en-US" w:eastAsia="zh-CN"/>
              </w:rPr>
              <w:t>98.54</w:t>
            </w:r>
          </w:p>
        </w:tc>
        <w:tc>
          <w:tcPr>
            <w:tcW w:w="1420" w:type="dxa"/>
            <w:tcBorders>
              <w:top w:val="nil"/>
              <w:left w:val="nil"/>
              <w:bottom w:val="single" w:color="auto" w:sz="12" w:space="0"/>
              <w:right w:val="nil"/>
            </w:tcBorders>
          </w:tcPr>
          <w:p w14:paraId="03D507B0">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bCs/>
                <w:sz w:val="24"/>
                <w:szCs w:val="24"/>
                <w:vertAlign w:val="baseline"/>
                <w:lang w:val="en-US" w:eastAsia="zh-CN"/>
              </w:rPr>
              <w:t>99.11</w:t>
            </w:r>
          </w:p>
        </w:tc>
        <w:tc>
          <w:tcPr>
            <w:tcW w:w="1421" w:type="dxa"/>
            <w:tcBorders>
              <w:top w:val="nil"/>
              <w:left w:val="nil"/>
              <w:bottom w:val="single" w:color="auto" w:sz="12" w:space="0"/>
              <w:right w:val="nil"/>
            </w:tcBorders>
          </w:tcPr>
          <w:p w14:paraId="45B75D87">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bCs/>
                <w:sz w:val="24"/>
                <w:szCs w:val="24"/>
                <w:vertAlign w:val="baseline"/>
                <w:lang w:val="en-US" w:eastAsia="zh-CN"/>
              </w:rPr>
              <w:t>97.66</w:t>
            </w:r>
          </w:p>
        </w:tc>
        <w:tc>
          <w:tcPr>
            <w:tcW w:w="1421" w:type="dxa"/>
            <w:tcBorders>
              <w:top w:val="nil"/>
              <w:left w:val="nil"/>
              <w:bottom w:val="single" w:color="auto" w:sz="12" w:space="0"/>
              <w:right w:val="nil"/>
            </w:tcBorders>
          </w:tcPr>
          <w:p w14:paraId="549F5431">
            <w:pPr>
              <w:numPr>
                <w:ilvl w:val="0"/>
                <w:numId w:val="0"/>
              </w:numPr>
              <w:jc w:val="center"/>
              <w:rPr>
                <w:rFonts w:hint="default" w:ascii="Times New Roman" w:hAnsi="Times New Roman" w:eastAsia="宋体" w:cs="Times New Roman"/>
                <w:sz w:val="24"/>
                <w:szCs w:val="24"/>
                <w:vertAlign w:val="baseline"/>
                <w:lang w:val="en-US" w:eastAsia="zh-CN"/>
              </w:rPr>
            </w:pPr>
            <w:r>
              <w:rPr>
                <w:rFonts w:hint="default" w:ascii="Times New Roman" w:hAnsi="Times New Roman" w:eastAsia="宋体" w:cs="Times New Roman"/>
                <w:b/>
                <w:bCs/>
                <w:sz w:val="24"/>
                <w:szCs w:val="24"/>
                <w:vertAlign w:val="baseline"/>
                <w:lang w:val="en-US" w:eastAsia="zh-CN"/>
              </w:rPr>
              <w:t>98.77</w:t>
            </w:r>
          </w:p>
        </w:tc>
      </w:tr>
    </w:tbl>
    <w:p w14:paraId="0E658C6D">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从表中可知，使用CNN比人工特征+SVM得到了更好的分类结果，然而两者都还有优化空间，特别是在超参数的选择上。</w:t>
      </w:r>
    </w:p>
    <w:p w14:paraId="3FE7AD23">
      <w:pPr>
        <w:numPr>
          <w:ilvl w:val="0"/>
          <w:numId w:val="0"/>
        </w:numPr>
        <w:jc w:val="both"/>
        <w:rPr>
          <w:rFonts w:hint="eastAsia" w:ascii="宋体" w:hAnsi="宋体" w:eastAsia="宋体" w:cs="宋体"/>
          <w:sz w:val="24"/>
          <w:szCs w:val="24"/>
          <w:lang w:val="en-US" w:eastAsia="zh-CN"/>
        </w:rPr>
      </w:pPr>
    </w:p>
    <w:p w14:paraId="4321C468">
      <w:pPr>
        <w:numPr>
          <w:ilvl w:val="0"/>
          <w:numId w:val="0"/>
        </w:num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 针对超声图像的无漂移算法</w:t>
      </w:r>
    </w:p>
    <w:p w14:paraId="073BF5FE">
      <w:pPr>
        <w:numPr>
          <w:ilvl w:val="0"/>
          <w:numId w:val="0"/>
        </w:num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由于该论文设计算法过于复杂，目前只复现2.2.1与2.2.2，论文的处理过程如图所示：</w:t>
      </w:r>
    </w:p>
    <w:p w14:paraId="42F741D8">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3012440" cy="3884295"/>
            <wp:effectExtent l="0" t="0" r="10160" b="1905"/>
            <wp:docPr id="16" name="内容占位符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内容占位符 3"/>
                    <pic:cNvPicPr>
                      <a:picLocks noChangeAspect="1"/>
                    </pic:cNvPicPr>
                  </pic:nvPicPr>
                  <pic:blipFill>
                    <a:blip r:embed="rId18"/>
                    <a:stretch>
                      <a:fillRect/>
                    </a:stretch>
                  </pic:blipFill>
                  <pic:spPr>
                    <a:xfrm>
                      <a:off x="0" y="0"/>
                      <a:ext cx="3012440" cy="3884295"/>
                    </a:xfrm>
                    <a:prstGeom prst="rect">
                      <a:avLst/>
                    </a:prstGeom>
                  </pic:spPr>
                </pic:pic>
              </a:graphicData>
            </a:graphic>
          </wp:inline>
        </w:drawing>
      </w:r>
    </w:p>
    <w:p w14:paraId="1B3E227A">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2.2.1 数据处理</w:t>
      </w:r>
    </w:p>
    <w:p w14:paraId="48469349">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对原始超声图像进行手动处理，选择感兴趣的区域（ROI, Region of Interest），以确保后续算法能够专注于目标肌肉区域。该步骤通常包括裁剪图像、标注肌腱和肌纤维的起始位置。</w:t>
      </w:r>
    </w:p>
    <w:p w14:paraId="7699186E">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129790" cy="1580515"/>
            <wp:effectExtent l="0" t="0" r="3810"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9"/>
                    <a:stretch>
                      <a:fillRect/>
                    </a:stretch>
                  </pic:blipFill>
                  <pic:spPr>
                    <a:xfrm>
                      <a:off x="0" y="0"/>
                      <a:ext cx="2129790" cy="1580515"/>
                    </a:xfrm>
                    <a:prstGeom prst="rect">
                      <a:avLst/>
                    </a:prstGeom>
                  </pic:spPr>
                </pic:pic>
              </a:graphicData>
            </a:graphic>
          </wp:inline>
        </w:drawing>
      </w:r>
      <w:r>
        <w:rPr>
          <w:rFonts w:hint="eastAsia" w:ascii="宋体" w:hAnsi="宋体" w:eastAsia="宋体" w:cs="宋体"/>
          <w:sz w:val="24"/>
          <w:szCs w:val="24"/>
        </w:rPr>
        <w:drawing>
          <wp:inline distT="0" distB="0" distL="114300" distR="114300">
            <wp:extent cx="2478405" cy="1581150"/>
            <wp:effectExtent l="0" t="0" r="762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2478405" cy="1581150"/>
                    </a:xfrm>
                    <a:prstGeom prst="rect">
                      <a:avLst/>
                    </a:prstGeom>
                  </pic:spPr>
                </pic:pic>
              </a:graphicData>
            </a:graphic>
          </wp:inline>
        </w:drawing>
      </w:r>
    </w:p>
    <w:p w14:paraId="488916AC">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2.2.2 图像滤波</w:t>
      </w:r>
    </w:p>
    <w:p w14:paraId="0F61DD6C">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使用图像滤波技术（如高斯滤波或中值滤波）对图像进行处理，以增强线状结构（如肌腱和肌纤维）。滤波可以有效减少噪声，突出显示目标特征，从而为后续的检测提供更清晰的输入。</w:t>
      </w:r>
    </w:p>
    <w:p w14:paraId="43A529BF">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2614930" cy="1666875"/>
            <wp:effectExtent l="0" t="0" r="1270" b="952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2614930" cy="1666875"/>
                    </a:xfrm>
                    <a:prstGeom prst="rect">
                      <a:avLst/>
                    </a:prstGeom>
                  </pic:spPr>
                </pic:pic>
              </a:graphicData>
            </a:graphic>
          </wp:inline>
        </w:drawing>
      </w:r>
      <w:r>
        <w:rPr>
          <w:rFonts w:hint="eastAsia" w:ascii="宋体" w:hAnsi="宋体" w:eastAsia="宋体" w:cs="宋体"/>
          <w:sz w:val="24"/>
          <w:szCs w:val="24"/>
        </w:rPr>
        <w:drawing>
          <wp:inline distT="0" distB="0" distL="114300" distR="114300">
            <wp:extent cx="2627630" cy="1680210"/>
            <wp:effectExtent l="0" t="0" r="1270" b="889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1"/>
                    <a:stretch>
                      <a:fillRect/>
                    </a:stretch>
                  </pic:blipFill>
                  <pic:spPr>
                    <a:xfrm>
                      <a:off x="0" y="0"/>
                      <a:ext cx="2627630" cy="1680210"/>
                    </a:xfrm>
                    <a:prstGeom prst="rect">
                      <a:avLst/>
                    </a:prstGeom>
                  </pic:spPr>
                </pic:pic>
              </a:graphicData>
            </a:graphic>
          </wp:inline>
        </w:drawing>
      </w:r>
    </w:p>
    <w:p w14:paraId="05DEAB24">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2.2.3 肌腱检测</w:t>
      </w:r>
    </w:p>
    <w:p w14:paraId="3F236249">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在滤波后的图像中，采用物体检测或线检测方法识别肌腱。常用方法包括基于Hough变换的线检测或深度学习检测模型（如YOLO、Faster R-CNN）。肌腱检测的输出是其位置和轮廓信息，为几何特征估算奠定基础。</w:t>
      </w:r>
    </w:p>
    <w:p w14:paraId="17AB39BB">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2.2.4 肌纤维角度估算</w:t>
      </w:r>
    </w:p>
    <w:p w14:paraId="713D7CF5">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利用椭圆形区域选定肌腱之间的兴趣区域（ROI），使用线检测算法（如Canny边缘检测或Hough变换）估算肌纤维的角度。肌纤维角度是肌腱间肌肉组织的主要方向特征。</w:t>
      </w:r>
    </w:p>
    <w:p w14:paraId="59C2887F">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2.2.5 几何肌肉特征估算</w:t>
      </w:r>
    </w:p>
    <w:p w14:paraId="7159E64C">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根据检测到的肌腱位置及肌纤维角度，进一步计算肌肉的几何特征：</w:t>
      </w:r>
    </w:p>
    <w:p w14:paraId="53BC82DD">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羽状角</w:t>
      </w:r>
      <m:oMath>
        <m:r>
          <m:rPr>
            <m:sty m:val="p"/>
          </m:rPr>
          <w:rPr>
            <w:rFonts w:hint="eastAsia" w:ascii="Cambria Math" w:hAnsi="Cambria Math" w:eastAsia="宋体" w:cs="宋体"/>
            <w:sz w:val="24"/>
            <w:szCs w:val="24"/>
            <w:lang w:val="en-US"/>
          </w:rPr>
          <m:t>φ</m:t>
        </m:r>
      </m:oMath>
      <w:r>
        <w:rPr>
          <w:rFonts w:hint="eastAsia" w:ascii="宋体" w:hAnsi="宋体" w:eastAsia="宋体" w:cs="宋体"/>
          <w:sz w:val="24"/>
          <w:szCs w:val="24"/>
          <w:lang w:val="en-US" w:eastAsia="zh-CN"/>
        </w:rPr>
        <w:t>：通过计算肌纤维角度与表面肌腱角度的差值，获得羽状角（Pennation Angle）。</w:t>
      </w:r>
    </w:p>
    <w:p w14:paraId="2D8C61A9">
      <w:pPr>
        <w:jc w:val="center"/>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1095375" cy="276225"/>
            <wp:effectExtent l="0" t="0" r="9525"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1095375" cy="276225"/>
                    </a:xfrm>
                    <a:prstGeom prst="rect">
                      <a:avLst/>
                    </a:prstGeom>
                    <a:noFill/>
                    <a:ln>
                      <a:noFill/>
                    </a:ln>
                  </pic:spPr>
                </pic:pic>
              </a:graphicData>
            </a:graphic>
          </wp:inline>
        </w:drawing>
      </w:r>
    </w:p>
    <w:p w14:paraId="24FC3250">
      <w:p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肌肉厚度T</w:t>
      </w:r>
      <w:r>
        <w:rPr>
          <w:rFonts w:hint="eastAsia" w:ascii="宋体" w:hAnsi="宋体" w:eastAsia="宋体" w:cs="宋体"/>
          <w:sz w:val="24"/>
          <w:szCs w:val="24"/>
          <w:vertAlign w:val="subscript"/>
          <w:lang w:val="en-US" w:eastAsia="zh-CN"/>
        </w:rPr>
        <w:t>muscle</w:t>
      </w:r>
      <w:r>
        <w:rPr>
          <w:rFonts w:hint="eastAsia" w:ascii="宋体" w:hAnsi="宋体" w:eastAsia="宋体" w:cs="宋体"/>
          <w:sz w:val="24"/>
          <w:szCs w:val="24"/>
          <w:vertAlign w:val="baseline"/>
          <w:lang w:val="en-US" w:eastAsia="zh-CN"/>
        </w:rPr>
        <w:t>：测量从深层肌腱到表面肌腱的垂直距离，定义为肌肉厚度。</w:t>
      </w:r>
    </w:p>
    <w:p w14:paraId="57616E5D">
      <w:pPr>
        <w:jc w:val="center"/>
        <w:rPr>
          <w:rFonts w:hint="eastAsia" w:ascii="宋体" w:hAnsi="宋体" w:eastAsia="宋体" w:cs="宋体"/>
          <w:sz w:val="24"/>
          <w:szCs w:val="24"/>
          <w:vertAlign w:val="baseline"/>
          <w:lang w:val="en-US" w:eastAsia="zh-CN"/>
        </w:rPr>
      </w:pPr>
      <w:r>
        <w:rPr>
          <w:rFonts w:hint="eastAsia" w:ascii="宋体" w:hAnsi="宋体" w:eastAsia="宋体" w:cs="宋体"/>
          <w:sz w:val="24"/>
          <w:szCs w:val="24"/>
        </w:rPr>
        <w:drawing>
          <wp:inline distT="0" distB="0" distL="114300" distR="114300">
            <wp:extent cx="1285875" cy="238125"/>
            <wp:effectExtent l="0" t="0" r="0" b="25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23"/>
                    <a:stretch>
                      <a:fillRect/>
                    </a:stretch>
                  </pic:blipFill>
                  <pic:spPr>
                    <a:xfrm>
                      <a:off x="0" y="0"/>
                      <a:ext cx="1285875" cy="238125"/>
                    </a:xfrm>
                    <a:prstGeom prst="rect">
                      <a:avLst/>
                    </a:prstGeom>
                    <a:noFill/>
                    <a:ln>
                      <a:noFill/>
                    </a:ln>
                  </pic:spPr>
                </pic:pic>
              </a:graphicData>
            </a:graphic>
          </wp:inline>
        </w:drawing>
      </w:r>
    </w:p>
    <w:p w14:paraId="14D722B2">
      <w:pPr>
        <w:jc w:val="both"/>
        <w:rPr>
          <w:rFonts w:hint="eastAsia"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肌纤维长度L</w:t>
      </w:r>
      <w:r>
        <w:rPr>
          <w:rFonts w:hint="eastAsia" w:ascii="宋体" w:hAnsi="宋体" w:eastAsia="宋体" w:cs="宋体"/>
          <w:sz w:val="24"/>
          <w:szCs w:val="24"/>
          <w:vertAlign w:val="subscript"/>
          <w:lang w:val="en-US" w:eastAsia="zh-CN"/>
        </w:rPr>
        <w:t>fas</w:t>
      </w:r>
      <w:r>
        <w:rPr>
          <w:rFonts w:hint="eastAsia" w:ascii="宋体" w:hAnsi="宋体" w:eastAsia="宋体" w:cs="宋体"/>
          <w:sz w:val="24"/>
          <w:szCs w:val="24"/>
          <w:vertAlign w:val="baseline"/>
          <w:lang w:val="en-US" w:eastAsia="zh-CN"/>
        </w:rPr>
        <w:t>：根据羽状角</w:t>
      </w:r>
      <m:oMath>
        <m:r>
          <m:rPr>
            <m:sty m:val="p"/>
          </m:rPr>
          <w:rPr>
            <w:rFonts w:hint="eastAsia" w:ascii="Cambria Math" w:hAnsi="Cambria Math" w:eastAsia="宋体" w:cs="宋体"/>
            <w:sz w:val="24"/>
            <w:szCs w:val="24"/>
            <w:vertAlign w:val="baseline"/>
            <w:lang w:val="en-US"/>
          </w:rPr>
          <m:t>φ</m:t>
        </m:r>
      </m:oMath>
      <w:r>
        <w:rPr>
          <w:rFonts w:hint="eastAsia" w:ascii="宋体" w:hAnsi="宋体" w:eastAsia="宋体" w:cs="宋体"/>
          <w:sz w:val="24"/>
          <w:szCs w:val="24"/>
          <w:vertAlign w:val="baseline"/>
          <w:lang w:val="en-US" w:eastAsia="zh-CN"/>
        </w:rPr>
        <w:t>和肌肉厚度</w:t>
      </w:r>
      <w:r>
        <w:rPr>
          <w:rFonts w:hint="eastAsia" w:ascii="宋体" w:hAnsi="宋体" w:eastAsia="宋体" w:cs="宋体"/>
          <w:sz w:val="24"/>
          <w:szCs w:val="24"/>
          <w:lang w:val="en-US" w:eastAsia="zh-CN"/>
        </w:rPr>
        <w:t>T</w:t>
      </w:r>
      <w:r>
        <w:rPr>
          <w:rFonts w:hint="eastAsia" w:ascii="宋体" w:hAnsi="宋体" w:eastAsia="宋体" w:cs="宋体"/>
          <w:sz w:val="24"/>
          <w:szCs w:val="24"/>
          <w:vertAlign w:val="subscript"/>
          <w:lang w:val="en-US" w:eastAsia="zh-CN"/>
        </w:rPr>
        <w:t>muscle</w:t>
      </w:r>
      <w:r>
        <w:rPr>
          <w:rFonts w:hint="eastAsia" w:ascii="宋体" w:hAnsi="宋体" w:eastAsia="宋体" w:cs="宋体"/>
          <w:sz w:val="24"/>
          <w:szCs w:val="24"/>
          <w:vertAlign w:val="baseline"/>
          <w:lang w:val="en-US" w:eastAsia="zh-CN"/>
        </w:rPr>
        <w:t>通过三角函数计算肌纤维长度。</w:t>
      </w:r>
    </w:p>
    <w:p w14:paraId="4C82F522">
      <w:pPr>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790575" cy="409575"/>
            <wp:effectExtent l="0" t="0" r="0" b="952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790575" cy="409575"/>
                    </a:xfrm>
                    <a:prstGeom prst="rect">
                      <a:avLst/>
                    </a:prstGeom>
                    <a:noFill/>
                    <a:ln>
                      <a:noFill/>
                    </a:ln>
                  </pic:spPr>
                </pic:pic>
              </a:graphicData>
            </a:graphic>
          </wp:inline>
        </w:drawing>
      </w:r>
    </w:p>
    <w:p w14:paraId="3F1CF918">
      <w:pPr>
        <w:jc w:val="both"/>
        <w:rPr>
          <w:rFonts w:hint="eastAsia" w:ascii="宋体" w:hAnsi="宋体" w:eastAsia="宋体" w:cs="宋体"/>
          <w:sz w:val="24"/>
          <w:szCs w:val="24"/>
          <w:lang w:val="en-US" w:eastAsia="zh-CN"/>
        </w:rPr>
      </w:pPr>
    </w:p>
    <w:p w14:paraId="033694EC">
      <w:pPr>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 结论与展望</w:t>
      </w:r>
    </w:p>
    <w:p w14:paraId="4F22CF8F">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文复现并验证了SVM和CNN在ECG信号分类中的有效性，实验结果表明，SVM在小样本下具有较高的泛化能力，而CNN在处理复杂信号特征时表现出卓越的分类性能。此外，复现了无漂移算法在超声肌肉特征估计中的关键步骤，通过实验验证了该算法在漂移校正和几何特征提取中的实际性能，显著提高了特征参数的精度和重复性。这些工作为后续研究奠定了重要基础。</w:t>
      </w:r>
    </w:p>
    <w:p w14:paraId="04CC5150">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未来的工作将集中在以下几个方面：</w:t>
      </w:r>
    </w:p>
    <w:p w14:paraId="3F556DC1">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（1）优化复现算法的性能</w:t>
      </w:r>
    </w:p>
    <w:p w14:paraId="4FCD7A2A">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针对当前复现算法的局限性，进一步优化算法的效率和鲁棒性，例如改进数据处理流程、引入更高效的模型结构，提升算法在实际场景中的适应性。</w:t>
      </w:r>
    </w:p>
    <w:p w14:paraId="08553F99">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（2）探索新的应用场景</w:t>
      </w:r>
    </w:p>
    <w:p w14:paraId="52F8F1A7">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将现有算法应用于更广泛的医学信息分析任务，例如其他类型的生理信号分类和更多影像特征的提取，进一步验证算法的通用性和拓展性。</w:t>
      </w:r>
    </w:p>
    <w:p w14:paraId="7333E9C7">
      <w:p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（3）开展自主创新研究</w:t>
      </w:r>
    </w:p>
    <w:p w14:paraId="150A6B05">
      <w:pPr>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结合两篇论文中的技术特点，尝试设计新的深度学习模型或算法框架，开发针对医学信号分析的智能系统，推动相关领域的技术进步。</w:t>
      </w:r>
    </w:p>
    <w:p w14:paraId="1C5D63B8">
      <w:pPr>
        <w:jc w:val="both"/>
      </w:pPr>
    </w:p>
    <w:bookmarkEnd w:id="0"/>
    <w:p w14:paraId="62CF293C">
      <w:pPr>
        <w:spacing w:line="324" w:lineRule="auto"/>
        <w:ind w:firstLine="482"/>
        <w:rPr>
          <w:rFonts w:ascii="宋体" w:hAnsi="宋体" w:eastAsia="PMingLiU" w:cs="宋体"/>
          <w:sz w:val="24"/>
          <w:szCs w:val="24"/>
          <w:lang w:val="zh-TW" w:eastAsia="zh-TW"/>
        </w:rPr>
      </w:pPr>
    </w:p>
    <w:p w14:paraId="06A73A5E">
      <w:pPr>
        <w:pStyle w:val="3"/>
        <w:numPr>
          <w:ilvl w:val="0"/>
          <w:numId w:val="0"/>
        </w:numPr>
        <w:rPr>
          <w:rFonts w:ascii="微软雅黑" w:hAnsi="微软雅黑" w:eastAsia="微软雅黑"/>
          <w:sz w:val="28"/>
          <w:szCs w:val="28"/>
        </w:rPr>
      </w:pPr>
      <w:r>
        <w:rPr>
          <w:rFonts w:hint="eastAsia" w:ascii="微软雅黑" w:hAnsi="微软雅黑" w:eastAsia="微软雅黑"/>
          <w:sz w:val="28"/>
          <w:szCs w:val="28"/>
        </w:rPr>
        <w:t>参考文献</w:t>
      </w:r>
    </w:p>
    <w:p w14:paraId="76513F30">
      <w:pPr>
        <w:numPr>
          <w:ilvl w:val="0"/>
          <w:numId w:val="0"/>
        </w:numPr>
        <w:jc w:val="both"/>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ECG×AI:机器/深度学习的ECG应用入门</w:t>
      </w:r>
    </w:p>
    <w:p w14:paraId="7EF7CC1E">
      <w:pPr>
        <w:numPr>
          <w:ilvl w:val="0"/>
          <w:numId w:val="0"/>
        </w:numPr>
        <w:jc w:val="both"/>
        <w:rPr>
          <w:rFonts w:hint="eastAsia"/>
          <w:lang w:val="en-US" w:eastAsia="zh-CN"/>
        </w:rPr>
      </w:pPr>
      <w:r>
        <w:rPr>
          <w:rFonts w:hint="eastAsia"/>
          <w:lang w:val="en-US" w:eastAsia="zh-CN"/>
        </w:rPr>
        <w:t>https://blog.csdn.net/qq_15746879/article/details/80340671</w:t>
      </w:r>
    </w:p>
    <w:p w14:paraId="16E77F3B">
      <w:pPr>
        <w:numPr>
          <w:ilvl w:val="0"/>
          <w:numId w:val="0"/>
        </w:numPr>
        <w:ind w:left="0" w:leftChars="0" w:firstLine="0" w:firstLineChars="0"/>
        <w:jc w:val="both"/>
        <w:rPr>
          <w:rFonts w:hint="eastAsia"/>
          <w:lang w:val="en-US" w:eastAsia="zh-CN"/>
        </w:rPr>
      </w:pPr>
      <w:r>
        <w:rPr>
          <w:rFonts w:hint="eastAsia" w:asciiTheme="minorHAnsi" w:hAnsiTheme="minorHAnsi" w:eastAsiaTheme="minorEastAsia" w:cstheme="minorBidi"/>
          <w:kern w:val="2"/>
          <w:sz w:val="21"/>
          <w:szCs w:val="24"/>
          <w:lang w:val="en-US" w:eastAsia="zh-CN" w:bidi="ar-SA"/>
        </w:rPr>
        <w:t>[2]</w:t>
      </w:r>
      <w:r>
        <w:rPr>
          <w:rFonts w:hint="eastAsia"/>
          <w:lang w:val="en-US" w:eastAsia="zh-CN"/>
        </w:rPr>
        <w:t>Tim J. van der ZeeID*, Arthur D. Kuo. TimTrack: A drift-free algorithm for estimating geometric muscle features from ultrasound images</w:t>
      </w:r>
    </w:p>
    <w:p w14:paraId="52228984">
      <w:pPr>
        <w:numPr>
          <w:ilvl w:val="0"/>
          <w:numId w:val="0"/>
        </w:numPr>
        <w:ind w:left="0" w:leftChars="0" w:firstLine="0" w:firstLineChars="0"/>
        <w:jc w:val="both"/>
        <w:rPr>
          <w:rFonts w:hint="default"/>
          <w:sz w:val="24"/>
          <w:szCs w:val="24"/>
          <w:lang w:val="en-US" w:eastAsia="zh-CN"/>
        </w:rPr>
      </w:pPr>
      <w:r>
        <w:rPr>
          <w:rFonts w:hint="eastAsia"/>
          <w:sz w:val="24"/>
          <w:szCs w:val="24"/>
          <w:lang w:val="en-US" w:eastAsia="zh-CN"/>
        </w:rPr>
        <w:t>[3]</w:t>
      </w:r>
      <w:r>
        <w:rPr>
          <w:rFonts w:hint="default"/>
          <w:sz w:val="24"/>
          <w:szCs w:val="24"/>
          <w:lang w:val="en-US" w:eastAsia="zh-CN"/>
        </w:rPr>
        <w:fldChar w:fldCharType="begin"/>
      </w:r>
      <w:r>
        <w:rPr>
          <w:rFonts w:hint="default"/>
          <w:sz w:val="24"/>
          <w:szCs w:val="24"/>
          <w:lang w:val="en-US" w:eastAsia="zh-CN"/>
        </w:rPr>
        <w:instrText xml:space="preserve"> HYPERLINK "https://www.physionet.org/cgi-bin/atm/ATM" </w:instrText>
      </w:r>
      <w:r>
        <w:rPr>
          <w:rFonts w:hint="default"/>
          <w:sz w:val="24"/>
          <w:szCs w:val="24"/>
          <w:lang w:val="en-US" w:eastAsia="zh-CN"/>
        </w:rPr>
        <w:fldChar w:fldCharType="separate"/>
      </w:r>
      <w:r>
        <w:rPr>
          <w:rStyle w:val="10"/>
          <w:rFonts w:hint="default"/>
          <w:sz w:val="24"/>
          <w:szCs w:val="24"/>
          <w:lang w:val="en-US" w:eastAsia="zh-CN"/>
        </w:rPr>
        <w:t>https://www.physionet.org/cgi-bin/atm/ATM</w:t>
      </w:r>
      <w:r>
        <w:rPr>
          <w:rFonts w:hint="default"/>
          <w:sz w:val="24"/>
          <w:szCs w:val="24"/>
          <w:lang w:val="en-US" w:eastAsia="zh-CN"/>
        </w:rPr>
        <w:fldChar w:fldCharType="end"/>
      </w:r>
    </w:p>
    <w:p w14:paraId="30F4525A">
      <w:pPr>
        <w:jc w:val="both"/>
        <w:rPr>
          <w:rFonts w:hint="eastAsia"/>
          <w:lang w:val="en-US" w:eastAsia="zh-CN"/>
        </w:rPr>
      </w:pPr>
      <w:r>
        <w:rPr>
          <w:rFonts w:hint="eastAsia"/>
          <w:lang w:val="en-US" w:eastAsia="zh-CN"/>
        </w:rPr>
        <w:t>[4] Wang Y, Deepu C J, Lian Y. A computationally efficient QRS detection algorithm for wearable ECG sensors[C]//Engineering in Medicine and Biology Society, EMBC, 2011 Annual International Conference of the IEEE. IEEE, 2011: 5641-5644.</w:t>
      </w:r>
    </w:p>
    <w:p w14:paraId="6FA40401">
      <w:pPr>
        <w:spacing w:line="324" w:lineRule="auto"/>
        <w:ind w:firstLine="480" w:firstLineChars="200"/>
        <w:rPr>
          <w:rFonts w:ascii="宋体" w:hAnsi="宋体" w:eastAsia="宋体" w:cs="宋体"/>
          <w:sz w:val="24"/>
          <w:szCs w:val="24"/>
        </w:rPr>
      </w:pPr>
    </w:p>
    <w:p w14:paraId="6AECE711">
      <w:pPr>
        <w:spacing w:line="324" w:lineRule="auto"/>
        <w:ind w:firstLine="480" w:firstLineChars="200"/>
        <w:rPr>
          <w:rFonts w:ascii="宋体" w:hAnsi="宋体" w:eastAsia="宋体" w:cs="宋体"/>
          <w:sz w:val="24"/>
          <w:szCs w:val="24"/>
        </w:rPr>
      </w:pPr>
    </w:p>
    <w:p w14:paraId="21F90E3B">
      <w:pPr>
        <w:spacing w:line="324" w:lineRule="auto"/>
        <w:rPr>
          <w:rFonts w:hAnsi="Times New Roman"/>
          <w:sz w:val="24"/>
        </w:rPr>
      </w:pPr>
    </w:p>
    <w:sectPr>
      <w:headerReference r:id="rId3" w:type="default"/>
      <w:headerReference r:id="rId4" w:type="even"/>
      <w:pgSz w:w="11900" w:h="16840"/>
      <w:pgMar w:top="1440" w:right="1080" w:bottom="1440" w:left="1080" w:header="851" w:footer="992" w:gutter="0"/>
      <w:cols w:space="720"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Helvetica Neue">
    <w:altName w:val="Arial"/>
    <w:panose1 w:val="00000000000000000000"/>
    <w:charset w:val="00"/>
    <w:family w:val="roman"/>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7F" w:usb3="00000000" w:csb0="203F01FF" w:csb1="DFFF0000"/>
  </w:font>
  <w:font w:name="MS PMincho">
    <w:altName w:val="Yu Gothic"/>
    <w:panose1 w:val="00000000000000000000"/>
    <w:charset w:val="80"/>
    <w:family w:val="roman"/>
    <w:pitch w:val="default"/>
    <w:sig w:usb0="00000000" w:usb1="00000000" w:usb2="08000012" w:usb3="00000000" w:csb0="0002009F" w:csb1="00000000"/>
  </w:font>
  <w:font w:name="华康简宋">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Cambria Math">
    <w:panose1 w:val="02040503050406030204"/>
    <w:charset w:val="00"/>
    <w:family w:val="auto"/>
    <w:pitch w:val="default"/>
    <w:sig w:usb0="E00006FF" w:usb1="420024FF" w:usb2="02000000" w:usb3="00000000" w:csb0="2000019F" w:csb1="00000000"/>
  </w:font>
  <w:font w:name="Yu Gothic">
    <w:panose1 w:val="020B04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BD270">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58AD88">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1B0EF0"/>
    <w:multiLevelType w:val="singleLevel"/>
    <w:tmpl w:val="D21B0EF0"/>
    <w:lvl w:ilvl="0" w:tentative="0">
      <w:start w:val="2"/>
      <w:numFmt w:val="decimal"/>
      <w:suff w:val="nothing"/>
      <w:lvlText w:val="（%1）"/>
      <w:lvlJc w:val="left"/>
    </w:lvl>
  </w:abstractNum>
  <w:abstractNum w:abstractNumId="1">
    <w:nsid w:val="E3C1DF4F"/>
    <w:multiLevelType w:val="singleLevel"/>
    <w:tmpl w:val="E3C1DF4F"/>
    <w:lvl w:ilvl="0" w:tentative="0">
      <w:start w:val="1"/>
      <w:numFmt w:val="decimal"/>
      <w:suff w:val="nothing"/>
      <w:lvlText w:val="（%1）"/>
      <w:lvlJc w:val="left"/>
    </w:lvl>
  </w:abstractNum>
  <w:abstractNum w:abstractNumId="2">
    <w:nsid w:val="1E862683"/>
    <w:multiLevelType w:val="multilevel"/>
    <w:tmpl w:val="1E862683"/>
    <w:lvl w:ilvl="0" w:tentative="0">
      <w:start w:val="1"/>
      <w:numFmt w:val="decimal"/>
      <w:pStyle w:val="2"/>
      <w:lvlText w:val="%1."/>
      <w:lvlJc w:val="left"/>
      <w:pPr>
        <w:tabs>
          <w:tab w:val="left" w:pos="540"/>
        </w:tabs>
        <w:ind w:left="540" w:hanging="360"/>
      </w:pPr>
      <w:rPr>
        <w:rFonts w:hint="default"/>
      </w:rPr>
    </w:lvl>
    <w:lvl w:ilvl="1" w:tentative="0">
      <w:start w:val="1"/>
      <w:numFmt w:val="lowerLetter"/>
      <w:pStyle w:val="3"/>
      <w:lvlText w:val="%2)"/>
      <w:lvlJc w:val="left"/>
      <w:pPr>
        <w:tabs>
          <w:tab w:val="left" w:pos="1020"/>
        </w:tabs>
        <w:ind w:left="1020" w:hanging="420"/>
      </w:pPr>
    </w:lvl>
    <w:lvl w:ilvl="2" w:tentative="0">
      <w:start w:val="1"/>
      <w:numFmt w:val="lowerRoman"/>
      <w:lvlText w:val="%3."/>
      <w:lvlJc w:val="right"/>
      <w:pPr>
        <w:tabs>
          <w:tab w:val="left" w:pos="1440"/>
        </w:tabs>
        <w:ind w:left="1440" w:hanging="420"/>
      </w:pPr>
    </w:lvl>
    <w:lvl w:ilvl="3" w:tentative="0">
      <w:start w:val="1"/>
      <w:numFmt w:val="decimal"/>
      <w:lvlText w:val="%4."/>
      <w:lvlJc w:val="left"/>
      <w:pPr>
        <w:tabs>
          <w:tab w:val="left" w:pos="1860"/>
        </w:tabs>
        <w:ind w:left="1860" w:hanging="420"/>
      </w:pPr>
    </w:lvl>
    <w:lvl w:ilvl="4" w:tentative="0">
      <w:start w:val="1"/>
      <w:numFmt w:val="lowerLetter"/>
      <w:lvlText w:val="%5)"/>
      <w:lvlJc w:val="left"/>
      <w:pPr>
        <w:tabs>
          <w:tab w:val="left" w:pos="2280"/>
        </w:tabs>
        <w:ind w:left="2280" w:hanging="420"/>
      </w:pPr>
    </w:lvl>
    <w:lvl w:ilvl="5" w:tentative="0">
      <w:start w:val="1"/>
      <w:numFmt w:val="lowerRoman"/>
      <w:lvlText w:val="%6."/>
      <w:lvlJc w:val="right"/>
      <w:pPr>
        <w:tabs>
          <w:tab w:val="left" w:pos="2700"/>
        </w:tabs>
        <w:ind w:left="2700" w:hanging="420"/>
      </w:pPr>
    </w:lvl>
    <w:lvl w:ilvl="6" w:tentative="0">
      <w:start w:val="1"/>
      <w:numFmt w:val="decimal"/>
      <w:lvlText w:val="%7."/>
      <w:lvlJc w:val="left"/>
      <w:pPr>
        <w:tabs>
          <w:tab w:val="left" w:pos="3120"/>
        </w:tabs>
        <w:ind w:left="3120" w:hanging="420"/>
      </w:pPr>
    </w:lvl>
    <w:lvl w:ilvl="7" w:tentative="0">
      <w:start w:val="1"/>
      <w:numFmt w:val="lowerLetter"/>
      <w:lvlText w:val="%8)"/>
      <w:lvlJc w:val="left"/>
      <w:pPr>
        <w:tabs>
          <w:tab w:val="left" w:pos="3540"/>
        </w:tabs>
        <w:ind w:left="3540" w:hanging="420"/>
      </w:pPr>
    </w:lvl>
    <w:lvl w:ilvl="8" w:tentative="0">
      <w:start w:val="1"/>
      <w:numFmt w:val="lowerRoman"/>
      <w:lvlText w:val="%9."/>
      <w:lvlJc w:val="right"/>
      <w:pPr>
        <w:tabs>
          <w:tab w:val="left" w:pos="3960"/>
        </w:tabs>
        <w:ind w:left="396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Y5NmRjZDFiNDM2NDg4MzBmZDZmZDY5YjExZjdhOTAifQ=="/>
  </w:docVars>
  <w:rsids>
    <w:rsidRoot w:val="00840CC0"/>
    <w:rsid w:val="00003E9C"/>
    <w:rsid w:val="00014A03"/>
    <w:rsid w:val="0002130F"/>
    <w:rsid w:val="00031B61"/>
    <w:rsid w:val="0004435C"/>
    <w:rsid w:val="00056449"/>
    <w:rsid w:val="0006051E"/>
    <w:rsid w:val="00065800"/>
    <w:rsid w:val="00070FC2"/>
    <w:rsid w:val="00072FA6"/>
    <w:rsid w:val="0009445D"/>
    <w:rsid w:val="000947EC"/>
    <w:rsid w:val="00095173"/>
    <w:rsid w:val="000952CD"/>
    <w:rsid w:val="000A4E80"/>
    <w:rsid w:val="000C51BD"/>
    <w:rsid w:val="000D2825"/>
    <w:rsid w:val="000E0E74"/>
    <w:rsid w:val="000F2746"/>
    <w:rsid w:val="000F2B66"/>
    <w:rsid w:val="000F7C30"/>
    <w:rsid w:val="00106F8D"/>
    <w:rsid w:val="00124533"/>
    <w:rsid w:val="00153DB7"/>
    <w:rsid w:val="00155360"/>
    <w:rsid w:val="00172F32"/>
    <w:rsid w:val="0017375E"/>
    <w:rsid w:val="00251153"/>
    <w:rsid w:val="0025557B"/>
    <w:rsid w:val="002B4993"/>
    <w:rsid w:val="002C1056"/>
    <w:rsid w:val="002F22F7"/>
    <w:rsid w:val="002F51DE"/>
    <w:rsid w:val="00353191"/>
    <w:rsid w:val="003876E6"/>
    <w:rsid w:val="003A0C58"/>
    <w:rsid w:val="003A79E3"/>
    <w:rsid w:val="003F42C7"/>
    <w:rsid w:val="0041389C"/>
    <w:rsid w:val="00463AF7"/>
    <w:rsid w:val="004A5013"/>
    <w:rsid w:val="004D0D58"/>
    <w:rsid w:val="004E49A9"/>
    <w:rsid w:val="004F6A08"/>
    <w:rsid w:val="004F73BB"/>
    <w:rsid w:val="0051747F"/>
    <w:rsid w:val="00522F80"/>
    <w:rsid w:val="005433A1"/>
    <w:rsid w:val="00560618"/>
    <w:rsid w:val="00575AD1"/>
    <w:rsid w:val="005D3D46"/>
    <w:rsid w:val="005F20F8"/>
    <w:rsid w:val="0066236F"/>
    <w:rsid w:val="00682199"/>
    <w:rsid w:val="00693FC8"/>
    <w:rsid w:val="00694937"/>
    <w:rsid w:val="00706508"/>
    <w:rsid w:val="00712925"/>
    <w:rsid w:val="00733450"/>
    <w:rsid w:val="00785AE5"/>
    <w:rsid w:val="008053D9"/>
    <w:rsid w:val="00832650"/>
    <w:rsid w:val="00840CC0"/>
    <w:rsid w:val="00841800"/>
    <w:rsid w:val="00861C89"/>
    <w:rsid w:val="008735D6"/>
    <w:rsid w:val="008B3485"/>
    <w:rsid w:val="008F4B2E"/>
    <w:rsid w:val="008F4F0A"/>
    <w:rsid w:val="00935975"/>
    <w:rsid w:val="009605FF"/>
    <w:rsid w:val="009851DD"/>
    <w:rsid w:val="009C5DD5"/>
    <w:rsid w:val="009D10EA"/>
    <w:rsid w:val="009D208B"/>
    <w:rsid w:val="009D778D"/>
    <w:rsid w:val="009F585A"/>
    <w:rsid w:val="00A072DC"/>
    <w:rsid w:val="00A30ADF"/>
    <w:rsid w:val="00A64FAB"/>
    <w:rsid w:val="00A9543B"/>
    <w:rsid w:val="00AD7B9D"/>
    <w:rsid w:val="00AE103E"/>
    <w:rsid w:val="00B03883"/>
    <w:rsid w:val="00B2352A"/>
    <w:rsid w:val="00B25A7A"/>
    <w:rsid w:val="00B30B8D"/>
    <w:rsid w:val="00B414F3"/>
    <w:rsid w:val="00B46104"/>
    <w:rsid w:val="00B7567A"/>
    <w:rsid w:val="00B801BE"/>
    <w:rsid w:val="00B97FFD"/>
    <w:rsid w:val="00BD262D"/>
    <w:rsid w:val="00BE6F64"/>
    <w:rsid w:val="00BF2FE1"/>
    <w:rsid w:val="00C05878"/>
    <w:rsid w:val="00C170DD"/>
    <w:rsid w:val="00C2525E"/>
    <w:rsid w:val="00C3352F"/>
    <w:rsid w:val="00C81BB5"/>
    <w:rsid w:val="00C86437"/>
    <w:rsid w:val="00CB3668"/>
    <w:rsid w:val="00CB40CD"/>
    <w:rsid w:val="00CB4704"/>
    <w:rsid w:val="00CF5CBD"/>
    <w:rsid w:val="00CF6630"/>
    <w:rsid w:val="00D06D79"/>
    <w:rsid w:val="00D45CD7"/>
    <w:rsid w:val="00D478C4"/>
    <w:rsid w:val="00D47A54"/>
    <w:rsid w:val="00DB1395"/>
    <w:rsid w:val="00DC79C1"/>
    <w:rsid w:val="00DE24B2"/>
    <w:rsid w:val="00E2030B"/>
    <w:rsid w:val="00E233FC"/>
    <w:rsid w:val="00E3722B"/>
    <w:rsid w:val="00E57207"/>
    <w:rsid w:val="00E76F8E"/>
    <w:rsid w:val="00F0395D"/>
    <w:rsid w:val="00F41AFE"/>
    <w:rsid w:val="00F45E4E"/>
    <w:rsid w:val="00FC7829"/>
    <w:rsid w:val="031F3DF1"/>
    <w:rsid w:val="03511E99"/>
    <w:rsid w:val="0E95362B"/>
    <w:rsid w:val="0E9E26E2"/>
    <w:rsid w:val="120C556B"/>
    <w:rsid w:val="13841D40"/>
    <w:rsid w:val="14720966"/>
    <w:rsid w:val="20AF33AE"/>
    <w:rsid w:val="27CF45F4"/>
    <w:rsid w:val="293164A9"/>
    <w:rsid w:val="2A0B72C1"/>
    <w:rsid w:val="2B8E016A"/>
    <w:rsid w:val="33FD64E9"/>
    <w:rsid w:val="37477080"/>
    <w:rsid w:val="3C942B7F"/>
    <w:rsid w:val="413B68F0"/>
    <w:rsid w:val="41981FAF"/>
    <w:rsid w:val="4A275456"/>
    <w:rsid w:val="51396430"/>
    <w:rsid w:val="59093C10"/>
    <w:rsid w:val="5FE24574"/>
    <w:rsid w:val="698D37BB"/>
    <w:rsid w:val="69DA03D5"/>
    <w:rsid w:val="6E7D2BC3"/>
    <w:rsid w:val="73AA3CF1"/>
    <w:rsid w:val="756F3F97"/>
    <w:rsid w:val="7683119A"/>
    <w:rsid w:val="791E7E8F"/>
    <w:rsid w:val="793740A5"/>
    <w:rsid w:val="79CE0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link w:val="18"/>
    <w:qFormat/>
    <w:uiPriority w:val="0"/>
    <w:pPr>
      <w:pageBreakBefore/>
      <w:widowControl w:val="0"/>
      <w:numPr>
        <w:ilvl w:val="0"/>
        <w:numId w:val="1"/>
      </w:numPr>
      <w:pBdr>
        <w:top w:val="none" w:color="auto" w:sz="0" w:space="0"/>
        <w:left w:val="none" w:color="auto" w:sz="0" w:space="0"/>
        <w:bottom w:val="none" w:color="auto" w:sz="0" w:space="0"/>
        <w:right w:val="none" w:color="auto" w:sz="0" w:space="0"/>
        <w:between w:val="none" w:color="auto" w:sz="0" w:space="0"/>
      </w:pBdr>
      <w:spacing w:before="480"/>
      <w:jc w:val="center"/>
      <w:outlineLvl w:val="0"/>
    </w:pPr>
    <w:rPr>
      <w:rFonts w:ascii="Cambria" w:hAnsi="Cambria" w:eastAsia="宋体" w:cs="Times New Roman"/>
      <w:b/>
      <w:bCs/>
      <w:sz w:val="28"/>
      <w:szCs w:val="28"/>
      <w:lang w:val="en-US" w:eastAsia="zh-CN" w:bidi="ar-SA"/>
    </w:rPr>
  </w:style>
  <w:style w:type="paragraph" w:styleId="3">
    <w:name w:val="heading 2"/>
    <w:next w:val="1"/>
    <w:link w:val="17"/>
    <w:qFormat/>
    <w:uiPriority w:val="0"/>
    <w:pPr>
      <w:numPr>
        <w:ilvl w:val="1"/>
        <w:numId w:val="1"/>
      </w:numPr>
      <w:pBdr>
        <w:top w:val="none" w:color="auto" w:sz="0" w:space="0"/>
        <w:left w:val="none" w:color="auto" w:sz="0" w:space="0"/>
        <w:bottom w:val="none" w:color="auto" w:sz="0" w:space="0"/>
        <w:right w:val="none" w:color="auto" w:sz="0" w:space="0"/>
        <w:between w:val="none" w:color="auto" w:sz="0" w:space="0"/>
      </w:pBdr>
      <w:spacing w:before="200"/>
      <w:outlineLvl w:val="1"/>
    </w:pPr>
    <w:rPr>
      <w:rFonts w:ascii="Cambria" w:hAnsi="Cambria" w:eastAsia="宋体" w:cs="Times New Roman"/>
      <w:b/>
      <w:bCs/>
      <w:sz w:val="24"/>
      <w:szCs w:val="26"/>
      <w:lang w:val="en-US" w:eastAsia="zh-CN" w:bidi="ar-SA"/>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qFormat/>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line number"/>
    <w:basedOn w:val="8"/>
    <w:semiHidden/>
    <w:unhideWhenUsed/>
    <w:qFormat/>
    <w:uiPriority w:val="99"/>
  </w:style>
  <w:style w:type="character" w:styleId="10">
    <w:name w:val="Hyperlink"/>
    <w:basedOn w:val="8"/>
    <w:qFormat/>
    <w:uiPriority w:val="0"/>
    <w:rPr>
      <w:u w:val="single"/>
    </w:rPr>
  </w:style>
  <w:style w:type="table" w:customStyle="1" w:styleId="11">
    <w:name w:val="Table Normal"/>
    <w:qFormat/>
    <w:uiPriority w:val="0"/>
    <w:tblPr>
      <w:tblCellMar>
        <w:top w:w="0" w:type="dxa"/>
        <w:left w:w="0" w:type="dxa"/>
        <w:bottom w:w="0" w:type="dxa"/>
        <w:right w:w="0" w:type="dxa"/>
      </w:tblCellMar>
    </w:tblPr>
  </w:style>
  <w:style w:type="paragraph" w:customStyle="1" w:styleId="12">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character" w:customStyle="1" w:styleId="13">
    <w:name w:val="页眉 字符"/>
    <w:basedOn w:val="8"/>
    <w:link w:val="5"/>
    <w:qFormat/>
    <w:uiPriority w:val="99"/>
    <w:rPr>
      <w:rFonts w:ascii="等线" w:hAnsi="等线" w:eastAsia="等线" w:cs="等线"/>
      <w:color w:val="000000"/>
      <w:kern w:val="2"/>
      <w:sz w:val="18"/>
      <w:szCs w:val="18"/>
      <w:u w:color="000000"/>
    </w:rPr>
  </w:style>
  <w:style w:type="character" w:customStyle="1" w:styleId="14">
    <w:name w:val="页脚 字符"/>
    <w:basedOn w:val="8"/>
    <w:link w:val="4"/>
    <w:qFormat/>
    <w:uiPriority w:val="99"/>
    <w:rPr>
      <w:rFonts w:ascii="等线" w:hAnsi="等线" w:eastAsia="等线" w:cs="等线"/>
      <w:color w:val="000000"/>
      <w:kern w:val="2"/>
      <w:sz w:val="18"/>
      <w:szCs w:val="18"/>
      <w:u w:color="000000"/>
    </w:rPr>
  </w:style>
  <w:style w:type="paragraph" w:customStyle="1" w:styleId="15">
    <w:name w:val="0"/>
    <w:basedOn w:val="1"/>
    <w:qFormat/>
    <w:uiPriority w:val="0"/>
    <w:pPr>
      <w:pBdr>
        <w:top w:val="none" w:color="auto" w:sz="0" w:space="0"/>
        <w:left w:val="none" w:color="auto" w:sz="0" w:space="0"/>
        <w:bottom w:val="none" w:color="auto" w:sz="0" w:space="0"/>
        <w:right w:val="none" w:color="auto" w:sz="0" w:space="0"/>
        <w:between w:val="none" w:color="auto" w:sz="0" w:space="0"/>
      </w:pBdr>
      <w:spacing w:before="120" w:line="312" w:lineRule="atLeast"/>
    </w:pPr>
    <w:rPr>
      <w:rFonts w:ascii="MS PMincho" w:hAnsi="MS PMincho" w:eastAsia="华康简宋" w:cs="Times New Roman"/>
      <w:sz w:val="18"/>
      <w:szCs w:val="24"/>
    </w:rPr>
  </w:style>
  <w:style w:type="character" w:customStyle="1" w:styleId="16">
    <w:name w:val="标题 1 字符"/>
    <w:basedOn w:val="8"/>
    <w:qFormat/>
    <w:uiPriority w:val="9"/>
    <w:rPr>
      <w:rFonts w:ascii="等线" w:hAnsi="等线" w:eastAsia="等线" w:cs="等线"/>
      <w:b/>
      <w:bCs/>
      <w:color w:val="000000"/>
      <w:kern w:val="44"/>
      <w:sz w:val="44"/>
      <w:szCs w:val="44"/>
      <w:u w:color="000000"/>
    </w:rPr>
  </w:style>
  <w:style w:type="character" w:customStyle="1" w:styleId="17">
    <w:name w:val="标题 2 字符"/>
    <w:basedOn w:val="8"/>
    <w:link w:val="3"/>
    <w:qFormat/>
    <w:uiPriority w:val="0"/>
    <w:rPr>
      <w:rFonts w:ascii="Cambria" w:hAnsi="Cambria" w:eastAsia="宋体"/>
      <w:b/>
      <w:bCs/>
      <w:sz w:val="24"/>
      <w:szCs w:val="26"/>
    </w:rPr>
  </w:style>
  <w:style w:type="character" w:customStyle="1" w:styleId="18">
    <w:name w:val="标题 1 字符1"/>
    <w:basedOn w:val="8"/>
    <w:link w:val="2"/>
    <w:qFormat/>
    <w:uiPriority w:val="0"/>
    <w:rPr>
      <w:rFonts w:ascii="Cambria" w:hAnsi="Cambria" w:eastAsia="宋体"/>
      <w:b/>
      <w:bCs/>
      <w:sz w:val="28"/>
      <w:szCs w:val="28"/>
    </w:rPr>
  </w:style>
  <w:style w:type="paragraph" w:styleId="19">
    <w:name w:val="List Paragraph"/>
    <w:basedOn w:val="1"/>
    <w:qFormat/>
    <w:uiPriority w:val="34"/>
    <w:pPr>
      <w:ind w:firstLine="420" w:firstLineChars="200"/>
    </w:pPr>
  </w:style>
  <w:style w:type="character" w:styleId="20">
    <w:name w:val="Placeholder Text"/>
    <w:basedOn w:val="8"/>
    <w:semiHidden/>
    <w:qFormat/>
    <w:uiPriority w:val="99"/>
    <w:rPr>
      <w:color w:val="808080"/>
    </w:rPr>
  </w:style>
  <w:style w:type="paragraph" w:customStyle="1" w:styleId="21">
    <w:name w:val="Default"/>
    <w:qFormat/>
    <w:uiPriority w:val="0"/>
    <w:pPr>
      <w:widowControl w:val="0"/>
      <w:pBdr>
        <w:top w:val="none" w:color="auto" w:sz="0" w:space="0"/>
        <w:left w:val="none" w:color="auto" w:sz="0" w:space="0"/>
        <w:bottom w:val="none" w:color="auto" w:sz="0" w:space="0"/>
        <w:right w:val="none" w:color="auto" w:sz="0" w:space="0"/>
        <w:between w:val="none" w:color="auto" w:sz="0" w:space="0"/>
      </w:pBdr>
      <w:autoSpaceDE w:val="0"/>
      <w:autoSpaceDN w:val="0"/>
      <w:adjustRightInd w:val="0"/>
    </w:pPr>
    <w:rPr>
      <w:rFonts w:ascii="宋体" w:hAnsi="Times New Roman"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9.wmf"/><Relationship Id="rId23" Type="http://schemas.openxmlformats.org/officeDocument/2006/relationships/image" Target="media/image18.wmf"/><Relationship Id="rId22" Type="http://schemas.openxmlformats.org/officeDocument/2006/relationships/image" Target="media/image17.wmf"/><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41934-3B0E-4A5C-B98C-B81D17ABB8BD}">
  <ds:schemaRefs/>
</ds:datastoreItem>
</file>

<file path=docProps/app.xml><?xml version="1.0" encoding="utf-8"?>
<Properties xmlns="http://schemas.openxmlformats.org/officeDocument/2006/extended-properties" xmlns:vt="http://schemas.openxmlformats.org/officeDocument/2006/docPropsVTypes">
  <Template>Normal</Template>
  <Pages>8</Pages>
  <Words>4102</Words>
  <Characters>5044</Characters>
  <Lines>1</Lines>
  <Paragraphs>1</Paragraphs>
  <TotalTime>10</TotalTime>
  <ScaleCrop>false</ScaleCrop>
  <LinksUpToDate>false</LinksUpToDate>
  <CharactersWithSpaces>5151</CharactersWithSpaces>
  <Application>WPS Office_12.1.0.17133_F1E327BC-269C-435d-A152-05C5408002CA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2021-06-25T00:06:00Z</dcterms:created>
  <dc:creator>zhx</dc:creator>
  <cp:lastModifiedBy>陈诗雨</cp:lastModifiedBy>
  <dcterms:modified xsi:type="dcterms:W3CDTF">2025-01-14T13:48:19Z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1180431289</vt:i4>
  </property>
  <property fmtid="{D5CDD505-2E9C-101B-9397-08002B2CF9AE}" pid="3" name="KSOProductBuildVer">
    <vt:lpwstr>2052-12.1.0.17133</vt:lpwstr>
  </property>
  <property fmtid="{D5CDD505-2E9C-101B-9397-08002B2CF9AE}" pid="4" name="ICV">
    <vt:lpwstr>AAC1EF47F3094374B27E862459413972_13</vt:lpwstr>
  </property>
  <property fmtid="{D5CDD505-2E9C-101B-9397-08002B2CF9AE}" pid="5" name="KSOTemplateDocerSaveRecord">
    <vt:lpwstr>eyJoZGlkIjoiMzVlNzc4MTQyNDQ1NTM5MGZmZWUwZDlkZTIxY2JlYTYiLCJ1c2VySWQiOiI1Nzc4ODA2OTgifQ==</vt:lpwstr>
  </property>
</Properties>
</file>