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11848F4">
      <w:pPr>
        <w:jc w:val="left"/>
        <w:rPr>
          <w:rFonts w:ascii="微软雅黑" w:hAnsi="微软雅黑" w:eastAsia="微软雅黑" w:cs="微软雅黑"/>
          <w:sz w:val="56"/>
          <w:szCs w:val="56"/>
        </w:rPr>
      </w:pPr>
      <w:r>
        <w:drawing>
          <wp:inline distT="0" distB="0" distL="114300" distR="114300">
            <wp:extent cx="1834515" cy="1836420"/>
            <wp:effectExtent l="0" t="0" r="13335"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834515" cy="1836420"/>
                    </a:xfrm>
                    <a:prstGeom prst="rect">
                      <a:avLst/>
                    </a:prstGeom>
                  </pic:spPr>
                </pic:pic>
              </a:graphicData>
            </a:graphic>
          </wp:inline>
        </w:drawing>
      </w:r>
    </w:p>
    <w:p w14:paraId="12063F74">
      <w:pPr>
        <w:jc w:val="center"/>
        <w:rPr>
          <w:rFonts w:ascii="楷体" w:hAnsi="楷体" w:eastAsia="楷体" w:cs="楷体"/>
          <w:sz w:val="32"/>
          <w:szCs w:val="32"/>
        </w:rPr>
      </w:pPr>
    </w:p>
    <w:p w14:paraId="19AA8677">
      <w:pPr>
        <w:jc w:val="center"/>
        <w:rPr>
          <w:rFonts w:ascii="楷体" w:hAnsi="楷体" w:eastAsia="楷体" w:cs="楷体"/>
          <w:sz w:val="32"/>
          <w:szCs w:val="32"/>
        </w:rPr>
      </w:pPr>
    </w:p>
    <w:p w14:paraId="28966F28">
      <w:pPr>
        <w:jc w:val="center"/>
        <w:rPr>
          <w:rFonts w:ascii="微软雅黑" w:hAnsi="微软雅黑" w:eastAsia="微软雅黑" w:cs="楷体"/>
          <w:b/>
          <w:sz w:val="32"/>
          <w:szCs w:val="32"/>
        </w:rPr>
      </w:pPr>
    </w:p>
    <w:p w14:paraId="12295000">
      <w:pPr>
        <w:jc w:val="center"/>
        <w:rPr>
          <w:rFonts w:ascii="微软雅黑" w:hAnsi="微软雅黑" w:eastAsia="微软雅黑" w:cs="楷体"/>
          <w:b/>
          <w:sz w:val="32"/>
          <w:szCs w:val="32"/>
        </w:rPr>
      </w:pPr>
      <w:r>
        <w:rPr>
          <w:rFonts w:hint="eastAsia" w:ascii="微软雅黑" w:hAnsi="微软雅黑" w:eastAsia="微软雅黑" w:cs="楷体"/>
          <w:b/>
          <w:sz w:val="32"/>
          <w:szCs w:val="32"/>
        </w:rPr>
        <w:t>机械科学与工程学院</w:t>
      </w:r>
    </w:p>
    <w:p w14:paraId="7C201C2E">
      <w:pPr>
        <w:jc w:val="center"/>
        <w:rPr>
          <w:rFonts w:ascii="微软雅黑" w:hAnsi="微软雅黑" w:eastAsia="微软雅黑" w:cs="楷体"/>
          <w:b/>
          <w:sz w:val="32"/>
          <w:szCs w:val="32"/>
        </w:rPr>
      </w:pPr>
    </w:p>
    <w:p w14:paraId="3BF417DE">
      <w:pPr>
        <w:jc w:val="center"/>
        <w:rPr>
          <w:rFonts w:ascii="微软雅黑" w:hAnsi="微软雅黑" w:eastAsia="微软雅黑" w:cs="楷体"/>
          <w:b/>
          <w:sz w:val="52"/>
          <w:szCs w:val="52"/>
        </w:rPr>
      </w:pPr>
      <w:r>
        <w:rPr>
          <w:rFonts w:hint="eastAsia" w:ascii="微软雅黑" w:hAnsi="微软雅黑" w:eastAsia="微软雅黑" w:cs="楷体"/>
          <w:b/>
          <w:sz w:val="52"/>
          <w:szCs w:val="52"/>
        </w:rPr>
        <w:t>《</w:t>
      </w:r>
      <w:r>
        <w:rPr>
          <w:rFonts w:hint="eastAsia" w:ascii="微软雅黑" w:hAnsi="微软雅黑" w:eastAsia="微软雅黑" w:cs="楷体"/>
          <w:b/>
          <w:sz w:val="52"/>
          <w:szCs w:val="52"/>
          <w:lang w:val="en-US" w:eastAsia="zh-CN"/>
        </w:rPr>
        <w:t>创新项目实践</w:t>
      </w:r>
      <w:r>
        <w:rPr>
          <w:rFonts w:hint="eastAsia" w:ascii="微软雅黑" w:hAnsi="微软雅黑" w:eastAsia="微软雅黑" w:cs="楷体"/>
          <w:b/>
          <w:sz w:val="52"/>
          <w:szCs w:val="52"/>
        </w:rPr>
        <w:t>》</w:t>
      </w:r>
      <w:r>
        <w:rPr>
          <w:rFonts w:hint="eastAsia" w:ascii="微软雅黑" w:hAnsi="微软雅黑" w:eastAsia="微软雅黑" w:cs="楷体"/>
          <w:b/>
          <w:sz w:val="52"/>
          <w:szCs w:val="52"/>
          <w:lang w:val="en-US" w:eastAsia="zh-CN"/>
        </w:rPr>
        <w:t>中期</w:t>
      </w:r>
      <w:r>
        <w:rPr>
          <w:rFonts w:hint="eastAsia" w:ascii="微软雅黑" w:hAnsi="微软雅黑" w:eastAsia="微软雅黑" w:cs="楷体"/>
          <w:b/>
          <w:sz w:val="52"/>
          <w:szCs w:val="52"/>
        </w:rPr>
        <w:t>报告</w:t>
      </w:r>
    </w:p>
    <w:p w14:paraId="29A1D549">
      <w:pPr>
        <w:jc w:val="center"/>
        <w:rPr>
          <w:rFonts w:ascii="微软雅黑" w:hAnsi="微软雅黑" w:eastAsia="微软雅黑" w:cs="楷体"/>
          <w:b/>
          <w:sz w:val="32"/>
          <w:szCs w:val="32"/>
        </w:rPr>
      </w:pPr>
    </w:p>
    <w:p w14:paraId="126B528B">
      <w:pPr>
        <w:jc w:val="center"/>
        <w:rPr>
          <w:rFonts w:ascii="微软雅黑" w:hAnsi="微软雅黑" w:eastAsia="微软雅黑" w:cs="楷体"/>
          <w:b/>
          <w:sz w:val="32"/>
          <w:szCs w:val="32"/>
        </w:rPr>
      </w:pPr>
      <w:r>
        <w:rPr>
          <w:rFonts w:hint="eastAsia" w:ascii="微软雅黑" w:hAnsi="微软雅黑" w:eastAsia="微软雅黑" w:cs="楷体"/>
          <w:b/>
          <w:sz w:val="32"/>
          <w:szCs w:val="32"/>
        </w:rPr>
        <w:t>（题目：</w:t>
      </w:r>
      <w:r>
        <w:rPr>
          <w:rFonts w:hint="eastAsia" w:ascii="微软雅黑" w:hAnsi="微软雅黑" w:eastAsia="微软雅黑" w:cs="楷体"/>
          <w:b/>
          <w:sz w:val="32"/>
          <w:szCs w:val="32"/>
          <w:u w:val="single"/>
        </w:rPr>
        <w:t xml:space="preserve"> </w:t>
      </w:r>
      <w:r>
        <w:rPr>
          <w:rFonts w:ascii="微软雅黑" w:hAnsi="微软雅黑" w:eastAsia="微软雅黑" w:cs="楷体"/>
          <w:b/>
          <w:sz w:val="32"/>
          <w:szCs w:val="32"/>
          <w:u w:val="single"/>
        </w:rPr>
        <w:t xml:space="preserve"> </w:t>
      </w:r>
      <w:r>
        <w:rPr>
          <w:rFonts w:hint="eastAsia" w:ascii="微软雅黑" w:hAnsi="微软雅黑" w:eastAsia="微软雅黑" w:cs="楷体"/>
          <w:b/>
          <w:sz w:val="32"/>
          <w:szCs w:val="32"/>
          <w:u w:val="single"/>
          <w:lang w:val="en-US" w:eastAsia="zh-CN"/>
        </w:rPr>
        <w:t>柔性可穿戴超声的</w:t>
      </w:r>
      <w:bookmarkStart w:id="8" w:name="_GoBack"/>
      <w:bookmarkEnd w:id="8"/>
      <w:r>
        <w:rPr>
          <w:rFonts w:hint="eastAsia" w:ascii="微软雅黑" w:hAnsi="微软雅黑" w:eastAsia="微软雅黑" w:cs="楷体"/>
          <w:b/>
          <w:sz w:val="32"/>
          <w:szCs w:val="32"/>
          <w:u w:val="single"/>
          <w:lang w:val="en-US" w:eastAsia="zh-CN"/>
        </w:rPr>
        <w:t>研究</w:t>
      </w:r>
      <w:r>
        <w:rPr>
          <w:rFonts w:hint="eastAsia" w:ascii="微软雅黑" w:hAnsi="微软雅黑" w:eastAsia="微软雅黑" w:cs="楷体"/>
          <w:b/>
          <w:sz w:val="32"/>
          <w:szCs w:val="32"/>
        </w:rPr>
        <w:t>）</w:t>
      </w:r>
    </w:p>
    <w:p w14:paraId="1EE09F14">
      <w:pPr>
        <w:pBdr>
          <w:top w:val="none" w:color="auto" w:sz="0" w:space="0"/>
          <w:left w:val="none" w:color="auto" w:sz="0" w:space="0"/>
          <w:bottom w:val="none" w:color="auto" w:sz="0" w:space="0"/>
          <w:right w:val="none" w:color="auto" w:sz="0" w:space="0"/>
          <w:between w:val="none" w:color="auto" w:sz="0" w:space="0"/>
        </w:pBdr>
        <w:spacing w:line="324" w:lineRule="auto"/>
        <w:jc w:val="center"/>
        <w:rPr>
          <w:rFonts w:ascii="楷体" w:hAnsi="楷体" w:eastAsia="楷体" w:cs="楷体"/>
          <w:color w:val="auto"/>
          <w:sz w:val="44"/>
          <w:szCs w:val="44"/>
        </w:rPr>
      </w:pPr>
    </w:p>
    <w:p w14:paraId="76727BAA">
      <w:pPr>
        <w:pBdr>
          <w:top w:val="none" w:color="auto" w:sz="0" w:space="0"/>
          <w:left w:val="none" w:color="auto" w:sz="0" w:space="0"/>
          <w:bottom w:val="none" w:color="auto" w:sz="0" w:space="0"/>
          <w:right w:val="none" w:color="auto" w:sz="0" w:space="0"/>
          <w:between w:val="none" w:color="auto" w:sz="0" w:space="0"/>
        </w:pBdr>
        <w:spacing w:line="324" w:lineRule="auto"/>
        <w:jc w:val="center"/>
        <w:rPr>
          <w:rFonts w:ascii="楷体" w:hAnsi="楷体" w:eastAsia="楷体" w:cs="楷体"/>
          <w:color w:val="auto"/>
          <w:sz w:val="44"/>
          <w:szCs w:val="44"/>
        </w:rPr>
      </w:pPr>
    </w:p>
    <w:p w14:paraId="289EE615">
      <w:pPr>
        <w:pBdr>
          <w:top w:val="none" w:color="auto" w:sz="0" w:space="0"/>
          <w:left w:val="none" w:color="auto" w:sz="0" w:space="0"/>
          <w:bottom w:val="none" w:color="auto" w:sz="0" w:space="0"/>
          <w:right w:val="none" w:color="auto" w:sz="0" w:space="0"/>
          <w:between w:val="none" w:color="auto" w:sz="0" w:space="0"/>
        </w:pBdr>
        <w:spacing w:line="324" w:lineRule="auto"/>
        <w:jc w:val="center"/>
        <w:rPr>
          <w:rFonts w:ascii="楷体" w:hAnsi="楷体" w:eastAsia="楷体" w:cs="楷体"/>
          <w:color w:val="auto"/>
          <w:sz w:val="44"/>
          <w:szCs w:val="44"/>
        </w:rPr>
      </w:pPr>
    </w:p>
    <w:tbl>
      <w:tblPr>
        <w:tblStyle w:val="7"/>
        <w:tblW w:w="6525" w:type="dxa"/>
        <w:jc w:val="center"/>
        <w:tblLayout w:type="autofit"/>
        <w:tblCellMar>
          <w:top w:w="0" w:type="dxa"/>
          <w:left w:w="108" w:type="dxa"/>
          <w:bottom w:w="0" w:type="dxa"/>
          <w:right w:w="108" w:type="dxa"/>
        </w:tblCellMar>
      </w:tblPr>
      <w:tblGrid>
        <w:gridCol w:w="1696"/>
        <w:gridCol w:w="4829"/>
      </w:tblGrid>
      <w:tr w14:paraId="14643591">
        <w:tblPrEx>
          <w:tblCellMar>
            <w:top w:w="0" w:type="dxa"/>
            <w:left w:w="108" w:type="dxa"/>
            <w:bottom w:w="0" w:type="dxa"/>
            <w:right w:w="108" w:type="dxa"/>
          </w:tblCellMar>
        </w:tblPrEx>
        <w:trPr>
          <w:trHeight w:val="611" w:hRule="atLeast"/>
          <w:jc w:val="center"/>
        </w:trPr>
        <w:tc>
          <w:tcPr>
            <w:tcW w:w="1696" w:type="dxa"/>
          </w:tcPr>
          <w:p w14:paraId="00D38C5C">
            <w:pPr>
              <w:pBdr>
                <w:top w:val="none" w:color="auto" w:sz="0" w:space="0"/>
                <w:left w:val="none" w:color="auto" w:sz="0" w:space="0"/>
                <w:bottom w:val="none" w:color="auto" w:sz="0" w:space="0"/>
                <w:right w:val="none" w:color="auto" w:sz="0" w:space="0"/>
                <w:between w:val="none" w:color="auto" w:sz="0" w:space="0"/>
              </w:pBdr>
              <w:spacing w:line="324" w:lineRule="auto"/>
              <w:rPr>
                <w:rFonts w:ascii="微软雅黑" w:hAnsi="微软雅黑" w:eastAsia="微软雅黑" w:cs="楷体"/>
                <w:b/>
                <w:color w:val="auto"/>
                <w:sz w:val="28"/>
                <w:szCs w:val="28"/>
              </w:rPr>
            </w:pPr>
            <w:r>
              <w:rPr>
                <w:rFonts w:hint="eastAsia" w:ascii="微软雅黑" w:hAnsi="微软雅黑" w:eastAsia="微软雅黑" w:cs="楷体"/>
                <w:b/>
                <w:color w:val="auto"/>
                <w:sz w:val="28"/>
                <w:szCs w:val="28"/>
              </w:rPr>
              <w:t xml:space="preserve">姓 </w:t>
            </w:r>
            <w:r>
              <w:rPr>
                <w:rFonts w:ascii="微软雅黑" w:hAnsi="微软雅黑" w:eastAsia="微软雅黑" w:cs="楷体"/>
                <w:b/>
                <w:color w:val="auto"/>
                <w:sz w:val="28"/>
                <w:szCs w:val="28"/>
              </w:rPr>
              <w:t xml:space="preserve">     </w:t>
            </w:r>
            <w:r>
              <w:rPr>
                <w:rFonts w:hint="eastAsia" w:ascii="微软雅黑" w:hAnsi="微软雅黑" w:eastAsia="微软雅黑" w:cs="楷体"/>
                <w:b/>
                <w:color w:val="auto"/>
                <w:sz w:val="28"/>
                <w:szCs w:val="28"/>
              </w:rPr>
              <w:t>名</w:t>
            </w:r>
          </w:p>
        </w:tc>
        <w:tc>
          <w:tcPr>
            <w:tcW w:w="4829" w:type="dxa"/>
          </w:tcPr>
          <w:p w14:paraId="5F6F3254">
            <w:pPr>
              <w:pBdr>
                <w:top w:val="none" w:color="auto" w:sz="0" w:space="0"/>
                <w:left w:val="none" w:color="auto" w:sz="0" w:space="0"/>
                <w:bottom w:val="none" w:color="auto" w:sz="0" w:space="0"/>
                <w:right w:val="none" w:color="auto" w:sz="0" w:space="0"/>
                <w:between w:val="none" w:color="auto" w:sz="0" w:space="0"/>
              </w:pBdr>
              <w:spacing w:line="324" w:lineRule="auto"/>
              <w:rPr>
                <w:rFonts w:hint="eastAsia" w:ascii="楷体" w:hAnsi="楷体" w:eastAsia="楷体" w:cs="楷体"/>
                <w:color w:val="auto"/>
                <w:sz w:val="28"/>
                <w:szCs w:val="28"/>
                <w:lang w:val="en-US" w:eastAsia="zh-CN"/>
              </w:rPr>
            </w:pPr>
            <w:r>
              <w:rPr>
                <w:rFonts w:hint="eastAsia" w:ascii="楷体" w:hAnsi="楷体" w:eastAsia="楷体" w:cs="楷体"/>
                <w:color w:val="auto"/>
                <w:sz w:val="28"/>
                <w:szCs w:val="28"/>
                <w:lang w:val="en-US" w:eastAsia="zh-CN"/>
              </w:rPr>
              <w:t>高雨瑄</w:t>
            </w:r>
          </w:p>
        </w:tc>
      </w:tr>
      <w:tr w14:paraId="5B88585F">
        <w:tblPrEx>
          <w:tblCellMar>
            <w:top w:w="0" w:type="dxa"/>
            <w:left w:w="108" w:type="dxa"/>
            <w:bottom w:w="0" w:type="dxa"/>
            <w:right w:w="108" w:type="dxa"/>
          </w:tblCellMar>
        </w:tblPrEx>
        <w:trPr>
          <w:jc w:val="center"/>
        </w:trPr>
        <w:tc>
          <w:tcPr>
            <w:tcW w:w="1696" w:type="dxa"/>
          </w:tcPr>
          <w:p w14:paraId="3F0D9F28">
            <w:pPr>
              <w:pBdr>
                <w:top w:val="none" w:color="auto" w:sz="0" w:space="0"/>
                <w:left w:val="none" w:color="auto" w:sz="0" w:space="0"/>
                <w:bottom w:val="none" w:color="auto" w:sz="0" w:space="0"/>
                <w:right w:val="none" w:color="auto" w:sz="0" w:space="0"/>
                <w:between w:val="none" w:color="auto" w:sz="0" w:space="0"/>
              </w:pBdr>
              <w:spacing w:line="324" w:lineRule="auto"/>
              <w:rPr>
                <w:rFonts w:ascii="微软雅黑" w:hAnsi="微软雅黑" w:eastAsia="微软雅黑" w:cs="楷体"/>
                <w:b/>
                <w:color w:val="auto"/>
                <w:sz w:val="28"/>
                <w:szCs w:val="28"/>
              </w:rPr>
            </w:pPr>
            <w:r>
              <w:rPr>
                <w:rFonts w:hint="eastAsia" w:ascii="微软雅黑" w:hAnsi="微软雅黑" w:eastAsia="微软雅黑" w:cs="楷体"/>
                <w:b/>
                <w:color w:val="auto"/>
                <w:sz w:val="28"/>
                <w:szCs w:val="28"/>
              </w:rPr>
              <w:t xml:space="preserve">班 </w:t>
            </w:r>
            <w:r>
              <w:rPr>
                <w:rFonts w:ascii="微软雅黑" w:hAnsi="微软雅黑" w:eastAsia="微软雅黑" w:cs="楷体"/>
                <w:b/>
                <w:color w:val="auto"/>
                <w:sz w:val="28"/>
                <w:szCs w:val="28"/>
              </w:rPr>
              <w:t xml:space="preserve">     </w:t>
            </w:r>
            <w:r>
              <w:rPr>
                <w:rFonts w:hint="eastAsia" w:ascii="微软雅黑" w:hAnsi="微软雅黑" w:eastAsia="微软雅黑" w:cs="楷体"/>
                <w:b/>
                <w:color w:val="auto"/>
                <w:sz w:val="28"/>
                <w:szCs w:val="28"/>
              </w:rPr>
              <w:t>级</w:t>
            </w:r>
          </w:p>
        </w:tc>
        <w:tc>
          <w:tcPr>
            <w:tcW w:w="4829" w:type="dxa"/>
          </w:tcPr>
          <w:p w14:paraId="5BFAF72A">
            <w:pPr>
              <w:pBdr>
                <w:top w:val="none" w:color="auto" w:sz="0" w:space="0"/>
                <w:left w:val="none" w:color="auto" w:sz="0" w:space="0"/>
                <w:bottom w:val="none" w:color="auto" w:sz="0" w:space="0"/>
                <w:right w:val="none" w:color="auto" w:sz="0" w:space="0"/>
                <w:between w:val="none" w:color="auto" w:sz="0" w:space="0"/>
              </w:pBdr>
              <w:spacing w:before="120" w:beforeLines="50" w:line="324" w:lineRule="auto"/>
              <w:rPr>
                <w:rFonts w:hint="default" w:ascii="楷体" w:hAnsi="楷体" w:eastAsia="楷体" w:cs="楷体"/>
                <w:color w:val="auto"/>
                <w:sz w:val="28"/>
                <w:szCs w:val="28"/>
                <w:u w:val="single"/>
                <w:lang w:val="en-US" w:eastAsia="zh-CN"/>
              </w:rPr>
            </w:pPr>
            <w:r>
              <w:rPr>
                <w:rFonts w:hint="eastAsia" w:ascii="楷体" w:hAnsi="楷体" w:eastAsia="楷体" w:cs="楷体"/>
                <w:color w:val="auto"/>
                <w:sz w:val="28"/>
                <w:szCs w:val="28"/>
                <w:u w:val="single"/>
                <w:lang w:val="en-US" w:eastAsia="zh-CN"/>
              </w:rPr>
              <w:t>机械本硕博2201班</w:t>
            </w:r>
          </w:p>
        </w:tc>
      </w:tr>
      <w:tr w14:paraId="29C0AE77">
        <w:tblPrEx>
          <w:tblCellMar>
            <w:top w:w="0" w:type="dxa"/>
            <w:left w:w="108" w:type="dxa"/>
            <w:bottom w:w="0" w:type="dxa"/>
            <w:right w:w="108" w:type="dxa"/>
          </w:tblCellMar>
        </w:tblPrEx>
        <w:trPr>
          <w:jc w:val="center"/>
        </w:trPr>
        <w:tc>
          <w:tcPr>
            <w:tcW w:w="1696" w:type="dxa"/>
          </w:tcPr>
          <w:p w14:paraId="0D7DC84B">
            <w:pPr>
              <w:pBdr>
                <w:top w:val="none" w:color="auto" w:sz="0" w:space="0"/>
                <w:left w:val="none" w:color="auto" w:sz="0" w:space="0"/>
                <w:bottom w:val="none" w:color="auto" w:sz="0" w:space="0"/>
                <w:right w:val="none" w:color="auto" w:sz="0" w:space="0"/>
                <w:between w:val="none" w:color="auto" w:sz="0" w:space="0"/>
              </w:pBdr>
              <w:spacing w:line="324" w:lineRule="auto"/>
              <w:rPr>
                <w:rFonts w:ascii="微软雅黑" w:hAnsi="微软雅黑" w:eastAsia="微软雅黑" w:cs="楷体"/>
                <w:b/>
                <w:color w:val="auto"/>
                <w:sz w:val="28"/>
                <w:szCs w:val="28"/>
              </w:rPr>
            </w:pPr>
            <w:r>
              <w:rPr>
                <w:rFonts w:hint="eastAsia" w:ascii="微软雅黑" w:hAnsi="微软雅黑" w:eastAsia="微软雅黑" w:cs="楷体"/>
                <w:b/>
                <w:color w:val="auto"/>
                <w:sz w:val="28"/>
                <w:szCs w:val="28"/>
              </w:rPr>
              <w:t xml:space="preserve">学 </w:t>
            </w:r>
            <w:r>
              <w:rPr>
                <w:rFonts w:ascii="微软雅黑" w:hAnsi="微软雅黑" w:eastAsia="微软雅黑" w:cs="楷体"/>
                <w:b/>
                <w:color w:val="auto"/>
                <w:sz w:val="28"/>
                <w:szCs w:val="28"/>
              </w:rPr>
              <w:t xml:space="preserve">     </w:t>
            </w:r>
            <w:r>
              <w:rPr>
                <w:rFonts w:hint="eastAsia" w:ascii="微软雅黑" w:hAnsi="微软雅黑" w:eastAsia="微软雅黑" w:cs="楷体"/>
                <w:b/>
                <w:color w:val="auto"/>
                <w:sz w:val="28"/>
                <w:szCs w:val="28"/>
              </w:rPr>
              <w:t>号</w:t>
            </w:r>
          </w:p>
        </w:tc>
        <w:tc>
          <w:tcPr>
            <w:tcW w:w="4829" w:type="dxa"/>
          </w:tcPr>
          <w:p w14:paraId="2388A41F">
            <w:pPr>
              <w:pBdr>
                <w:top w:val="none" w:color="auto" w:sz="0" w:space="0"/>
                <w:left w:val="none" w:color="auto" w:sz="0" w:space="0"/>
                <w:bottom w:val="none" w:color="auto" w:sz="0" w:space="0"/>
                <w:right w:val="none" w:color="auto" w:sz="0" w:space="0"/>
                <w:between w:val="none" w:color="auto" w:sz="0" w:space="0"/>
              </w:pBdr>
              <w:spacing w:line="324" w:lineRule="auto"/>
              <w:rPr>
                <w:rFonts w:hint="default" w:ascii="楷体" w:hAnsi="楷体" w:eastAsia="楷体" w:cs="楷体"/>
                <w:color w:val="auto"/>
                <w:sz w:val="28"/>
                <w:szCs w:val="28"/>
                <w:lang w:val="en-US" w:eastAsia="zh-CN"/>
              </w:rPr>
            </w:pPr>
            <w:r>
              <w:rPr>
                <w:rFonts w:hint="eastAsia" w:ascii="楷体" w:hAnsi="楷体" w:eastAsia="楷体" w:cs="楷体"/>
                <w:color w:val="auto"/>
                <w:sz w:val="28"/>
                <w:szCs w:val="28"/>
                <w:lang w:val="en-US" w:eastAsia="zh-CN"/>
              </w:rPr>
              <w:t>U202210870</w:t>
            </w:r>
          </w:p>
        </w:tc>
      </w:tr>
      <w:tr w14:paraId="7AE60FC2">
        <w:tblPrEx>
          <w:tblCellMar>
            <w:top w:w="0" w:type="dxa"/>
            <w:left w:w="108" w:type="dxa"/>
            <w:bottom w:w="0" w:type="dxa"/>
            <w:right w:w="108" w:type="dxa"/>
          </w:tblCellMar>
        </w:tblPrEx>
        <w:trPr>
          <w:jc w:val="center"/>
        </w:trPr>
        <w:tc>
          <w:tcPr>
            <w:tcW w:w="1696" w:type="dxa"/>
          </w:tcPr>
          <w:p w14:paraId="35B0937E">
            <w:pPr>
              <w:pBdr>
                <w:top w:val="none" w:color="auto" w:sz="0" w:space="0"/>
                <w:left w:val="none" w:color="auto" w:sz="0" w:space="0"/>
                <w:bottom w:val="none" w:color="auto" w:sz="0" w:space="0"/>
                <w:right w:val="none" w:color="auto" w:sz="0" w:space="0"/>
                <w:between w:val="none" w:color="auto" w:sz="0" w:space="0"/>
              </w:pBdr>
              <w:spacing w:line="324" w:lineRule="auto"/>
              <w:rPr>
                <w:rFonts w:ascii="微软雅黑" w:hAnsi="微软雅黑" w:eastAsia="微软雅黑" w:cs="楷体"/>
                <w:b/>
                <w:color w:val="auto"/>
                <w:sz w:val="28"/>
                <w:szCs w:val="28"/>
              </w:rPr>
            </w:pPr>
            <w:r>
              <w:rPr>
                <w:rFonts w:hint="eastAsia" w:ascii="微软雅黑" w:hAnsi="微软雅黑" w:eastAsia="微软雅黑" w:cs="楷体"/>
                <w:b/>
                <w:color w:val="auto"/>
                <w:sz w:val="28"/>
                <w:szCs w:val="28"/>
              </w:rPr>
              <w:t>报告评分</w:t>
            </w:r>
          </w:p>
        </w:tc>
        <w:tc>
          <w:tcPr>
            <w:tcW w:w="4829" w:type="dxa"/>
          </w:tcPr>
          <w:p w14:paraId="0CB3EB59">
            <w:pPr>
              <w:pBdr>
                <w:top w:val="none" w:color="auto" w:sz="0" w:space="0"/>
                <w:left w:val="none" w:color="auto" w:sz="0" w:space="0"/>
                <w:bottom w:val="none" w:color="auto" w:sz="0" w:space="0"/>
                <w:right w:val="none" w:color="auto" w:sz="0" w:space="0"/>
                <w:between w:val="none" w:color="auto" w:sz="0" w:space="0"/>
              </w:pBdr>
              <w:spacing w:line="324" w:lineRule="auto"/>
              <w:rPr>
                <w:rFonts w:ascii="楷体" w:hAnsi="楷体" w:eastAsia="楷体" w:cs="楷体"/>
                <w:color w:val="auto"/>
                <w:sz w:val="28"/>
                <w:szCs w:val="28"/>
              </w:rPr>
            </w:pPr>
          </w:p>
        </w:tc>
      </w:tr>
    </w:tbl>
    <w:p w14:paraId="594F90F6">
      <w:pPr>
        <w:pBdr>
          <w:top w:val="none" w:color="auto" w:sz="0" w:space="0"/>
          <w:left w:val="none" w:color="auto" w:sz="0" w:space="0"/>
          <w:bottom w:val="none" w:color="auto" w:sz="0" w:space="0"/>
          <w:right w:val="none" w:color="auto" w:sz="0" w:space="0"/>
          <w:between w:val="none" w:color="auto" w:sz="0" w:space="0"/>
        </w:pBdr>
        <w:spacing w:line="324" w:lineRule="auto"/>
        <w:ind w:firstLine="369"/>
        <w:jc w:val="center"/>
        <w:rPr>
          <w:rFonts w:ascii="楷体" w:hAnsi="楷体" w:eastAsia="楷体" w:cs="楷体"/>
          <w:color w:val="auto"/>
          <w:sz w:val="30"/>
          <w:szCs w:val="30"/>
        </w:rPr>
      </w:pPr>
    </w:p>
    <w:p w14:paraId="1F25DFF9">
      <w:pPr>
        <w:pBdr>
          <w:top w:val="none" w:color="auto" w:sz="0" w:space="0"/>
          <w:left w:val="none" w:color="auto" w:sz="0" w:space="0"/>
          <w:bottom w:val="none" w:color="auto" w:sz="0" w:space="0"/>
          <w:right w:val="none" w:color="auto" w:sz="0" w:space="0"/>
          <w:between w:val="none" w:color="auto" w:sz="0" w:space="0"/>
        </w:pBdr>
        <w:spacing w:line="324" w:lineRule="auto"/>
        <w:ind w:firstLine="369"/>
        <w:jc w:val="center"/>
        <w:rPr>
          <w:rFonts w:hint="default" w:ascii="楷体" w:hAnsi="楷体" w:eastAsia="楷体" w:cs="楷体"/>
          <w:color w:val="auto"/>
          <w:sz w:val="28"/>
          <w:szCs w:val="30"/>
          <w:lang w:val="en-US" w:eastAsia="zh-CN"/>
        </w:rPr>
      </w:pPr>
      <w:r>
        <w:rPr>
          <w:rFonts w:hint="eastAsia" w:ascii="楷体" w:hAnsi="楷体" w:eastAsia="楷体" w:cs="楷体"/>
          <w:color w:val="auto"/>
          <w:sz w:val="28"/>
          <w:szCs w:val="30"/>
        </w:rPr>
        <w:t>20</w:t>
      </w:r>
      <w:r>
        <w:rPr>
          <w:rFonts w:ascii="楷体" w:hAnsi="楷体" w:eastAsia="楷体" w:cs="楷体"/>
          <w:color w:val="auto"/>
          <w:sz w:val="28"/>
          <w:szCs w:val="30"/>
        </w:rPr>
        <w:t>2</w:t>
      </w:r>
      <w:r>
        <w:rPr>
          <w:rFonts w:hint="eastAsia" w:ascii="楷体" w:hAnsi="楷体" w:eastAsia="楷体" w:cs="楷体"/>
          <w:color w:val="auto"/>
          <w:sz w:val="28"/>
          <w:szCs w:val="30"/>
          <w:lang w:val="en-US" w:eastAsia="zh-CN"/>
        </w:rPr>
        <w:t>4</w:t>
      </w:r>
      <w:r>
        <w:rPr>
          <w:rFonts w:hint="eastAsia" w:ascii="楷体" w:hAnsi="楷体" w:eastAsia="楷体" w:cs="楷体"/>
          <w:color w:val="auto"/>
          <w:sz w:val="28"/>
          <w:szCs w:val="30"/>
        </w:rPr>
        <w:t>年</w:t>
      </w:r>
      <w:r>
        <w:rPr>
          <w:rFonts w:hint="eastAsia" w:ascii="楷体" w:hAnsi="楷体" w:eastAsia="楷体" w:cs="楷体"/>
          <w:color w:val="auto"/>
          <w:sz w:val="28"/>
          <w:szCs w:val="30"/>
          <w:lang w:val="en-US" w:eastAsia="zh-CN"/>
        </w:rPr>
        <w:t>1</w:t>
      </w:r>
      <w:r>
        <w:rPr>
          <w:rFonts w:hint="eastAsia" w:ascii="楷体" w:hAnsi="楷体" w:eastAsia="楷体" w:cs="楷体"/>
          <w:color w:val="auto"/>
          <w:sz w:val="28"/>
          <w:szCs w:val="30"/>
        </w:rPr>
        <w:t>月</w:t>
      </w:r>
      <w:r>
        <w:rPr>
          <w:rFonts w:hint="eastAsia" w:ascii="楷体" w:hAnsi="楷体" w:eastAsia="楷体" w:cs="楷体"/>
          <w:color w:val="auto"/>
          <w:sz w:val="28"/>
          <w:szCs w:val="30"/>
          <w:lang w:val="en-US" w:eastAsia="zh-CN"/>
        </w:rPr>
        <w:t>12日</w:t>
      </w:r>
    </w:p>
    <w:p w14:paraId="229E7407">
      <w:pPr>
        <w:spacing w:line="324" w:lineRule="auto"/>
        <w:jc w:val="center"/>
        <w:rPr>
          <w:rFonts w:ascii="Times New Roman" w:hAnsi="Times New Roman" w:eastAsia="楷体_GB2312" w:cs="Times New Roman"/>
          <w:b/>
          <w:color w:val="auto"/>
          <w:kern w:val="0"/>
          <w:sz w:val="28"/>
          <w:szCs w:val="24"/>
        </w:rPr>
      </w:pPr>
      <w:r>
        <w:rPr>
          <w:rFonts w:ascii="Times New Roman" w:hAnsi="Times New Roman" w:eastAsia="楷体_GB2312" w:cs="Times New Roman"/>
          <w:b/>
          <w:color w:val="auto"/>
          <w:kern w:val="0"/>
          <w:sz w:val="28"/>
          <w:szCs w:val="24"/>
        </w:rPr>
        <w:br w:type="page"/>
      </w:r>
    </w:p>
    <w:p w14:paraId="0DA541D7">
      <w:pPr>
        <w:spacing w:line="324" w:lineRule="auto"/>
        <w:jc w:val="left"/>
        <w:rPr>
          <w:rFonts w:ascii="黑体" w:hAnsi="黑体" w:eastAsia="PMingLiU" w:cs="宋体"/>
          <w:sz w:val="28"/>
          <w:szCs w:val="28"/>
          <w:lang w:val="zh-TW" w:eastAsia="zh-TW"/>
        </w:rPr>
      </w:pPr>
    </w:p>
    <w:p w14:paraId="1CC9A80E">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宋体" w:hAnsi="宋体" w:eastAsia="宋体" w:cs="宋体"/>
          <w:sz w:val="24"/>
          <w:szCs w:val="24"/>
          <w:lang w:val="zh-TW" w:eastAsia="zh-TW"/>
        </w:rPr>
      </w:pPr>
      <w:r>
        <w:rPr>
          <w:rFonts w:ascii="黑体" w:hAnsi="黑体" w:eastAsia="黑体" w:cs="宋体"/>
          <w:sz w:val="28"/>
          <w:szCs w:val="28"/>
          <w:lang w:val="zh-TW" w:eastAsia="zh-TW"/>
        </w:rPr>
        <w:t>摘要</w:t>
      </w:r>
    </w:p>
    <w:p w14:paraId="29B87B9F">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ascii="宋体" w:hAnsi="宋体" w:eastAsia="PMingLiU" w:cs="宋体"/>
          <w:b/>
          <w:bCs/>
          <w:sz w:val="24"/>
          <w:szCs w:val="24"/>
          <w:lang w:val="zh-TW" w:eastAsia="zh-TW"/>
        </w:rPr>
      </w:pPr>
      <w:r>
        <w:rPr>
          <w:rFonts w:hint="eastAsia" w:ascii="宋体" w:hAnsi="宋体" w:eastAsia="宋体" w:cs="宋体"/>
          <w:color w:val="auto"/>
          <w:sz w:val="24"/>
          <w:szCs w:val="24"/>
        </w:rPr>
        <w:t>超声成像因其高分辨率、低成本、无辐射和实时性强等优势，成为医学成像的重要工具。然而，传统超声设备刚性探头的局限性限制了其在长期健康监测中的应用。近年来，柔性可穿戴超声传感器的兴起，为解决这一问题提供了新思路。这种传感器可紧密贴合人体皮肤，适应动态生理变化，实现实时监测深层组织的结构和功能，显著提升了超声技术的灵活性与可持续性。本文旨在通过柔性电极的设计优化与性能评估，探索其在生物电信号采集和健康管理中的应用潜力，特别是在个性化医疗和疾病早期诊断中的重要作用。本</w:t>
      </w:r>
      <w:r>
        <w:rPr>
          <w:rFonts w:hint="eastAsia" w:ascii="宋体" w:hAnsi="宋体" w:eastAsia="宋体" w:cs="宋体"/>
          <w:color w:val="auto"/>
          <w:sz w:val="24"/>
          <w:szCs w:val="24"/>
          <w:lang w:val="en-US" w:eastAsia="zh-CN"/>
        </w:rPr>
        <w:t>文</w:t>
      </w:r>
      <w:r>
        <w:rPr>
          <w:rFonts w:hint="eastAsia" w:ascii="宋体" w:hAnsi="宋体" w:eastAsia="宋体" w:cs="宋体"/>
          <w:color w:val="auto"/>
          <w:sz w:val="24"/>
          <w:szCs w:val="24"/>
        </w:rPr>
        <w:t>主要包括以下内容：一是调研柔性电极在生物电信号采集中的关键技术；二是评估柔性电极在不同生物组织中的信号采集性能及生物相容性；三是优化柔性电极的设计，提高其信号采集效率和安全性。</w:t>
      </w:r>
    </w:p>
    <w:p w14:paraId="3292EE5A">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宋体" w:hAnsi="宋体" w:eastAsia="宋体" w:cs="宋体"/>
          <w:b w:val="0"/>
          <w:bCs w:val="0"/>
          <w:sz w:val="24"/>
          <w:szCs w:val="24"/>
        </w:rPr>
      </w:pPr>
      <w:r>
        <w:rPr>
          <w:rFonts w:hint="eastAsia" w:ascii="宋体" w:hAnsi="宋体" w:eastAsia="宋体" w:cs="宋体"/>
          <w:b/>
          <w:bCs/>
          <w:sz w:val="24"/>
          <w:szCs w:val="24"/>
          <w:lang w:val="en-US" w:eastAsia="zh-CN"/>
        </w:rPr>
        <w:t>关键词：</w:t>
      </w:r>
      <w:r>
        <w:rPr>
          <w:rFonts w:hint="eastAsia" w:ascii="宋体" w:hAnsi="宋体" w:eastAsia="宋体" w:cs="宋体"/>
          <w:b w:val="0"/>
          <w:bCs w:val="0"/>
          <w:sz w:val="24"/>
          <w:szCs w:val="24"/>
        </w:rPr>
        <w:t>柔性超声传感器；可穿戴设备；生物相容性；健康监测；</w:t>
      </w:r>
    </w:p>
    <w:p w14:paraId="27FF52F0">
      <w:pPr>
        <w:spacing w:line="324" w:lineRule="auto"/>
        <w:rPr>
          <w:rFonts w:ascii="宋体" w:hAnsi="宋体" w:eastAsia="PMingLiU" w:cs="宋体"/>
          <w:sz w:val="24"/>
          <w:szCs w:val="24"/>
          <w:lang w:val="zh-TW" w:eastAsia="zh-TW"/>
        </w:rPr>
      </w:pPr>
    </w:p>
    <w:p w14:paraId="616E1FCE">
      <w:pPr>
        <w:keepNext w:val="0"/>
        <w:keepLines w:val="0"/>
        <w:pageBreakBefore w:val="0"/>
        <w:numPr>
          <w:ilvl w:val="0"/>
          <w:numId w:val="2"/>
        </w:numPr>
        <w:kinsoku/>
        <w:wordWrap/>
        <w:overflowPunct/>
        <w:topLinePunct w:val="0"/>
        <w:autoSpaceDE/>
        <w:autoSpaceDN/>
        <w:bidi w:val="0"/>
        <w:adjustRightInd/>
        <w:snapToGrid/>
        <w:spacing w:beforeAutospacing="0" w:afterAutospacing="0" w:line="360" w:lineRule="auto"/>
        <w:textAlignment w:val="auto"/>
        <w:rPr>
          <w:rFonts w:hint="eastAsia" w:ascii="宋体" w:hAnsi="宋体" w:eastAsia="宋体" w:cs="宋体"/>
          <w:b/>
          <w:bCs/>
          <w:color w:val="auto"/>
          <w:sz w:val="28"/>
          <w:szCs w:val="28"/>
        </w:rPr>
      </w:pPr>
      <w:bookmarkStart w:id="0" w:name="_Toc295894311"/>
      <w:r>
        <w:rPr>
          <w:rFonts w:hint="eastAsia" w:ascii="宋体" w:hAnsi="宋体" w:eastAsia="宋体" w:cs="宋体"/>
          <w:b/>
          <w:bCs/>
          <w:color w:val="auto"/>
          <w:sz w:val="28"/>
          <w:szCs w:val="28"/>
          <w:lang w:val="en-US" w:eastAsia="zh-CN"/>
        </w:rPr>
        <w:t>研究目的和意义</w:t>
      </w:r>
    </w:p>
    <w:p w14:paraId="628AA384">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rPr>
        <w:t>在医学领域，常用的内部组织成像方式包括超声成像、X射线成像、计算机断层扫描（CT）和磁共振成像（MRI）。其中，X射线和CT采用放射性X射线进行成像，长期使用会增加癌症风险。MRI则成本较高，检查时间较长。相比之下，超声成像具有高分辨率、低成本、实时性强、无辐射和高安全性等优点</w:t>
      </w:r>
      <w:r>
        <w:rPr>
          <w:rFonts w:hint="eastAsia" w:ascii="Times New Roman" w:hAnsi="Times New Roman" w:eastAsia="宋体" w:cs="Times New Roman"/>
          <w:color w:val="auto"/>
          <w:sz w:val="24"/>
          <w:szCs w:val="24"/>
          <w:vertAlign w:val="superscript"/>
          <w:lang w:eastAsia="zh-CN"/>
        </w:rPr>
        <w:fldChar w:fldCharType="begin"/>
      </w:r>
      <w:r>
        <w:rPr>
          <w:rFonts w:hint="eastAsia" w:ascii="Times New Roman" w:hAnsi="Times New Roman" w:eastAsia="宋体" w:cs="Times New Roman"/>
          <w:color w:val="auto"/>
          <w:sz w:val="24"/>
          <w:szCs w:val="24"/>
          <w:vertAlign w:val="superscript"/>
          <w:lang w:eastAsia="zh-CN"/>
        </w:rPr>
        <w:instrText xml:space="preserve"> REF _Ref22723 \r \h </w:instrText>
      </w:r>
      <w:r>
        <w:rPr>
          <w:rFonts w:hint="eastAsia" w:ascii="Times New Roman" w:hAnsi="Times New Roman" w:eastAsia="宋体" w:cs="Times New Roman"/>
          <w:color w:val="auto"/>
          <w:sz w:val="24"/>
          <w:szCs w:val="24"/>
          <w:vertAlign w:val="superscript"/>
          <w:lang w:eastAsia="zh-CN"/>
        </w:rPr>
        <w:fldChar w:fldCharType="separate"/>
      </w:r>
      <w:r>
        <w:rPr>
          <w:rFonts w:hint="eastAsia" w:ascii="Times New Roman" w:hAnsi="Times New Roman" w:eastAsia="宋体" w:cs="Times New Roman"/>
          <w:color w:val="auto"/>
          <w:sz w:val="24"/>
          <w:szCs w:val="24"/>
          <w:vertAlign w:val="superscript"/>
          <w:lang w:eastAsia="zh-CN"/>
        </w:rPr>
        <w:t>[1]</w:t>
      </w:r>
      <w:r>
        <w:rPr>
          <w:rFonts w:hint="eastAsia" w:ascii="Times New Roman" w:hAnsi="Times New Roman" w:eastAsia="宋体" w:cs="Times New Roman"/>
          <w:color w:val="auto"/>
          <w:sz w:val="24"/>
          <w:szCs w:val="24"/>
          <w:vertAlign w:val="superscript"/>
          <w:lang w:eastAsia="zh-CN"/>
        </w:rPr>
        <w:fldChar w:fldCharType="end"/>
      </w:r>
      <w:r>
        <w:rPr>
          <w:rFonts w:hint="eastAsia" w:ascii="Times New Roman" w:hAnsi="Times New Roman" w:eastAsia="宋体" w:cs="Times New Roman"/>
          <w:color w:val="auto"/>
          <w:sz w:val="24"/>
          <w:szCs w:val="24"/>
          <w:vertAlign w:val="superscript"/>
          <w:lang w:eastAsia="zh-CN"/>
        </w:rPr>
        <w:fldChar w:fldCharType="begin"/>
      </w:r>
      <w:r>
        <w:rPr>
          <w:rFonts w:hint="eastAsia" w:ascii="Times New Roman" w:hAnsi="Times New Roman" w:eastAsia="宋体" w:cs="Times New Roman"/>
          <w:color w:val="auto"/>
          <w:sz w:val="24"/>
          <w:szCs w:val="24"/>
          <w:vertAlign w:val="superscript"/>
          <w:lang w:eastAsia="zh-CN"/>
        </w:rPr>
        <w:instrText xml:space="preserve"> REF _Ref22753 \r \h </w:instrText>
      </w:r>
      <w:r>
        <w:rPr>
          <w:rFonts w:hint="eastAsia" w:ascii="Times New Roman" w:hAnsi="Times New Roman" w:eastAsia="宋体" w:cs="Times New Roman"/>
          <w:color w:val="auto"/>
          <w:sz w:val="24"/>
          <w:szCs w:val="24"/>
          <w:vertAlign w:val="superscript"/>
          <w:lang w:eastAsia="zh-CN"/>
        </w:rPr>
        <w:fldChar w:fldCharType="separate"/>
      </w:r>
      <w:r>
        <w:rPr>
          <w:rFonts w:hint="eastAsia" w:ascii="Times New Roman" w:hAnsi="Times New Roman" w:eastAsia="宋体" w:cs="Times New Roman"/>
          <w:color w:val="auto"/>
          <w:sz w:val="24"/>
          <w:szCs w:val="24"/>
          <w:vertAlign w:val="superscript"/>
          <w:lang w:eastAsia="zh-CN"/>
        </w:rPr>
        <w:t>[2]</w:t>
      </w:r>
      <w:r>
        <w:rPr>
          <w:rFonts w:hint="eastAsia" w:ascii="Times New Roman" w:hAnsi="Times New Roman" w:eastAsia="宋体" w:cs="Times New Roman"/>
          <w:color w:val="auto"/>
          <w:sz w:val="24"/>
          <w:szCs w:val="24"/>
          <w:vertAlign w:val="superscript"/>
          <w:lang w:eastAsia="zh-CN"/>
        </w:rPr>
        <w:fldChar w:fldCharType="end"/>
      </w:r>
      <w:r>
        <w:rPr>
          <w:rFonts w:hint="eastAsia" w:ascii="Times New Roman" w:hAnsi="Times New Roman" w:eastAsia="宋体" w:cs="Times New Roman"/>
          <w:color w:val="auto"/>
          <w:sz w:val="24"/>
          <w:szCs w:val="24"/>
        </w:rPr>
        <w:t>。然而，传统超声成像设备使用刚性探头，需要在探头与皮肤之间填充耦合剂以提高成像质量，同时需要依赖专业人员操作，灵活性差，无法进行长期监测。</w:t>
      </w:r>
    </w:p>
    <w:p w14:paraId="016D989E">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eastAsia="宋体" w:cs="Times New Roman"/>
          <w:color w:val="auto"/>
          <w:sz w:val="24"/>
          <w:szCs w:val="24"/>
        </w:rPr>
      </w:pPr>
      <w:r>
        <w:rPr>
          <w:rFonts w:hint="eastAsia" w:ascii="Times New Roman" w:hAnsi="Times New Roman" w:eastAsia="宋体" w:cs="Times New Roman"/>
          <w:color w:val="auto"/>
          <w:sz w:val="24"/>
          <w:szCs w:val="24"/>
          <w:lang w:val="en-US" w:eastAsia="zh-CN"/>
        </w:rPr>
        <w:t>为</w:t>
      </w:r>
      <w:r>
        <w:rPr>
          <w:rFonts w:hint="eastAsia" w:ascii="Times New Roman" w:hAnsi="Times New Roman" w:eastAsia="宋体" w:cs="Times New Roman"/>
          <w:color w:val="auto"/>
          <w:sz w:val="24"/>
          <w:szCs w:val="24"/>
        </w:rPr>
        <w:t>了解决这些问题，近年来，柔性可穿戴超声传感器的研究逐渐兴起。这种新型传感器能够紧密贴合人体皮肤表面，具有较好的灵活性和伸缩性，能够适应皮肤表面和人体运动的变化。柔性超声传感器不仅能够提供非入侵性的监测功能，还能够实时监测深层组织的结构和功能，从而获得更全面的生理信息。这一技术的创新使得超声成像不仅能够在常规的诊断中提供高质量的图像，还能够在患者日常生活中进行长期、持续的监测，尤其适合慢性疾病的管理和健康监测。与传统的超声成像设备相比，柔性可穿戴超声传感器显著提升了成像设备的舒适度、灵活性和可持续性，使得超声技术能够更加广泛地应用于长期健康管理、早期疾病检测和个性化医疗等领域。</w:t>
      </w:r>
    </w:p>
    <w:p w14:paraId="148BC13B">
      <w:pPr>
        <w:keepNext w:val="0"/>
        <w:keepLines w:val="0"/>
        <w:pageBreakBefore w:val="0"/>
        <w:numPr>
          <w:ilvl w:val="0"/>
          <w:numId w:val="2"/>
        </w:numPr>
        <w:kinsoku/>
        <w:wordWrap/>
        <w:overflowPunct/>
        <w:topLinePunct w:val="0"/>
        <w:autoSpaceDE/>
        <w:autoSpaceDN/>
        <w:bidi w:val="0"/>
        <w:adjustRightInd/>
        <w:snapToGrid/>
        <w:spacing w:beforeAutospacing="0" w:afterAutospacing="0" w:line="360" w:lineRule="auto"/>
        <w:ind w:left="0" w:leftChars="0" w:firstLine="0" w:firstLineChars="0"/>
        <w:textAlignment w:val="auto"/>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主要研究内容</w:t>
      </w:r>
    </w:p>
    <w:p w14:paraId="0FE6970D">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首先，通过广泛阅读相关文献，深入了解可穿戴超声设备的结构设计、工作原理及其应用，尤其是与柔性电极相关的测试方法。通过调研现有的研究成果，我将掌握柔性电极在生物电信号采集中的关键技术，包括电极材料的选择、设计方法以及信号采集性能的评估标准。了解这些理论基础之后，我能够为后续的实验设计提供理论依据，确保实验方案能够切实验证柔性电极在实际应用中的优势与挑战。</w:t>
      </w:r>
    </w:p>
    <w:p w14:paraId="4E497469">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宋体"/>
          <w:color w:val="auto"/>
          <w:sz w:val="24"/>
          <w:szCs w:val="24"/>
        </w:rPr>
      </w:pPr>
      <w:r>
        <w:rPr>
          <w:rFonts w:hint="eastAsia" w:ascii="宋体" w:hAnsi="宋体" w:eastAsia="宋体" w:cs="宋体"/>
          <w:color w:val="auto"/>
          <w:sz w:val="24"/>
          <w:szCs w:val="24"/>
          <w:lang w:val="en-US" w:eastAsia="zh-CN"/>
        </w:rPr>
        <w:t>其次，</w:t>
      </w:r>
      <w:r>
        <w:rPr>
          <w:rFonts w:hint="eastAsia" w:ascii="宋体" w:hAnsi="宋体" w:eastAsia="宋体" w:cs="宋体"/>
          <w:color w:val="auto"/>
          <w:sz w:val="24"/>
          <w:szCs w:val="24"/>
        </w:rPr>
        <w:t>评估柔性电极在不同类型生物组织中的信号采集性能。通过设计实验，测试柔性电极在不同组织的贴合性、适应性和信号采集效率，评估其在复杂生物环境中的表现。通过对比刚性电极，分析柔性电极在减少组织损伤、提高信号质量等方面的优势。</w:t>
      </w:r>
      <w:r>
        <w:rPr>
          <w:rFonts w:hint="eastAsia" w:ascii="宋体" w:hAnsi="宋体" w:eastAsia="宋体" w:cs="宋体"/>
          <w:color w:val="auto"/>
          <w:sz w:val="24"/>
          <w:szCs w:val="24"/>
          <w:lang w:val="en-US" w:eastAsia="zh-CN"/>
        </w:rPr>
        <w:t>并</w:t>
      </w:r>
      <w:r>
        <w:rPr>
          <w:rFonts w:hint="eastAsia" w:ascii="宋体" w:hAnsi="宋体" w:eastAsia="宋体" w:cs="宋体"/>
          <w:color w:val="auto"/>
          <w:sz w:val="24"/>
          <w:szCs w:val="24"/>
        </w:rPr>
        <w:t>评估柔性电极的生物相容性，确保其在长期植入后的安全性。通过这些评估，确保柔性电极能够在长期使用中安全、稳定地与生物体接触。</w:t>
      </w:r>
    </w:p>
    <w:p w14:paraId="45864D45">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rPr>
        <w:t>最后，探索柔性电极的设计优化，改善其信号采集性能和生物相容性。</w:t>
      </w:r>
      <w:r>
        <w:rPr>
          <w:rFonts w:hint="eastAsia" w:ascii="宋体" w:hAnsi="宋体" w:eastAsia="宋体" w:cs="宋体"/>
          <w:color w:val="auto"/>
          <w:sz w:val="24"/>
          <w:szCs w:val="24"/>
          <w:lang w:val="en-US" w:eastAsia="zh-CN"/>
        </w:rPr>
        <w:t>如</w:t>
      </w:r>
      <w:r>
        <w:rPr>
          <w:rFonts w:hint="eastAsia" w:ascii="宋体" w:hAnsi="宋体" w:eastAsia="宋体" w:cs="宋体"/>
          <w:color w:val="auto"/>
          <w:sz w:val="24"/>
          <w:szCs w:val="24"/>
        </w:rPr>
        <w:t>材料的选择、表面处理、形状设计等方面的优化，提升电极的灵活性、耐用性以及与组织的亲和力。通过这些优化，不仅能够提升柔性电极的功能性，还能够增加其在实际医疗和健康监测中的应用前景，为未来的个性化医疗和疾病早期诊断提供更可靠的技术支持。</w:t>
      </w:r>
    </w:p>
    <w:p w14:paraId="028A83FE">
      <w:pPr>
        <w:keepNext w:val="0"/>
        <w:keepLines w:val="0"/>
        <w:pageBreakBefore w:val="0"/>
        <w:numPr>
          <w:ilvl w:val="0"/>
          <w:numId w:val="2"/>
        </w:numPr>
        <w:kinsoku/>
        <w:wordWrap/>
        <w:overflowPunct/>
        <w:topLinePunct w:val="0"/>
        <w:autoSpaceDE/>
        <w:autoSpaceDN/>
        <w:bidi w:val="0"/>
        <w:adjustRightInd/>
        <w:snapToGrid/>
        <w:spacing w:beforeAutospacing="0" w:afterAutospacing="0" w:line="360" w:lineRule="auto"/>
        <w:textAlignment w:val="auto"/>
        <w:rPr>
          <w:rFonts w:hint="eastAsia" w:ascii="宋体" w:hAnsi="宋体" w:eastAsia="宋体" w:cs="宋体"/>
          <w:b/>
          <w:bCs/>
          <w:color w:val="auto"/>
          <w:sz w:val="28"/>
          <w:szCs w:val="28"/>
          <w:lang w:val="en-US" w:eastAsia="zh-CN"/>
        </w:rPr>
      </w:pPr>
      <w:r>
        <w:rPr>
          <w:rFonts w:hint="eastAsia" w:ascii="宋体" w:hAnsi="宋体" w:eastAsia="宋体" w:cs="宋体"/>
          <w:b/>
          <w:bCs/>
          <w:color w:val="auto"/>
          <w:sz w:val="28"/>
          <w:szCs w:val="28"/>
          <w:lang w:val="en-US" w:eastAsia="zh-CN"/>
        </w:rPr>
        <w:t>中期成果</w:t>
      </w:r>
    </w:p>
    <w:p w14:paraId="480D9B36">
      <w:pPr>
        <w:keepNext w:val="0"/>
        <w:keepLines w:val="0"/>
        <w:pageBreakBefore w:val="0"/>
        <w:numPr>
          <w:ilvl w:val="0"/>
          <w:numId w:val="0"/>
        </w:numPr>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Times New Roman" w:hAnsi="Times New Roman" w:eastAsia="宋体" w:cs="Times New Roman"/>
          <w:color w:val="000000" w:themeColor="text1"/>
          <w:sz w:val="24"/>
          <w:szCs w:val="24"/>
          <w14:textFill>
            <w14:solidFill>
              <w14:schemeClr w14:val="tx1"/>
            </w14:solidFill>
          </w14:textFill>
        </w:rPr>
      </w:pPr>
      <w:r>
        <w:rPr>
          <w:rFonts w:hint="eastAsia" w:ascii="Times New Roman" w:hAnsi="Times New Roman" w:eastAsia="宋体" w:cs="Times New Roman"/>
          <w:color w:val="000000" w:themeColor="text1"/>
          <w:sz w:val="24"/>
          <w:szCs w:val="24"/>
          <w14:textFill>
            <w14:solidFill>
              <w14:schemeClr w14:val="tx1"/>
            </w14:solidFill>
          </w14:textFill>
        </w:rPr>
        <w:t>在</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本学期</w:t>
      </w:r>
      <w:r>
        <w:rPr>
          <w:rFonts w:hint="eastAsia" w:ascii="Times New Roman" w:hAnsi="Times New Roman" w:eastAsia="宋体" w:cs="Times New Roman"/>
          <w:color w:val="000000" w:themeColor="text1"/>
          <w:sz w:val="24"/>
          <w:szCs w:val="24"/>
          <w14:textFill>
            <w14:solidFill>
              <w14:schemeClr w14:val="tx1"/>
            </w14:solidFill>
          </w14:textFill>
        </w:rPr>
        <w:t>的工作中，我调研了柔性</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可穿戴超声的相关</w:t>
      </w:r>
      <w:r>
        <w:rPr>
          <w:rFonts w:hint="eastAsia" w:ascii="Times New Roman" w:hAnsi="Times New Roman" w:eastAsia="宋体" w:cs="Times New Roman"/>
          <w:color w:val="000000" w:themeColor="text1"/>
          <w:sz w:val="24"/>
          <w:szCs w:val="24"/>
          <w14:textFill>
            <w14:solidFill>
              <w14:schemeClr w14:val="tx1"/>
            </w14:solidFill>
          </w14:textFill>
        </w:rPr>
        <w:t>文献，重点关注了</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结构设计、</w:t>
      </w:r>
      <w:r>
        <w:rPr>
          <w:rFonts w:hint="eastAsia" w:ascii="Times New Roman" w:hAnsi="Times New Roman" w:eastAsia="宋体" w:cs="Times New Roman"/>
          <w:color w:val="000000" w:themeColor="text1"/>
          <w:sz w:val="24"/>
          <w:szCs w:val="24"/>
          <w14:textFill>
            <w14:solidFill>
              <w14:schemeClr w14:val="tx1"/>
            </w14:solidFill>
          </w14:textFill>
        </w:rPr>
        <w:t>信号采集性能、生物相容性评估等方面的研究。</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同时，</w:t>
      </w:r>
      <w:r>
        <w:rPr>
          <w:rFonts w:hint="eastAsia" w:ascii="Times New Roman" w:hAnsi="Times New Roman" w:eastAsia="宋体" w:cs="Times New Roman"/>
          <w:color w:val="000000" w:themeColor="text1"/>
          <w:sz w:val="24"/>
          <w:szCs w:val="24"/>
          <w14:textFill>
            <w14:solidFill>
              <w14:schemeClr w14:val="tx1"/>
            </w14:solidFill>
          </w14:textFill>
        </w:rPr>
        <w:t>这些文献</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开拓</w:t>
      </w:r>
      <w:r>
        <w:rPr>
          <w:rFonts w:hint="eastAsia" w:ascii="Times New Roman" w:hAnsi="Times New Roman" w:eastAsia="宋体" w:cs="Times New Roman"/>
          <w:color w:val="000000" w:themeColor="text1"/>
          <w:sz w:val="24"/>
          <w:szCs w:val="24"/>
          <w14:textFill>
            <w14:solidFill>
              <w14:schemeClr w14:val="tx1"/>
            </w14:solidFill>
          </w14:textFill>
        </w:rPr>
        <w:t>了</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我</w:t>
      </w:r>
      <w:r>
        <w:rPr>
          <w:rFonts w:hint="eastAsia" w:ascii="Times New Roman" w:hAnsi="Times New Roman" w:eastAsia="宋体" w:cs="Times New Roman"/>
          <w:color w:val="000000" w:themeColor="text1"/>
          <w:sz w:val="24"/>
          <w:szCs w:val="24"/>
          <w14:textFill>
            <w14:solidFill>
              <w14:schemeClr w14:val="tx1"/>
            </w14:solidFill>
          </w14:textFill>
        </w:rPr>
        <w:t>关于柔性超声传感器应用领域的</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视野</w:t>
      </w:r>
      <w:r>
        <w:rPr>
          <w:rFonts w:hint="eastAsia" w:ascii="Times New Roman" w:hAnsi="Times New Roman" w:eastAsia="宋体" w:cs="Times New Roman"/>
          <w:color w:val="000000" w:themeColor="text1"/>
          <w:sz w:val="24"/>
          <w:szCs w:val="24"/>
          <w14:textFill>
            <w14:solidFill>
              <w14:schemeClr w14:val="tx1"/>
            </w14:solidFill>
          </w14:textFill>
        </w:rPr>
        <w:t>，特别是在医疗监测和健康管理中的潜力。</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如</w:t>
      </w:r>
      <w:r>
        <w:rPr>
          <w:rFonts w:hint="eastAsia" w:ascii="Times New Roman" w:hAnsi="Times New Roman" w:eastAsia="宋体" w:cs="Times New Roman"/>
          <w:color w:val="000000" w:themeColor="text1"/>
          <w:sz w:val="24"/>
          <w:szCs w:val="24"/>
          <w14:textFill>
            <w14:solidFill>
              <w14:schemeClr w14:val="tx1"/>
            </w14:solidFill>
          </w14:textFill>
        </w:rPr>
        <w:t>文献</w:t>
      </w:r>
      <w:r>
        <w:rPr>
          <w:rFonts w:hint="eastAsia" w:ascii="Times New Roman" w:hAnsi="Times New Roman" w:eastAsia="宋体" w:cs="Times New Roman"/>
          <w:color w:val="000000" w:themeColor="text1"/>
          <w:sz w:val="24"/>
          <w:szCs w:val="24"/>
          <w:lang w:eastAsia="zh-CN"/>
          <w14:textFill>
            <w14:solidFill>
              <w14:schemeClr w14:val="tx1"/>
            </w14:solidFill>
          </w14:textFill>
        </w:rPr>
        <w:fldChar w:fldCharType="begin"/>
      </w:r>
      <w:r>
        <w:rPr>
          <w:rFonts w:hint="eastAsia" w:ascii="Times New Roman" w:hAnsi="Times New Roman" w:eastAsia="宋体" w:cs="Times New Roman"/>
          <w:color w:val="000000" w:themeColor="text1"/>
          <w:sz w:val="24"/>
          <w:szCs w:val="24"/>
          <w:lang w:eastAsia="zh-CN"/>
          <w14:textFill>
            <w14:solidFill>
              <w14:schemeClr w14:val="tx1"/>
            </w14:solidFill>
          </w14:textFill>
        </w:rPr>
        <w:instrText xml:space="preserve"> REF _Ref23086 \r \h </w:instrText>
      </w:r>
      <w:r>
        <w:rPr>
          <w:rFonts w:hint="eastAsia" w:ascii="Times New Roman" w:hAnsi="Times New Roman" w:eastAsia="宋体" w:cs="Times New Roman"/>
          <w:color w:val="000000" w:themeColor="text1"/>
          <w:sz w:val="24"/>
          <w:szCs w:val="24"/>
          <w:lang w:eastAsia="zh-CN"/>
          <w14:textFill>
            <w14:solidFill>
              <w14:schemeClr w14:val="tx1"/>
            </w14:solidFill>
          </w14:textFill>
        </w:rPr>
        <w:fldChar w:fldCharType="separate"/>
      </w:r>
      <w:r>
        <w:rPr>
          <w:rFonts w:hint="eastAsia" w:ascii="Times New Roman" w:hAnsi="Times New Roman" w:eastAsia="宋体" w:cs="Times New Roman"/>
          <w:color w:val="000000" w:themeColor="text1"/>
          <w:sz w:val="24"/>
          <w:szCs w:val="24"/>
          <w:lang w:eastAsia="zh-CN"/>
          <w14:textFill>
            <w14:solidFill>
              <w14:schemeClr w14:val="tx1"/>
            </w14:solidFill>
          </w14:textFill>
        </w:rPr>
        <w:t>[3]</w:t>
      </w:r>
      <w:r>
        <w:rPr>
          <w:rFonts w:hint="eastAsia" w:ascii="Times New Roman" w:hAnsi="Times New Roman" w:eastAsia="宋体" w:cs="Times New Roman"/>
          <w:color w:val="000000" w:themeColor="text1"/>
          <w:sz w:val="24"/>
          <w:szCs w:val="24"/>
          <w:lang w:eastAsia="zh-CN"/>
          <w14:textFill>
            <w14:solidFill>
              <w14:schemeClr w14:val="tx1"/>
            </w14:solidFill>
          </w14:textFill>
        </w:rPr>
        <w:fldChar w:fldCharType="end"/>
      </w:r>
      <w:r>
        <w:rPr>
          <w:rFonts w:hint="eastAsia" w:ascii="Times New Roman" w:hAnsi="Times New Roman" w:eastAsia="宋体" w:cs="Times New Roman"/>
          <w:color w:val="000000" w:themeColor="text1"/>
          <w:sz w:val="24"/>
          <w:szCs w:val="24"/>
          <w14:textFill>
            <w14:solidFill>
              <w14:schemeClr w14:val="tx1"/>
            </w14:solidFill>
          </w14:textFill>
        </w:rPr>
        <w:t>中</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报道了一个可穿戴心脏超声成像仪，如爆炸原理图(图1)所示，该器件主要由压电换能器阵列、液态金属复合电极和三嵌段共聚物封装构成。这</w:t>
      </w:r>
      <w:r>
        <w:rPr>
          <w:rFonts w:hint="eastAsia" w:ascii="Times New Roman" w:hAnsi="Times New Roman" w:eastAsia="宋体" w:cs="Times New Roman"/>
          <w:color w:val="000000" w:themeColor="text1"/>
          <w:sz w:val="24"/>
          <w:szCs w:val="24"/>
          <w14:textFill>
            <w14:solidFill>
              <w14:schemeClr w14:val="tx1"/>
            </w14:solidFill>
          </w14:textFill>
        </w:rPr>
        <w:t>一设计能够确保设备的柔性、可穿戴性和高效的信号传输性能。特别是液态金属复合电极的应用，使得设备能够在保持良好的性能的同时，具备较高的柔韧性和适应性，从而适应人体表面的不同形态。这一超声成像仪能够为心脏的实时监测提供准确的成像数据，对于心脏疾病的早期诊断和治疗具有重要意义。</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文献</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fldChar w:fldCharType="begin"/>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instrText xml:space="preserve"> REF _Ref23141 \r \h </w:instrTex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fldChar w:fldCharType="separate"/>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[4]</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fldChar w:fldCharType="end"/>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中介绍了一款聚焦超声( FUS )介导的血脑屏障( BBB )开放的临床系统。</w:t>
      </w:r>
      <w:r>
        <w:rPr>
          <w:rFonts w:hint="eastAsia" w:ascii="Times New Roman" w:hAnsi="Times New Roman" w:eastAsia="宋体" w:cs="Times New Roman"/>
          <w:color w:val="000000" w:themeColor="text1"/>
          <w:sz w:val="24"/>
          <w:szCs w:val="24"/>
          <w14:textFill>
            <w14:solidFill>
              <w14:schemeClr w14:val="tx1"/>
            </w14:solidFill>
          </w14:textFill>
        </w:rPr>
        <w:t>这一系统在机械指数(MI)为0.4的非人灵长类模型中成功实现了血脑屏障开放，且所需的MI值比传统非聚焦超声低两倍</w:t>
      </w:r>
      <w:r>
        <w:rPr>
          <w:rFonts w:hint="eastAsia" w:ascii="Times New Roman" w:hAnsi="Times New Roman" w:eastAsia="宋体" w:cs="Times New Roman"/>
          <w:color w:val="000000" w:themeColor="text1"/>
          <w:sz w:val="24"/>
          <w:szCs w:val="24"/>
          <w:lang w:eastAsia="zh-CN"/>
          <w14:textFill>
            <w14:solidFill>
              <w14:schemeClr w14:val="tx1"/>
            </w14:solidFill>
          </w14:textFill>
        </w:rPr>
        <w:fldChar w:fldCharType="begin"/>
      </w:r>
      <w:r>
        <w:rPr>
          <w:rFonts w:hint="eastAsia" w:ascii="Times New Roman" w:hAnsi="Times New Roman" w:eastAsia="宋体" w:cs="Times New Roman"/>
          <w:color w:val="000000" w:themeColor="text1"/>
          <w:sz w:val="24"/>
          <w:szCs w:val="24"/>
          <w:lang w:eastAsia="zh-CN"/>
          <w14:textFill>
            <w14:solidFill>
              <w14:schemeClr w14:val="tx1"/>
            </w14:solidFill>
          </w14:textFill>
        </w:rPr>
        <w:instrText xml:space="preserve"> REF _Ref23174 \r \h </w:instrText>
      </w:r>
      <w:r>
        <w:rPr>
          <w:rFonts w:hint="eastAsia" w:ascii="Times New Roman" w:hAnsi="Times New Roman" w:eastAsia="宋体" w:cs="Times New Roman"/>
          <w:color w:val="000000" w:themeColor="text1"/>
          <w:sz w:val="24"/>
          <w:szCs w:val="24"/>
          <w:lang w:eastAsia="zh-CN"/>
          <w14:textFill>
            <w14:solidFill>
              <w14:schemeClr w14:val="tx1"/>
            </w14:solidFill>
          </w14:textFill>
        </w:rPr>
        <w:fldChar w:fldCharType="separate"/>
      </w:r>
      <w:r>
        <w:rPr>
          <w:rFonts w:hint="eastAsia" w:ascii="Times New Roman" w:hAnsi="Times New Roman" w:eastAsia="宋体" w:cs="Times New Roman"/>
          <w:color w:val="000000" w:themeColor="text1"/>
          <w:sz w:val="24"/>
          <w:szCs w:val="24"/>
          <w:lang w:eastAsia="zh-CN"/>
          <w14:textFill>
            <w14:solidFill>
              <w14:schemeClr w14:val="tx1"/>
            </w14:solidFill>
          </w14:textFill>
        </w:rPr>
        <w:t>[5]</w:t>
      </w:r>
      <w:r>
        <w:rPr>
          <w:rFonts w:hint="eastAsia" w:ascii="Times New Roman" w:hAnsi="Times New Roman" w:eastAsia="宋体" w:cs="Times New Roman"/>
          <w:color w:val="000000" w:themeColor="text1"/>
          <w:sz w:val="24"/>
          <w:szCs w:val="24"/>
          <w:lang w:eastAsia="zh-CN"/>
          <w14:textFill>
            <w14:solidFill>
              <w14:schemeClr w14:val="tx1"/>
            </w14:solidFill>
          </w14:textFill>
        </w:rPr>
        <w:fldChar w:fldCharType="end"/>
      </w:r>
      <w:r>
        <w:rPr>
          <w:rFonts w:hint="eastAsia" w:ascii="Times New Roman" w:hAnsi="Times New Roman" w:eastAsia="宋体" w:cs="Times New Roman"/>
          <w:color w:val="000000" w:themeColor="text1"/>
          <w:sz w:val="24"/>
          <w:szCs w:val="24"/>
          <w14:textFill>
            <w14:solidFill>
              <w14:schemeClr w14:val="tx1"/>
            </w14:solidFill>
          </w14:textFill>
        </w:rPr>
        <w:t>。这项技术的核心在于利用聚焦超声来精确控制能量的传递，以安全有效地打开血脑屏障，为药物递送提供通道。</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文献</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fldChar w:fldCharType="begin"/>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instrText xml:space="preserve"> REF _Ref23207 \r \h </w:instrTex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fldChar w:fldCharType="separate"/>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[6]</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fldChar w:fldCharType="end"/>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中</w:t>
      </w:r>
      <w:r>
        <w:rPr>
          <w:rFonts w:hint="eastAsia" w:ascii="Times New Roman" w:hAnsi="Times New Roman" w:eastAsia="宋体" w:cs="Times New Roman"/>
          <w:color w:val="000000" w:themeColor="text1"/>
          <w:sz w:val="24"/>
          <w:szCs w:val="24"/>
          <w14:textFill>
            <w14:solidFill>
              <w14:schemeClr w14:val="tx1"/>
            </w14:solidFill>
          </w14:textFill>
        </w:rPr>
        <w:t>介绍了一种用于可穿戴成像</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的</w:t>
      </w:r>
      <w:r>
        <w:rPr>
          <w:rFonts w:hint="eastAsia" w:ascii="Times New Roman" w:hAnsi="Times New Roman" w:eastAsia="宋体" w:cs="Times New Roman"/>
          <w:color w:val="000000" w:themeColor="text1"/>
          <w:sz w:val="24"/>
          <w:szCs w:val="24"/>
          <w14:textFill>
            <w14:solidFill>
              <w14:schemeClr w14:val="tx1"/>
            </w14:solidFill>
          </w14:textFill>
        </w:rPr>
        <w:t>皮肤贴合的柔性和可拉伸超声传感器。该传感器采用了新型材料和结构，既保证了传感器的柔性和伸缩性，又能够有效传递超声信号，</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其结构如图2</w:t>
      </w:r>
      <w:r>
        <w:rPr>
          <w:rFonts w:hint="eastAsia"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柔性基底</w:t>
      </w:r>
      <w:r>
        <w:rPr>
          <w:rFonts w:hint="eastAsia" w:ascii="Times New Roman" w:hAnsi="Times New Roman" w:eastAsia="宋体" w:cs="Times New Roman"/>
          <w:color w:val="000000" w:themeColor="text1"/>
          <w:sz w:val="24"/>
          <w:szCs w:val="24"/>
          <w14:textFill>
            <w14:solidFill>
              <w14:schemeClr w14:val="tx1"/>
            </w14:solidFill>
          </w14:textFill>
        </w:rPr>
        <w:t>使得超声成像设备能够适应人体曲线，提</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高</w:t>
      </w:r>
      <w:r>
        <w:rPr>
          <w:rFonts w:hint="eastAsia" w:ascii="Times New Roman" w:hAnsi="Times New Roman" w:eastAsia="宋体" w:cs="Times New Roman"/>
          <w:color w:val="000000" w:themeColor="text1"/>
          <w:sz w:val="24"/>
          <w:szCs w:val="24"/>
          <w14:textFill>
            <w14:solidFill>
              <w14:schemeClr w14:val="tx1"/>
            </w14:solidFill>
          </w14:textFill>
        </w:rPr>
        <w:t>佩戴</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的舒适性</w:t>
      </w:r>
      <w:r>
        <w:rPr>
          <w:rFonts w:hint="eastAsia" w:ascii="Times New Roman" w:hAnsi="Times New Roman" w:eastAsia="宋体" w:cs="Times New Roman"/>
          <w:color w:val="000000" w:themeColor="text1"/>
          <w:sz w:val="24"/>
          <w:szCs w:val="24"/>
          <w14:textFill>
            <w14:solidFill>
              <w14:schemeClr w14:val="tx1"/>
            </w14:solidFill>
          </w14:textFill>
        </w:rPr>
        <w:t>，</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可</w:t>
      </w:r>
      <w:r>
        <w:rPr>
          <w:rFonts w:hint="eastAsia" w:ascii="Times New Roman" w:hAnsi="Times New Roman" w:eastAsia="宋体" w:cs="Times New Roman"/>
          <w:color w:val="000000" w:themeColor="text1"/>
          <w:sz w:val="24"/>
          <w:szCs w:val="24"/>
          <w14:textFill>
            <w14:solidFill>
              <w14:schemeClr w14:val="tx1"/>
            </w14:solidFill>
          </w14:textFill>
        </w:rPr>
        <w:t>用于长期的健康监测。</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我还学习了文献</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fldChar w:fldCharType="begin"/>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instrText xml:space="preserve"> REF _Ref23207 \r \h </w:instrTex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fldChar w:fldCharType="separate"/>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[6]</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fldChar w:fldCharType="end"/>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中测量力学性能和机电特性的方法</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fldChar w:fldCharType="begin"/>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instrText xml:space="preserve"> REF _Ref23311 \r \h </w:instrTex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fldChar w:fldCharType="separate"/>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[7]</w:t>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fldChar w:fldCharType="end"/>
      </w:r>
      <w:r>
        <w:rPr>
          <w:rFonts w:hint="eastAsia" w:ascii="Times New Roman" w:hAnsi="Times New Roman" w:eastAsia="宋体" w:cs="Times New Roman"/>
          <w:color w:val="000000" w:themeColor="text1"/>
          <w:sz w:val="24"/>
          <w:szCs w:val="24"/>
          <w:lang w:val="en-US" w:eastAsia="zh-CN"/>
          <w14:textFill>
            <w14:solidFill>
              <w14:schemeClr w14:val="tx1"/>
            </w14:solidFill>
          </w14:textFill>
        </w:rPr>
        <w:t>，如拉伸试验，测量传感器共振频率、中心频率、共振频率处阻抗、脉冲回波响应、峰峰值等。</w:t>
      </w:r>
      <w:r>
        <w:rPr>
          <w:rFonts w:hint="eastAsia" w:ascii="Times New Roman" w:hAnsi="Times New Roman" w:eastAsia="宋体" w:cs="Times New Roman"/>
          <w:color w:val="000000" w:themeColor="text1"/>
          <w:sz w:val="24"/>
          <w:szCs w:val="24"/>
          <w14:textFill>
            <w14:solidFill>
              <w14:schemeClr w14:val="tx1"/>
            </w14:solidFill>
          </w14:textFill>
        </w:rPr>
        <w:t>通过调研这些相关文献，我对柔性超声传感器的设计原理、应用领域和性能评估方法有了更加深入的理解。这些知识不仅为我后续的研究提供了理论支持，也让我认识到未来在柔性超声技术发展中的创新空间。</w:t>
      </w:r>
    </w:p>
    <w:p w14:paraId="5CC74EB7">
      <w:pPr>
        <w:numPr>
          <w:ilvl w:val="0"/>
          <w:numId w:val="0"/>
        </w:numPr>
        <w:ind w:firstLine="420" w:firstLineChars="200"/>
      </w:pPr>
      <w:r>
        <w:drawing>
          <wp:inline distT="0" distB="0" distL="114300" distR="114300">
            <wp:extent cx="6000115" cy="2555875"/>
            <wp:effectExtent l="0" t="0" r="698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6000115" cy="2555875"/>
                    </a:xfrm>
                    <a:prstGeom prst="rect">
                      <a:avLst/>
                    </a:prstGeom>
                    <a:noFill/>
                    <a:ln>
                      <a:noFill/>
                    </a:ln>
                  </pic:spPr>
                </pic:pic>
              </a:graphicData>
            </a:graphic>
          </wp:inline>
        </w:drawing>
      </w:r>
    </w:p>
    <w:p w14:paraId="68A30D11">
      <w:pPr>
        <w:numPr>
          <w:ilvl w:val="0"/>
          <w:numId w:val="0"/>
        </w:numPr>
        <w:ind w:firstLine="480" w:firstLineChars="20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图1</w:t>
      </w:r>
    </w:p>
    <w:p w14:paraId="673F1337">
      <w:pPr>
        <w:numPr>
          <w:ilvl w:val="0"/>
          <w:numId w:val="0"/>
        </w:numPr>
        <w:ind w:firstLine="420" w:firstLineChars="200"/>
      </w:pPr>
      <w:r>
        <w:drawing>
          <wp:inline distT="0" distB="0" distL="114300" distR="114300">
            <wp:extent cx="5836285" cy="4523105"/>
            <wp:effectExtent l="0" t="0" r="5715" b="1079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8"/>
                    <a:stretch>
                      <a:fillRect/>
                    </a:stretch>
                  </pic:blipFill>
                  <pic:spPr>
                    <a:xfrm>
                      <a:off x="0" y="0"/>
                      <a:ext cx="5836285" cy="4523105"/>
                    </a:xfrm>
                    <a:prstGeom prst="rect">
                      <a:avLst/>
                    </a:prstGeom>
                    <a:noFill/>
                    <a:ln>
                      <a:noFill/>
                    </a:ln>
                  </pic:spPr>
                </pic:pic>
              </a:graphicData>
            </a:graphic>
          </wp:inline>
        </w:drawing>
      </w:r>
    </w:p>
    <w:p w14:paraId="38B2764D">
      <w:pPr>
        <w:numPr>
          <w:ilvl w:val="0"/>
          <w:numId w:val="0"/>
        </w:numPr>
        <w:ind w:firstLine="480" w:firstLineChars="200"/>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图2</w:t>
      </w:r>
    </w:p>
    <w:p w14:paraId="6F69D2D4">
      <w:pPr>
        <w:keepNext w:val="0"/>
        <w:keepLines w:val="0"/>
        <w:pageBreakBefore w:val="0"/>
        <w:numPr>
          <w:ilvl w:val="0"/>
          <w:numId w:val="2"/>
        </w:numPr>
        <w:kinsoku/>
        <w:wordWrap/>
        <w:overflowPunct/>
        <w:topLinePunct w:val="0"/>
        <w:autoSpaceDE/>
        <w:autoSpaceDN/>
        <w:bidi w:val="0"/>
        <w:adjustRightInd/>
        <w:snapToGrid/>
        <w:spacing w:beforeAutospacing="0" w:afterAutospacing="0" w:line="360" w:lineRule="auto"/>
        <w:textAlignment w:val="auto"/>
        <w:rPr>
          <w:rFonts w:hint="eastAsia" w:asciiTheme="minorEastAsia" w:hAnsiTheme="minorEastAsia" w:eastAsiaTheme="minorEastAsia" w:cstheme="minorEastAsia"/>
          <w:b/>
          <w:bCs/>
          <w:sz w:val="28"/>
          <w:szCs w:val="28"/>
          <w:lang w:val="en-US" w:eastAsia="zh-CN"/>
        </w:rPr>
      </w:pPr>
      <w:r>
        <w:rPr>
          <w:rFonts w:hint="eastAsia" w:asciiTheme="minorEastAsia" w:hAnsiTheme="minorEastAsia" w:eastAsiaTheme="minorEastAsia" w:cstheme="minorEastAsia"/>
          <w:b/>
          <w:bCs/>
          <w:sz w:val="28"/>
          <w:szCs w:val="28"/>
          <w:lang w:val="en-US" w:eastAsia="zh-CN"/>
        </w:rPr>
        <w:t>未来计划</w:t>
      </w:r>
    </w:p>
    <w:p w14:paraId="444B36EA">
      <w:pPr>
        <w:pStyle w:val="6"/>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pPr>
      <w:r>
        <w:rPr>
          <w:rFonts w:hint="eastAsia" w:asciiTheme="minorEastAsia" w:hAnsiTheme="minorEastAsia" w:eastAsiaTheme="minorEastAsia" w:cstheme="minorEastAsia"/>
        </w:rPr>
        <w:t>下学期，我计划积极参与相关工作，并深入</w:t>
      </w:r>
      <w:r>
        <w:rPr>
          <w:rFonts w:hint="eastAsia" w:asciiTheme="minorEastAsia" w:hAnsiTheme="minorEastAsia" w:eastAsiaTheme="minorEastAsia" w:cstheme="minorEastAsia"/>
          <w:lang w:val="en-US" w:eastAsia="zh-CN"/>
        </w:rPr>
        <w:t>调研文献并</w:t>
      </w:r>
      <w:r>
        <w:rPr>
          <w:rFonts w:hint="eastAsia" w:asciiTheme="minorEastAsia" w:hAnsiTheme="minorEastAsia" w:eastAsiaTheme="minorEastAsia" w:cstheme="minorEastAsia"/>
        </w:rPr>
        <w:t>参与实验数据采集。</w:t>
      </w:r>
      <w:r>
        <w:rPr>
          <w:rFonts w:hint="eastAsia" w:asciiTheme="minorEastAsia" w:hAnsiTheme="minorEastAsia" w:eastAsiaTheme="minorEastAsia" w:cstheme="minorEastAsia"/>
          <w:lang w:val="en-US" w:eastAsia="zh-CN"/>
        </w:rPr>
        <w:t>积极学习如何使用</w:t>
      </w:r>
      <w:r>
        <w:rPr>
          <w:rFonts w:hint="eastAsia" w:asciiTheme="minorEastAsia" w:hAnsiTheme="minorEastAsia" w:eastAsiaTheme="minorEastAsia" w:cstheme="minorEastAsia"/>
        </w:rPr>
        <w:t>柔性电极和超声设备进行信号测试，尤其是动物组织的生物电信号和超声信号的采集</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包括</w:t>
      </w:r>
      <w:r>
        <w:rPr>
          <w:rFonts w:hint="eastAsia" w:asciiTheme="minorEastAsia" w:hAnsiTheme="minorEastAsia" w:eastAsiaTheme="minorEastAsia" w:cstheme="minorEastAsia"/>
        </w:rPr>
        <w:t>完成电生理信号采集性能测试，在模拟生物组织上进行电刺激和阻抗测试</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测试柔性电极的信号采集性能，</w:t>
      </w:r>
      <w:r>
        <w:rPr>
          <w:rFonts w:hint="eastAsia" w:asciiTheme="minorEastAsia" w:hAnsiTheme="minorEastAsia" w:eastAsiaTheme="minorEastAsia" w:cstheme="minorEastAsia"/>
          <w:lang w:val="en-US" w:eastAsia="zh-CN"/>
        </w:rPr>
        <w:t>如</w:t>
      </w:r>
      <w:r>
        <w:rPr>
          <w:rFonts w:hint="eastAsia" w:asciiTheme="minorEastAsia" w:hAnsiTheme="minorEastAsia" w:eastAsiaTheme="minorEastAsia" w:cstheme="minorEastAsia"/>
        </w:rPr>
        <w:t>信号的稳定性和信噪比</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完成生物相容性评估，评估柔性电极材料的生物相容性</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完成信号预处理，应用带通滤波器去除低频噪声和高频干扰，识别并去除伪迹，确保信号的真实性。通过这一系列学习和实践，我相信我能够更加全面地掌握柔性电极和超声设备的使用技巧，理解其在可穿戴技术中的潜力，并顺利完成课程目标。同时，这些实验将为我今后的科研工作打下坚实的基础，为进一步推动柔性超声传感器的研究与应用提供重要经验。</w:t>
      </w:r>
    </w:p>
    <w:bookmarkEnd w:id="0"/>
    <w:p w14:paraId="1D7B4C70">
      <w:pPr>
        <w:rPr>
          <w:rFonts w:hint="eastAsia" w:ascii="微软雅黑" w:hAnsi="微软雅黑" w:eastAsia="微软雅黑"/>
          <w:sz w:val="28"/>
          <w:szCs w:val="28"/>
        </w:rPr>
      </w:pPr>
      <w:r>
        <w:rPr>
          <w:rFonts w:hint="eastAsia" w:ascii="微软雅黑" w:hAnsi="微软雅黑" w:eastAsia="微软雅黑"/>
          <w:sz w:val="28"/>
          <w:szCs w:val="28"/>
        </w:rPr>
        <w:br w:type="page"/>
      </w:r>
    </w:p>
    <w:p w14:paraId="06A73A5E">
      <w:pPr>
        <w:pStyle w:val="3"/>
        <w:numPr>
          <w:ilvl w:val="0"/>
          <w:numId w:val="0"/>
        </w:numPr>
        <w:rPr>
          <w:rFonts w:ascii="微软雅黑" w:hAnsi="微软雅黑" w:eastAsia="微软雅黑"/>
          <w:sz w:val="28"/>
          <w:szCs w:val="28"/>
        </w:rPr>
      </w:pPr>
      <w:r>
        <w:rPr>
          <w:rFonts w:hint="eastAsia" w:ascii="微软雅黑" w:hAnsi="微软雅黑" w:eastAsia="微软雅黑"/>
          <w:sz w:val="28"/>
          <w:szCs w:val="28"/>
        </w:rPr>
        <w:t>参考文献</w:t>
      </w:r>
    </w:p>
    <w:p w14:paraId="05E088B8">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val="0"/>
          <w:bCs w:val="0"/>
          <w:i w:val="0"/>
          <w:iCs w:val="0"/>
          <w:color w:val="auto"/>
          <w:sz w:val="24"/>
          <w:szCs w:val="24"/>
          <w:u w:val="none" w:color="auto"/>
        </w:rPr>
      </w:pPr>
      <w:bookmarkStart w:id="1" w:name="_Ref22723"/>
      <w:r>
        <w:rPr>
          <w:rFonts w:hint="default" w:ascii="Times New Roman" w:hAnsi="Times New Roman" w:eastAsia="宋体" w:cs="Times New Roman"/>
          <w:b w:val="0"/>
          <w:bCs w:val="0"/>
          <w:i w:val="0"/>
          <w:iCs w:val="0"/>
          <w:color w:val="auto"/>
          <w:sz w:val="24"/>
          <w:szCs w:val="24"/>
          <w:u w:val="none" w:color="auto"/>
        </w:rPr>
        <w:t>AVOLAD,CINQUEL,FAGIOLIA,et</w:t>
      </w:r>
      <w:r>
        <w:rPr>
          <w:rFonts w:hint="eastAsia" w:ascii="Times New Roman" w:hAnsi="Times New Roman" w:eastAsia="宋体" w:cs="Times New Roman"/>
          <w:b w:val="0"/>
          <w:bCs w:val="0"/>
          <w:i w:val="0"/>
          <w:iCs w:val="0"/>
          <w:color w:val="auto"/>
          <w:sz w:val="24"/>
          <w:szCs w:val="24"/>
          <w:u w:val="none" w:color="auto"/>
          <w:lang w:val="en-US" w:eastAsia="zh-CN"/>
        </w:rPr>
        <w:t xml:space="preserve"> </w:t>
      </w:r>
      <w:r>
        <w:rPr>
          <w:rFonts w:hint="default" w:ascii="Times New Roman" w:hAnsi="Times New Roman" w:eastAsia="宋体" w:cs="Times New Roman"/>
          <w:b w:val="0"/>
          <w:bCs w:val="0"/>
          <w:i w:val="0"/>
          <w:iCs w:val="0"/>
          <w:color w:val="auto"/>
          <w:sz w:val="24"/>
          <w:szCs w:val="24"/>
          <w:u w:val="none" w:color="auto"/>
        </w:rPr>
        <w:t xml:space="preserve">al.Ultrasound medical imaging techniques:a survey[J]. ACM Computing Surveys,2021,54(3).  </w:t>
      </w:r>
      <w:bookmarkEnd w:id="1"/>
    </w:p>
    <w:p w14:paraId="3FDD3FAB">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val="0"/>
          <w:bCs w:val="0"/>
          <w:i w:val="0"/>
          <w:iCs w:val="0"/>
          <w:color w:val="auto"/>
          <w:sz w:val="24"/>
          <w:szCs w:val="24"/>
          <w:u w:val="none" w:color="auto"/>
        </w:rPr>
      </w:pPr>
      <w:bookmarkStart w:id="2" w:name="_Ref22753"/>
      <w:r>
        <w:rPr>
          <w:rFonts w:hint="default" w:ascii="Times New Roman" w:hAnsi="Times New Roman" w:eastAsia="宋体" w:cs="Times New Roman"/>
          <w:b w:val="0"/>
          <w:bCs w:val="0"/>
          <w:i w:val="0"/>
          <w:iCs w:val="0"/>
          <w:color w:val="auto"/>
          <w:sz w:val="24"/>
          <w:szCs w:val="24"/>
          <w:u w:val="none" w:color="auto"/>
        </w:rPr>
        <w:t>ZHANGL,DUWY,KIM JH,et al.An emerging</w:t>
      </w:r>
      <w:r>
        <w:rPr>
          <w:rFonts w:hint="eastAsia" w:ascii="Times New Roman" w:hAnsi="Times New Roman" w:eastAsia="宋体" w:cs="Times New Roman"/>
          <w:b w:val="0"/>
          <w:bCs w:val="0"/>
          <w:i w:val="0"/>
          <w:iCs w:val="0"/>
          <w:color w:val="auto"/>
          <w:sz w:val="24"/>
          <w:szCs w:val="24"/>
          <w:u w:val="none" w:color="auto"/>
          <w:lang w:val="en-US" w:eastAsia="zh-CN"/>
        </w:rPr>
        <w:t xml:space="preserve"> </w:t>
      </w:r>
      <w:r>
        <w:rPr>
          <w:rFonts w:hint="default" w:ascii="Times New Roman" w:hAnsi="Times New Roman" w:eastAsia="宋体" w:cs="Times New Roman"/>
          <w:b w:val="0"/>
          <w:bCs w:val="0"/>
          <w:i w:val="0"/>
          <w:iCs w:val="0"/>
          <w:color w:val="auto"/>
          <w:sz w:val="24"/>
          <w:szCs w:val="24"/>
          <w:u w:val="none" w:color="auto"/>
        </w:rPr>
        <w:t>era:conformable ultrasound electronics[J]. Advanced Materials,2024,36(8)</w:t>
      </w:r>
      <w:bookmarkEnd w:id="2"/>
    </w:p>
    <w:p w14:paraId="41B2FD04">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eastAsia="宋体" w:cs="Times New Roman"/>
          <w:b w:val="0"/>
          <w:bCs w:val="0"/>
          <w:i w:val="0"/>
          <w:iCs w:val="0"/>
          <w:color w:val="auto"/>
          <w:sz w:val="24"/>
          <w:szCs w:val="24"/>
          <w:u w:val="none" w:color="auto"/>
          <w:lang w:val="en-US" w:eastAsia="zh-CN"/>
        </w:rPr>
      </w:pPr>
      <w:bookmarkStart w:id="3" w:name="_Ref23086"/>
      <w:r>
        <w:rPr>
          <w:rFonts w:hint="default" w:ascii="Times New Roman" w:hAnsi="Times New Roman" w:eastAsia="宋体" w:cs="Times New Roman"/>
          <w:b w:val="0"/>
          <w:bCs w:val="0"/>
          <w:i w:val="0"/>
          <w:iCs w:val="0"/>
          <w:color w:val="auto"/>
          <w:sz w:val="24"/>
          <w:szCs w:val="24"/>
          <w:u w:val="none" w:color="auto"/>
        </w:rPr>
        <w:t>HU HJ,HUANG H,LI MH,et al.A wearable cardiac ultrasound imager [J].Nature,2023,613(7945) : 667-675.</w:t>
      </w:r>
      <w:bookmarkEnd w:id="3"/>
    </w:p>
    <w:p w14:paraId="08CBFD86">
      <w:pPr>
        <w:keepNext w:val="0"/>
        <w:keepLines w:val="0"/>
        <w:pageBreakBefore w:val="0"/>
        <w:numPr>
          <w:ilvl w:val="0"/>
          <w:numId w:val="3"/>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b w:val="0"/>
          <w:bCs w:val="0"/>
          <w:i w:val="0"/>
          <w:iCs w:val="0"/>
          <w:color w:val="auto"/>
          <w:sz w:val="24"/>
          <w:szCs w:val="24"/>
          <w:u w:val="none" w:color="auto"/>
        </w:rPr>
      </w:pPr>
      <w:bookmarkStart w:id="4" w:name="_Ref23141"/>
      <w:r>
        <w:rPr>
          <w:rFonts w:hint="default" w:ascii="Times New Roman" w:hAnsi="Times New Roman" w:eastAsia="宋体" w:cs="Times New Roman"/>
          <w:b w:val="0"/>
          <w:bCs w:val="0"/>
          <w:i w:val="0"/>
          <w:iCs w:val="0"/>
          <w:color w:val="auto"/>
          <w:sz w:val="24"/>
          <w:szCs w:val="24"/>
          <w:u w:val="none" w:color="auto"/>
        </w:rPr>
        <w:t xml:space="preserve">K. Hynynen, N. McDannold, N. Vykhodtseva, and F. A. Jolesz, "A clinical system for non-invasive blood–brain barrier opening using a neuronavigation-guided single-element focused ultrasound transducer," </w:t>
      </w:r>
      <w:r>
        <w:rPr>
          <w:rStyle w:val="11"/>
          <w:rFonts w:hint="default" w:ascii="Times New Roman" w:hAnsi="Times New Roman" w:eastAsia="宋体" w:cs="Times New Roman"/>
          <w:b w:val="0"/>
          <w:bCs w:val="0"/>
          <w:i w:val="0"/>
          <w:iCs w:val="0"/>
          <w:color w:val="auto"/>
          <w:sz w:val="24"/>
          <w:szCs w:val="24"/>
          <w:u w:val="none" w:color="auto"/>
        </w:rPr>
        <w:t>Journal of Cerebral Blood Flow &amp; Metabolism</w:t>
      </w:r>
      <w:r>
        <w:rPr>
          <w:rFonts w:hint="default" w:ascii="Times New Roman" w:hAnsi="Times New Roman" w:eastAsia="宋体" w:cs="Times New Roman"/>
          <w:b w:val="0"/>
          <w:bCs w:val="0"/>
          <w:i w:val="0"/>
          <w:iCs w:val="0"/>
          <w:color w:val="auto"/>
          <w:sz w:val="24"/>
          <w:szCs w:val="24"/>
          <w:u w:val="none" w:color="auto"/>
        </w:rPr>
        <w:t>, vol. 37, no. 3, pp. 1121–1132, 2017.</w:t>
      </w:r>
      <w:bookmarkEnd w:id="4"/>
    </w:p>
    <w:p w14:paraId="48912738">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eastAsia="宋体" w:cs="Times New Roman"/>
          <w:b w:val="0"/>
          <w:bCs w:val="0"/>
          <w:i w:val="0"/>
          <w:iCs w:val="0"/>
          <w:color w:val="auto"/>
          <w:kern w:val="0"/>
          <w:sz w:val="24"/>
          <w:szCs w:val="24"/>
          <w:u w:val="none" w:color="auto"/>
          <w:lang w:val="en-US" w:eastAsia="zh-CN" w:bidi="ar"/>
        </w:rPr>
      </w:pPr>
      <w:bookmarkStart w:id="5" w:name="_Ref23174"/>
      <w:r>
        <w:rPr>
          <w:rFonts w:hint="default" w:ascii="Times New Roman" w:hAnsi="Times New Roman" w:eastAsia="宋体" w:cs="Times New Roman"/>
          <w:b w:val="0"/>
          <w:bCs w:val="0"/>
          <w:i w:val="0"/>
          <w:iCs w:val="0"/>
          <w:color w:val="auto"/>
          <w:kern w:val="0"/>
          <w:sz w:val="24"/>
          <w:szCs w:val="24"/>
          <w:u w:val="none" w:color="auto"/>
          <w:lang w:val="en-US" w:eastAsia="zh-CN" w:bidi="ar"/>
        </w:rPr>
        <w:fldChar w:fldCharType="begin"/>
      </w:r>
      <w:r>
        <w:rPr>
          <w:rFonts w:hint="default" w:ascii="Times New Roman" w:hAnsi="Times New Roman" w:eastAsia="宋体" w:cs="Times New Roman"/>
          <w:b w:val="0"/>
          <w:bCs w:val="0"/>
          <w:i w:val="0"/>
          <w:iCs w:val="0"/>
          <w:color w:val="auto"/>
          <w:kern w:val="0"/>
          <w:sz w:val="24"/>
          <w:szCs w:val="24"/>
          <w:u w:val="none" w:color="auto"/>
          <w:lang w:val="en-US" w:eastAsia="zh-CN" w:bidi="ar"/>
        </w:rPr>
        <w:instrText xml:space="preserve"> HYPERLINK "http://refhub.elsevier.com/S0301-5629(19)31510-8/sbref0010" </w:instrText>
      </w:r>
      <w:r>
        <w:rPr>
          <w:rFonts w:hint="default" w:ascii="Times New Roman" w:hAnsi="Times New Roman" w:eastAsia="宋体" w:cs="Times New Roman"/>
          <w:b w:val="0"/>
          <w:bCs w:val="0"/>
          <w:i w:val="0"/>
          <w:iCs w:val="0"/>
          <w:color w:val="auto"/>
          <w:kern w:val="0"/>
          <w:sz w:val="24"/>
          <w:szCs w:val="24"/>
          <w:u w:val="none" w:color="auto"/>
          <w:lang w:val="en-US" w:eastAsia="zh-CN" w:bidi="ar"/>
        </w:rPr>
        <w:fldChar w:fldCharType="separate"/>
      </w:r>
      <w:r>
        <w:rPr>
          <w:rStyle w:val="13"/>
          <w:rFonts w:hint="default" w:ascii="Times New Roman" w:hAnsi="Times New Roman" w:eastAsia="宋体" w:cs="Times New Roman"/>
          <w:b w:val="0"/>
          <w:bCs w:val="0"/>
          <w:i w:val="0"/>
          <w:iCs w:val="0"/>
          <w:color w:val="auto"/>
          <w:sz w:val="24"/>
          <w:szCs w:val="24"/>
          <w:u w:val="none" w:color="auto"/>
        </w:rPr>
        <w:t>Carpentier A, Canney M, Vignot A, Reina V, Beccaria K, Horodyckid C, Karachi C, Leclercq D, Lafon C, Chapelon JY, Capelle L, Cornu P, Sanson M, Hoang-Xuan K, Delattre JY, Idbaih A. Clinical trial of blood brain barrier disruption by pulsed ultrasound. Sci Transl Med 2016;8(343) LP-343re2.</w:t>
      </w:r>
      <w:r>
        <w:rPr>
          <w:rFonts w:hint="default" w:ascii="Times New Roman" w:hAnsi="Times New Roman" w:eastAsia="宋体" w:cs="Times New Roman"/>
          <w:b w:val="0"/>
          <w:bCs w:val="0"/>
          <w:i w:val="0"/>
          <w:iCs w:val="0"/>
          <w:color w:val="auto"/>
          <w:kern w:val="0"/>
          <w:sz w:val="24"/>
          <w:szCs w:val="24"/>
          <w:u w:val="none" w:color="auto"/>
          <w:lang w:val="en-US" w:eastAsia="zh-CN" w:bidi="ar"/>
        </w:rPr>
        <w:fldChar w:fldCharType="end"/>
      </w:r>
      <w:bookmarkEnd w:id="5"/>
    </w:p>
    <w:p w14:paraId="3B6A16D2">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eastAsia="宋体" w:cs="Times New Roman"/>
          <w:b w:val="0"/>
          <w:bCs w:val="0"/>
          <w:i w:val="0"/>
          <w:iCs w:val="0"/>
          <w:color w:val="auto"/>
          <w:kern w:val="0"/>
          <w:sz w:val="24"/>
          <w:szCs w:val="24"/>
          <w:u w:val="none" w:color="auto"/>
          <w:lang w:val="en-US" w:eastAsia="zh-CN" w:bidi="ar"/>
        </w:rPr>
      </w:pPr>
      <w:bookmarkStart w:id="6" w:name="_Ref23207"/>
      <w:r>
        <w:rPr>
          <w:rFonts w:hint="default" w:ascii="Times New Roman" w:hAnsi="Times New Roman" w:eastAsia="宋体" w:cs="Times New Roman"/>
          <w:b w:val="0"/>
          <w:bCs w:val="0"/>
          <w:i w:val="0"/>
          <w:iCs w:val="0"/>
          <w:color w:val="auto"/>
          <w:kern w:val="0"/>
          <w:sz w:val="24"/>
          <w:szCs w:val="24"/>
          <w:u w:val="none" w:color="auto"/>
          <w:lang w:val="en-US" w:eastAsia="zh-CN" w:bidi="ar"/>
        </w:rPr>
        <w:t>J. Chen et al., "Skin-Conformable Flexible and Stretchable Ultrasound Transducer for Wearable Imaging," in IEEE Transactions on Ultrasonics, Ferroelectrics, and Frequency Control, vol. 71, no. 7, pp. 811-820, July 2024.</w:t>
      </w:r>
      <w:bookmarkEnd w:id="6"/>
    </w:p>
    <w:p w14:paraId="1C98B898">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425" w:leftChars="0" w:hanging="425" w:firstLineChars="0"/>
        <w:jc w:val="left"/>
        <w:textAlignment w:val="auto"/>
        <w:rPr>
          <w:rFonts w:hint="default" w:ascii="Times New Roman" w:hAnsi="Times New Roman" w:eastAsia="宋体" w:cs="Times New Roman"/>
          <w:b w:val="0"/>
          <w:bCs w:val="0"/>
          <w:i w:val="0"/>
          <w:iCs w:val="0"/>
          <w:color w:val="auto"/>
          <w:kern w:val="0"/>
          <w:sz w:val="24"/>
          <w:szCs w:val="24"/>
          <w:u w:val="none" w:color="auto"/>
          <w:lang w:val="en-US" w:eastAsia="zh-CN" w:bidi="ar"/>
        </w:rPr>
      </w:pPr>
      <w:bookmarkStart w:id="7" w:name="_Ref23311"/>
      <w:r>
        <w:rPr>
          <w:rFonts w:hint="default" w:ascii="Times New Roman" w:hAnsi="Times New Roman" w:eastAsia="宋体" w:cs="Times New Roman"/>
          <w:b w:val="0"/>
          <w:bCs w:val="0"/>
          <w:i w:val="0"/>
          <w:iCs w:val="0"/>
          <w:color w:val="auto"/>
          <w:kern w:val="0"/>
          <w:sz w:val="24"/>
          <w:szCs w:val="24"/>
          <w:u w:val="none" w:color="auto"/>
          <w:lang w:val="en-US" w:eastAsia="zh-CN" w:bidi="ar"/>
        </w:rPr>
        <w:t>W. Chen et al., “Design and fabrication of a high-frequency microconvex array transducer for small animals imaging,” IEEE Trans. Ultrason., Ferroelectr., Freq. Control, vol. 69, no. 6, pp. 1943–1951, Jun. 2022.</w:t>
      </w:r>
      <w:bookmarkEnd w:id="7"/>
    </w:p>
    <w:p w14:paraId="6AECE711">
      <w:pPr>
        <w:spacing w:line="324" w:lineRule="auto"/>
        <w:ind w:firstLine="480" w:firstLineChars="200"/>
        <w:rPr>
          <w:rFonts w:ascii="宋体" w:hAnsi="宋体" w:eastAsia="宋体" w:cs="宋体"/>
          <w:sz w:val="24"/>
          <w:szCs w:val="24"/>
        </w:rPr>
      </w:pPr>
    </w:p>
    <w:p w14:paraId="21F90E3B">
      <w:pPr>
        <w:spacing w:line="324" w:lineRule="auto"/>
        <w:rPr>
          <w:rFonts w:hint="eastAsia" w:hAnsi="Times New Roman" w:eastAsia="等线"/>
          <w:sz w:val="24"/>
          <w:lang w:val="en-US" w:eastAsia="zh-CN"/>
        </w:rPr>
      </w:pPr>
      <w:r>
        <w:rPr>
          <w:rFonts w:hint="eastAsia" w:hAnsi="Times New Roman"/>
          <w:sz w:val="24"/>
          <w:lang w:val="en-US" w:eastAsia="zh-CN"/>
        </w:rPr>
        <w:t xml:space="preserve"> </w:t>
      </w:r>
    </w:p>
    <w:sectPr>
      <w:headerReference r:id="rId3" w:type="default"/>
      <w:headerReference r:id="rId4" w:type="even"/>
      <w:pgSz w:w="11900" w:h="16840"/>
      <w:pgMar w:top="1440" w:right="1080" w:bottom="1440" w:left="1080" w:header="851" w:footer="992" w:gutter="0"/>
      <w:cols w:space="720" w:num="1"/>
      <w:docGrid w:linePitch="28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ambria">
    <w:panose1 w:val="02040503050406030204"/>
    <w:charset w:val="00"/>
    <w:family w:val="roman"/>
    <w:pitch w:val="default"/>
    <w:sig w:usb0="E00006FF" w:usb1="420024FF" w:usb2="02000000" w:usb3="00000000" w:csb0="2000019F" w:csb1="00000000"/>
  </w:font>
  <w:font w:name="Helvetica Neue">
    <w:altName w:val="Arial"/>
    <w:panose1 w:val="00000000000000000000"/>
    <w:charset w:val="00"/>
    <w:family w:val="roman"/>
    <w:pitch w:val="default"/>
    <w:sig w:usb0="00000000" w:usb1="00000000" w:usb2="00000000" w:usb3="00000000" w:csb0="00000000" w:csb1="00000000"/>
  </w:font>
  <w:font w:name="Arial Unicode MS">
    <w:panose1 w:val="020B0604020202020204"/>
    <w:charset w:val="86"/>
    <w:family w:val="swiss"/>
    <w:pitch w:val="default"/>
    <w:sig w:usb0="F7FFAEFF" w:usb1="F9DFFFFF" w:usb2="0000007F" w:usb3="00000000" w:csb0="203F01FF" w:csb1="DFFF0000"/>
  </w:font>
  <w:font w:name="MS PMincho">
    <w:altName w:val="Yu Gothic"/>
    <w:panose1 w:val="00000000000000000000"/>
    <w:charset w:val="80"/>
    <w:family w:val="roman"/>
    <w:pitch w:val="default"/>
    <w:sig w:usb0="00000000" w:usb1="00000000" w:usb2="08000012" w:usb3="00000000" w:csb0="0002009F" w:csb1="00000000"/>
  </w:font>
  <w:font w:name="Yu Gothic">
    <w:panose1 w:val="020B0400000000000000"/>
    <w:charset w:val="80"/>
    <w:family w:val="auto"/>
    <w:pitch w:val="default"/>
    <w:sig w:usb0="E00002FF" w:usb1="2AC7FDFF" w:usb2="00000016" w:usb3="00000000" w:csb0="2002009F" w:csb1="00000000"/>
  </w:font>
  <w:font w:name="华康简宋">
    <w:altName w:val="宋体"/>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PMingLiU">
    <w:altName w:val="Microsoft JhengHei UI"/>
    <w:panose1 w:val="02010601000101010101"/>
    <w:charset w:val="88"/>
    <w:family w:val="roman"/>
    <w:pitch w:val="default"/>
    <w:sig w:usb0="00000000" w:usb1="00000000" w:usb2="00000016" w:usb3="00000000" w:csb0="00100001" w:csb1="00000000"/>
  </w:font>
  <w:font w:name="Microsoft JhengHei UI">
    <w:panose1 w:val="020B0604030504040204"/>
    <w:charset w:val="88"/>
    <w:family w:val="auto"/>
    <w:pitch w:val="default"/>
    <w:sig w:usb0="000002A7" w:usb1="28CF4400" w:usb2="00000016" w:usb3="00000000" w:csb0="00100009" w:csb1="00000000"/>
  </w:font>
  <w:font w:name="华文隶书">
    <w:panose1 w:val="02010800040101010101"/>
    <w:charset w:val="86"/>
    <w:family w:val="auto"/>
    <w:pitch w:val="default"/>
    <w:sig w:usb0="00000001" w:usb1="080F0000" w:usb2="00000000" w:usb3="00000000" w:csb0="00040000" w:csb1="00000000"/>
  </w:font>
  <w:font w:name="Segoe UI Historic">
    <w:panose1 w:val="020B0502040204020203"/>
    <w:charset w:val="00"/>
    <w:family w:val="auto"/>
    <w:pitch w:val="default"/>
    <w:sig w:usb0="800001EF" w:usb1="02000002" w:usb2="0060C080" w:usb3="00000002" w:csb0="00000001" w:csb1="4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0BD270">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58AD88">
    <w:pPr>
      <w:pStyle w:val="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6CCEBD"/>
    <w:multiLevelType w:val="singleLevel"/>
    <w:tmpl w:val="A06CCEBD"/>
    <w:lvl w:ilvl="0" w:tentative="0">
      <w:start w:val="1"/>
      <w:numFmt w:val="chineseCounting"/>
      <w:suff w:val="nothing"/>
      <w:lvlText w:val="%1、"/>
      <w:lvlJc w:val="left"/>
      <w:rPr>
        <w:rFonts w:hint="eastAsia"/>
      </w:rPr>
    </w:lvl>
  </w:abstractNum>
  <w:abstractNum w:abstractNumId="1">
    <w:nsid w:val="1E862683"/>
    <w:multiLevelType w:val="multilevel"/>
    <w:tmpl w:val="1E862683"/>
    <w:lvl w:ilvl="0" w:tentative="0">
      <w:start w:val="1"/>
      <w:numFmt w:val="decimal"/>
      <w:pStyle w:val="2"/>
      <w:lvlText w:val="%1."/>
      <w:lvlJc w:val="left"/>
      <w:pPr>
        <w:tabs>
          <w:tab w:val="left" w:pos="540"/>
        </w:tabs>
        <w:ind w:left="540" w:hanging="360"/>
      </w:pPr>
      <w:rPr>
        <w:rFonts w:hint="default"/>
      </w:rPr>
    </w:lvl>
    <w:lvl w:ilvl="1" w:tentative="0">
      <w:start w:val="1"/>
      <w:numFmt w:val="lowerLetter"/>
      <w:pStyle w:val="3"/>
      <w:lvlText w:val="%2)"/>
      <w:lvlJc w:val="left"/>
      <w:pPr>
        <w:tabs>
          <w:tab w:val="left" w:pos="1020"/>
        </w:tabs>
        <w:ind w:left="1020" w:hanging="420"/>
      </w:pPr>
    </w:lvl>
    <w:lvl w:ilvl="2" w:tentative="0">
      <w:start w:val="1"/>
      <w:numFmt w:val="lowerRoman"/>
      <w:lvlText w:val="%3."/>
      <w:lvlJc w:val="right"/>
      <w:pPr>
        <w:tabs>
          <w:tab w:val="left" w:pos="1440"/>
        </w:tabs>
        <w:ind w:left="1440" w:hanging="420"/>
      </w:pPr>
    </w:lvl>
    <w:lvl w:ilvl="3" w:tentative="0">
      <w:start w:val="1"/>
      <w:numFmt w:val="decimal"/>
      <w:lvlText w:val="%4."/>
      <w:lvlJc w:val="left"/>
      <w:pPr>
        <w:tabs>
          <w:tab w:val="left" w:pos="1860"/>
        </w:tabs>
        <w:ind w:left="1860" w:hanging="420"/>
      </w:pPr>
    </w:lvl>
    <w:lvl w:ilvl="4" w:tentative="0">
      <w:start w:val="1"/>
      <w:numFmt w:val="lowerLetter"/>
      <w:lvlText w:val="%5)"/>
      <w:lvlJc w:val="left"/>
      <w:pPr>
        <w:tabs>
          <w:tab w:val="left" w:pos="2280"/>
        </w:tabs>
        <w:ind w:left="2280" w:hanging="420"/>
      </w:pPr>
    </w:lvl>
    <w:lvl w:ilvl="5" w:tentative="0">
      <w:start w:val="1"/>
      <w:numFmt w:val="lowerRoman"/>
      <w:lvlText w:val="%6."/>
      <w:lvlJc w:val="right"/>
      <w:pPr>
        <w:tabs>
          <w:tab w:val="left" w:pos="2700"/>
        </w:tabs>
        <w:ind w:left="2700" w:hanging="420"/>
      </w:pPr>
    </w:lvl>
    <w:lvl w:ilvl="6" w:tentative="0">
      <w:start w:val="1"/>
      <w:numFmt w:val="decimal"/>
      <w:lvlText w:val="%7."/>
      <w:lvlJc w:val="left"/>
      <w:pPr>
        <w:tabs>
          <w:tab w:val="left" w:pos="3120"/>
        </w:tabs>
        <w:ind w:left="3120" w:hanging="420"/>
      </w:pPr>
    </w:lvl>
    <w:lvl w:ilvl="7" w:tentative="0">
      <w:start w:val="1"/>
      <w:numFmt w:val="lowerLetter"/>
      <w:lvlText w:val="%8)"/>
      <w:lvlJc w:val="left"/>
      <w:pPr>
        <w:tabs>
          <w:tab w:val="left" w:pos="3540"/>
        </w:tabs>
        <w:ind w:left="3540" w:hanging="420"/>
      </w:pPr>
    </w:lvl>
    <w:lvl w:ilvl="8" w:tentative="0">
      <w:start w:val="1"/>
      <w:numFmt w:val="lowerRoman"/>
      <w:lvlText w:val="%9."/>
      <w:lvlJc w:val="right"/>
      <w:pPr>
        <w:tabs>
          <w:tab w:val="left" w:pos="3960"/>
        </w:tabs>
        <w:ind w:left="3960" w:hanging="420"/>
      </w:pPr>
    </w:lvl>
  </w:abstractNum>
  <w:abstractNum w:abstractNumId="2">
    <w:nsid w:val="410F1C3E"/>
    <w:multiLevelType w:val="singleLevel"/>
    <w:tmpl w:val="410F1C3E"/>
    <w:lvl w:ilvl="0" w:tentative="0">
      <w:start w:val="1"/>
      <w:numFmt w:val="decimal"/>
      <w:lvlText w:val="[%1]"/>
      <w:lvlJc w:val="left"/>
      <w:pPr>
        <w:tabs>
          <w:tab w:val="left" w:pos="420"/>
        </w:tabs>
        <w:ind w:left="425" w:leftChars="0" w:hanging="425" w:firstLineChars="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displayBackgroundShape w:val="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gxNjQzMWJjMDQ1NjE3MzU1NGExOGViYmFhODYyNzcifQ=="/>
  </w:docVars>
  <w:rsids>
    <w:rsidRoot w:val="00840CC0"/>
    <w:rsid w:val="00003E9C"/>
    <w:rsid w:val="00014A03"/>
    <w:rsid w:val="0002130F"/>
    <w:rsid w:val="00031B61"/>
    <w:rsid w:val="0004435C"/>
    <w:rsid w:val="00056449"/>
    <w:rsid w:val="0006051E"/>
    <w:rsid w:val="00065800"/>
    <w:rsid w:val="00070FC2"/>
    <w:rsid w:val="00072FA6"/>
    <w:rsid w:val="0009445D"/>
    <w:rsid w:val="000947EC"/>
    <w:rsid w:val="00095173"/>
    <w:rsid w:val="000952CD"/>
    <w:rsid w:val="000A4E80"/>
    <w:rsid w:val="000C51BD"/>
    <w:rsid w:val="000D2825"/>
    <w:rsid w:val="000E0E74"/>
    <w:rsid w:val="000F2746"/>
    <w:rsid w:val="000F2B66"/>
    <w:rsid w:val="000F7C30"/>
    <w:rsid w:val="00106F8D"/>
    <w:rsid w:val="00124533"/>
    <w:rsid w:val="00153DB7"/>
    <w:rsid w:val="00155360"/>
    <w:rsid w:val="00172F32"/>
    <w:rsid w:val="0017375E"/>
    <w:rsid w:val="00251153"/>
    <w:rsid w:val="0025557B"/>
    <w:rsid w:val="002B4993"/>
    <w:rsid w:val="002C1056"/>
    <w:rsid w:val="002F22F7"/>
    <w:rsid w:val="002F51DE"/>
    <w:rsid w:val="00353191"/>
    <w:rsid w:val="003876E6"/>
    <w:rsid w:val="003A0C58"/>
    <w:rsid w:val="003A79E3"/>
    <w:rsid w:val="003F42C7"/>
    <w:rsid w:val="0041389C"/>
    <w:rsid w:val="00463AF7"/>
    <w:rsid w:val="004A5013"/>
    <w:rsid w:val="004D0D58"/>
    <w:rsid w:val="004E49A9"/>
    <w:rsid w:val="004F6A08"/>
    <w:rsid w:val="004F73BB"/>
    <w:rsid w:val="0051747F"/>
    <w:rsid w:val="00522F80"/>
    <w:rsid w:val="005433A1"/>
    <w:rsid w:val="00560618"/>
    <w:rsid w:val="00575AD1"/>
    <w:rsid w:val="005D3D46"/>
    <w:rsid w:val="005F20F8"/>
    <w:rsid w:val="0066236F"/>
    <w:rsid w:val="00682199"/>
    <w:rsid w:val="00693FC8"/>
    <w:rsid w:val="00694937"/>
    <w:rsid w:val="00706508"/>
    <w:rsid w:val="00712925"/>
    <w:rsid w:val="00733450"/>
    <w:rsid w:val="00785AE5"/>
    <w:rsid w:val="008053D9"/>
    <w:rsid w:val="00832650"/>
    <w:rsid w:val="00840CC0"/>
    <w:rsid w:val="00841800"/>
    <w:rsid w:val="00861C89"/>
    <w:rsid w:val="008735D6"/>
    <w:rsid w:val="008B3485"/>
    <w:rsid w:val="008F4B2E"/>
    <w:rsid w:val="008F4F0A"/>
    <w:rsid w:val="00935975"/>
    <w:rsid w:val="009605FF"/>
    <w:rsid w:val="009851DD"/>
    <w:rsid w:val="009C5DD5"/>
    <w:rsid w:val="009D10EA"/>
    <w:rsid w:val="009D208B"/>
    <w:rsid w:val="009D778D"/>
    <w:rsid w:val="009F585A"/>
    <w:rsid w:val="00A072DC"/>
    <w:rsid w:val="00A30ADF"/>
    <w:rsid w:val="00A64FAB"/>
    <w:rsid w:val="00A9543B"/>
    <w:rsid w:val="00AD7B9D"/>
    <w:rsid w:val="00AE103E"/>
    <w:rsid w:val="00B03883"/>
    <w:rsid w:val="00B2352A"/>
    <w:rsid w:val="00B25A7A"/>
    <w:rsid w:val="00B30B8D"/>
    <w:rsid w:val="00B414F3"/>
    <w:rsid w:val="00B46104"/>
    <w:rsid w:val="00B7567A"/>
    <w:rsid w:val="00B801BE"/>
    <w:rsid w:val="00B97FFD"/>
    <w:rsid w:val="00BD262D"/>
    <w:rsid w:val="00BE6F64"/>
    <w:rsid w:val="00BF2FE1"/>
    <w:rsid w:val="00C05878"/>
    <w:rsid w:val="00C170DD"/>
    <w:rsid w:val="00C2525E"/>
    <w:rsid w:val="00C3352F"/>
    <w:rsid w:val="00C81BB5"/>
    <w:rsid w:val="00C86437"/>
    <w:rsid w:val="00CB3668"/>
    <w:rsid w:val="00CB40CD"/>
    <w:rsid w:val="00CB4704"/>
    <w:rsid w:val="00CF5CBD"/>
    <w:rsid w:val="00CF6630"/>
    <w:rsid w:val="00D06D79"/>
    <w:rsid w:val="00D45CD7"/>
    <w:rsid w:val="00D478C4"/>
    <w:rsid w:val="00D47A54"/>
    <w:rsid w:val="00DB1395"/>
    <w:rsid w:val="00DC79C1"/>
    <w:rsid w:val="00DE24B2"/>
    <w:rsid w:val="00E2030B"/>
    <w:rsid w:val="00E233FC"/>
    <w:rsid w:val="00E3722B"/>
    <w:rsid w:val="00E57207"/>
    <w:rsid w:val="00E76F8E"/>
    <w:rsid w:val="00F0395D"/>
    <w:rsid w:val="00F41AFE"/>
    <w:rsid w:val="00F45E4E"/>
    <w:rsid w:val="00FC7829"/>
    <w:rsid w:val="031F3DF1"/>
    <w:rsid w:val="03511E99"/>
    <w:rsid w:val="051237E0"/>
    <w:rsid w:val="0DC74BE8"/>
    <w:rsid w:val="0E95362B"/>
    <w:rsid w:val="0E9E26E2"/>
    <w:rsid w:val="120C556B"/>
    <w:rsid w:val="13841D40"/>
    <w:rsid w:val="14720966"/>
    <w:rsid w:val="20AF33AE"/>
    <w:rsid w:val="27CF45F4"/>
    <w:rsid w:val="293164A9"/>
    <w:rsid w:val="2B8E016A"/>
    <w:rsid w:val="33FD64E9"/>
    <w:rsid w:val="37477080"/>
    <w:rsid w:val="41981FAF"/>
    <w:rsid w:val="4A275456"/>
    <w:rsid w:val="59093C10"/>
    <w:rsid w:val="5FE24574"/>
    <w:rsid w:val="698D37BB"/>
    <w:rsid w:val="69DA03D5"/>
    <w:rsid w:val="6E7D2BC3"/>
    <w:rsid w:val="73AA3CF1"/>
    <w:rsid w:val="756F3F97"/>
    <w:rsid w:val="7683119A"/>
    <w:rsid w:val="791E7E8F"/>
    <w:rsid w:val="79CE06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qFormat="1"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Bdr>
        <w:top w:val="none" w:color="auto" w:sz="0" w:space="0"/>
        <w:left w:val="none" w:color="auto" w:sz="0" w:space="0"/>
        <w:bottom w:val="none" w:color="auto" w:sz="0" w:space="0"/>
        <w:right w:val="none" w:color="auto" w:sz="0" w:space="0"/>
        <w:between w:val="none" w:color="auto" w:sz="0" w:space="0"/>
      </w:pBdr>
      <w:jc w:val="both"/>
    </w:pPr>
    <w:rPr>
      <w:rFonts w:ascii="等线" w:hAnsi="等线" w:eastAsia="等线" w:cs="等线"/>
      <w:color w:val="000000"/>
      <w:kern w:val="2"/>
      <w:sz w:val="21"/>
      <w:szCs w:val="21"/>
      <w:u w:color="000000"/>
      <w:lang w:val="en-US" w:eastAsia="zh-CN" w:bidi="ar-SA"/>
    </w:rPr>
  </w:style>
  <w:style w:type="paragraph" w:styleId="2">
    <w:name w:val="heading 1"/>
    <w:next w:val="1"/>
    <w:link w:val="21"/>
    <w:qFormat/>
    <w:uiPriority w:val="0"/>
    <w:pPr>
      <w:pageBreakBefore/>
      <w:widowControl w:val="0"/>
      <w:numPr>
        <w:ilvl w:val="0"/>
        <w:numId w:val="1"/>
      </w:numPr>
      <w:pBdr>
        <w:top w:val="none" w:color="auto" w:sz="0" w:space="0"/>
        <w:left w:val="none" w:color="auto" w:sz="0" w:space="0"/>
        <w:bottom w:val="none" w:color="auto" w:sz="0" w:space="0"/>
        <w:right w:val="none" w:color="auto" w:sz="0" w:space="0"/>
        <w:between w:val="none" w:color="auto" w:sz="0" w:space="0"/>
      </w:pBdr>
      <w:spacing w:before="480"/>
      <w:jc w:val="center"/>
      <w:outlineLvl w:val="0"/>
    </w:pPr>
    <w:rPr>
      <w:rFonts w:ascii="Cambria" w:hAnsi="Cambria" w:eastAsia="宋体" w:cs="Times New Roman"/>
      <w:b/>
      <w:bCs/>
      <w:sz w:val="28"/>
      <w:szCs w:val="28"/>
      <w:lang w:val="en-US" w:eastAsia="zh-CN" w:bidi="ar-SA"/>
    </w:rPr>
  </w:style>
  <w:style w:type="paragraph" w:styleId="3">
    <w:name w:val="heading 2"/>
    <w:next w:val="1"/>
    <w:link w:val="20"/>
    <w:qFormat/>
    <w:uiPriority w:val="0"/>
    <w:pPr>
      <w:numPr>
        <w:ilvl w:val="1"/>
        <w:numId w:val="1"/>
      </w:numPr>
      <w:pBdr>
        <w:top w:val="none" w:color="auto" w:sz="0" w:space="0"/>
        <w:left w:val="none" w:color="auto" w:sz="0" w:space="0"/>
        <w:bottom w:val="none" w:color="auto" w:sz="0" w:space="0"/>
        <w:right w:val="none" w:color="auto" w:sz="0" w:space="0"/>
        <w:between w:val="none" w:color="auto" w:sz="0" w:space="0"/>
      </w:pBdr>
      <w:spacing w:before="200"/>
      <w:outlineLvl w:val="1"/>
    </w:pPr>
    <w:rPr>
      <w:rFonts w:ascii="Cambria" w:hAnsi="Cambria" w:eastAsia="宋体" w:cs="Times New Roman"/>
      <w:b/>
      <w:bCs/>
      <w:sz w:val="24"/>
      <w:szCs w:val="26"/>
      <w:lang w:val="en-US" w:eastAsia="zh-CN" w:bidi="ar-SA"/>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7"/>
    <w:unhideWhenUsed/>
    <w:qFormat/>
    <w:uiPriority w:val="99"/>
    <w:pPr>
      <w:tabs>
        <w:tab w:val="center" w:pos="4153"/>
        <w:tab w:val="right" w:pos="8306"/>
      </w:tabs>
      <w:snapToGrid w:val="0"/>
      <w:jc w:val="left"/>
    </w:pPr>
    <w:rPr>
      <w:sz w:val="18"/>
      <w:szCs w:val="18"/>
    </w:rPr>
  </w:style>
  <w:style w:type="paragraph" w:styleId="5">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8">
    <w:name w:val="Table Grid"/>
    <w:basedOn w:val="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22"/>
    <w:rPr>
      <w:b/>
    </w:rPr>
  </w:style>
  <w:style w:type="character" w:styleId="11">
    <w:name w:val="Emphasis"/>
    <w:basedOn w:val="9"/>
    <w:qFormat/>
    <w:uiPriority w:val="20"/>
    <w:rPr>
      <w:i/>
    </w:rPr>
  </w:style>
  <w:style w:type="character" w:styleId="12">
    <w:name w:val="line number"/>
    <w:basedOn w:val="9"/>
    <w:semiHidden/>
    <w:unhideWhenUsed/>
    <w:qFormat/>
    <w:uiPriority w:val="99"/>
  </w:style>
  <w:style w:type="character" w:styleId="13">
    <w:name w:val="Hyperlink"/>
    <w:qFormat/>
    <w:uiPriority w:val="0"/>
    <w:rPr>
      <w:u w:val="single"/>
    </w:rPr>
  </w:style>
  <w:style w:type="table" w:customStyle="1" w:styleId="14">
    <w:name w:val="Table Normal"/>
    <w:qFormat/>
    <w:uiPriority w:val="0"/>
    <w:tblPr>
      <w:tblCellMar>
        <w:top w:w="0" w:type="dxa"/>
        <w:left w:w="0" w:type="dxa"/>
        <w:bottom w:w="0" w:type="dxa"/>
        <w:right w:w="0" w:type="dxa"/>
      </w:tblCellMar>
    </w:tblPr>
  </w:style>
  <w:style w:type="paragraph" w:customStyle="1" w:styleId="15">
    <w:name w:val="页眉与页脚"/>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Neue" w:hAnsi="Helvetica Neue" w:eastAsia="Arial Unicode MS" w:cs="Arial Unicode MS"/>
      <w:color w:val="000000"/>
      <w:sz w:val="24"/>
      <w:szCs w:val="24"/>
      <w:lang w:val="en-US" w:eastAsia="zh-CN" w:bidi="ar-SA"/>
    </w:rPr>
  </w:style>
  <w:style w:type="character" w:customStyle="1" w:styleId="16">
    <w:name w:val="页眉 字符"/>
    <w:basedOn w:val="9"/>
    <w:link w:val="5"/>
    <w:qFormat/>
    <w:uiPriority w:val="99"/>
    <w:rPr>
      <w:rFonts w:ascii="等线" w:hAnsi="等线" w:eastAsia="等线" w:cs="等线"/>
      <w:color w:val="000000"/>
      <w:kern w:val="2"/>
      <w:sz w:val="18"/>
      <w:szCs w:val="18"/>
      <w:u w:color="000000"/>
    </w:rPr>
  </w:style>
  <w:style w:type="character" w:customStyle="1" w:styleId="17">
    <w:name w:val="页脚 字符"/>
    <w:basedOn w:val="9"/>
    <w:link w:val="4"/>
    <w:qFormat/>
    <w:uiPriority w:val="99"/>
    <w:rPr>
      <w:rFonts w:ascii="等线" w:hAnsi="等线" w:eastAsia="等线" w:cs="等线"/>
      <w:color w:val="000000"/>
      <w:kern w:val="2"/>
      <w:sz w:val="18"/>
      <w:szCs w:val="18"/>
      <w:u w:color="000000"/>
    </w:rPr>
  </w:style>
  <w:style w:type="paragraph" w:customStyle="1" w:styleId="18">
    <w:name w:val="0"/>
    <w:basedOn w:val="1"/>
    <w:qFormat/>
    <w:uiPriority w:val="0"/>
    <w:pPr>
      <w:pBdr>
        <w:top w:val="none" w:color="auto" w:sz="0" w:space="0"/>
        <w:left w:val="none" w:color="auto" w:sz="0" w:space="0"/>
        <w:bottom w:val="none" w:color="auto" w:sz="0" w:space="0"/>
        <w:right w:val="none" w:color="auto" w:sz="0" w:space="0"/>
        <w:between w:val="none" w:color="auto" w:sz="0" w:space="0"/>
      </w:pBdr>
      <w:spacing w:before="120" w:line="312" w:lineRule="atLeast"/>
    </w:pPr>
    <w:rPr>
      <w:rFonts w:ascii="MS PMincho" w:hAnsi="MS PMincho" w:eastAsia="华康简宋" w:cs="Times New Roman"/>
      <w:sz w:val="18"/>
      <w:szCs w:val="24"/>
    </w:rPr>
  </w:style>
  <w:style w:type="character" w:customStyle="1" w:styleId="19">
    <w:name w:val="标题 1 字符"/>
    <w:basedOn w:val="9"/>
    <w:qFormat/>
    <w:uiPriority w:val="9"/>
    <w:rPr>
      <w:rFonts w:ascii="等线" w:hAnsi="等线" w:eastAsia="等线" w:cs="等线"/>
      <w:b/>
      <w:bCs/>
      <w:color w:val="000000"/>
      <w:kern w:val="44"/>
      <w:sz w:val="44"/>
      <w:szCs w:val="44"/>
      <w:u w:color="000000"/>
    </w:rPr>
  </w:style>
  <w:style w:type="character" w:customStyle="1" w:styleId="20">
    <w:name w:val="标题 2 字符"/>
    <w:basedOn w:val="9"/>
    <w:link w:val="3"/>
    <w:qFormat/>
    <w:uiPriority w:val="0"/>
    <w:rPr>
      <w:rFonts w:ascii="Cambria" w:hAnsi="Cambria" w:eastAsia="宋体"/>
      <w:b/>
      <w:bCs/>
      <w:sz w:val="24"/>
      <w:szCs w:val="26"/>
    </w:rPr>
  </w:style>
  <w:style w:type="character" w:customStyle="1" w:styleId="21">
    <w:name w:val="标题 1 字符1"/>
    <w:basedOn w:val="9"/>
    <w:link w:val="2"/>
    <w:qFormat/>
    <w:uiPriority w:val="0"/>
    <w:rPr>
      <w:rFonts w:ascii="Cambria" w:hAnsi="Cambria" w:eastAsia="宋体"/>
      <w:b/>
      <w:bCs/>
      <w:sz w:val="28"/>
      <w:szCs w:val="28"/>
    </w:rPr>
  </w:style>
  <w:style w:type="paragraph" w:styleId="22">
    <w:name w:val="List Paragraph"/>
    <w:basedOn w:val="1"/>
    <w:qFormat/>
    <w:uiPriority w:val="34"/>
    <w:pPr>
      <w:ind w:firstLine="420" w:firstLineChars="200"/>
    </w:pPr>
  </w:style>
  <w:style w:type="character" w:styleId="23">
    <w:name w:val="Placeholder Text"/>
    <w:basedOn w:val="9"/>
    <w:semiHidden/>
    <w:qFormat/>
    <w:uiPriority w:val="99"/>
    <w:rPr>
      <w:color w:val="808080"/>
    </w:rPr>
  </w:style>
  <w:style w:type="paragraph" w:customStyle="1" w:styleId="24">
    <w:name w:val="Default"/>
    <w:qFormat/>
    <w:uiPriority w:val="0"/>
    <w:pPr>
      <w:widowControl w:val="0"/>
      <w:pBdr>
        <w:top w:val="none" w:color="auto" w:sz="0" w:space="0"/>
        <w:left w:val="none" w:color="auto" w:sz="0" w:space="0"/>
        <w:bottom w:val="none" w:color="auto" w:sz="0" w:space="0"/>
        <w:right w:val="none" w:color="auto" w:sz="0" w:space="0"/>
        <w:between w:val="none" w:color="auto" w:sz="0" w:space="0"/>
      </w:pBdr>
      <w:autoSpaceDE w:val="0"/>
      <w:autoSpaceDN w:val="0"/>
      <w:adjustRightInd w:val="0"/>
    </w:pPr>
    <w:rPr>
      <w:rFonts w:ascii="宋体" w:hAnsi="Times New Roman" w:eastAsia="宋体" w:cs="宋体"/>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B41934-3B0E-4A5C-B98C-B81D17ABB8BD}">
  <ds:schemaRefs/>
</ds:datastoreItem>
</file>

<file path=docProps/app.xml><?xml version="1.0" encoding="utf-8"?>
<Properties xmlns="http://schemas.openxmlformats.org/officeDocument/2006/extended-properties" xmlns:vt="http://schemas.openxmlformats.org/officeDocument/2006/docPropsVTypes">
  <Template>Normal</Template>
  <Pages>6</Pages>
  <Words>2468</Words>
  <Characters>3237</Characters>
  <Lines>1</Lines>
  <Paragraphs>1</Paragraphs>
  <TotalTime>37</TotalTime>
  <ScaleCrop>false</ScaleCrop>
  <LinksUpToDate>false</LinksUpToDate>
  <CharactersWithSpaces>3405</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2021-06-25T00:06:00Z</dcterms:created>
  <dc:creator>zhx</dc:creator>
  <cp:lastModifiedBy>Gao</cp:lastModifiedBy>
  <dcterms:modified xsi:type="dcterms:W3CDTF">2025-01-13T07:54:24Z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1180431289</vt:i4>
  </property>
  <property fmtid="{D5CDD505-2E9C-101B-9397-08002B2CF9AE}" pid="3" name="KSOProductBuildVer">
    <vt:lpwstr>2052-12.1.0.19770</vt:lpwstr>
  </property>
  <property fmtid="{D5CDD505-2E9C-101B-9397-08002B2CF9AE}" pid="4" name="ICV">
    <vt:lpwstr>AAC1EF47F3094374B27E862459413972_13</vt:lpwstr>
  </property>
  <property fmtid="{D5CDD505-2E9C-101B-9397-08002B2CF9AE}" pid="5" name="KSOTemplateDocerSaveRecord">
    <vt:lpwstr>eyJoZGlkIjoiYzFjNjQyZjAwYTFkODFmZWIxNWRhNmM5N2UzYjVkODAiLCJ1c2VySWQiOiIyOTEzNTI4MjQifQ==</vt:lpwstr>
  </property>
</Properties>
</file>