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4"/>
        <w:gridCol w:w="3724"/>
        <w:gridCol w:w="2740"/>
      </w:tblGrid>
      <w:tr w14:paraId="41EA9C2B">
        <w:trPr>
          <w:tblHeader/>
        </w:trPr>
        <w:tc>
          <w:tcPr>
            <w:tcW w:w="1254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8DDE902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" w:hAnsi="var(--dsw-font-markdown-table-h" w:eastAsia="var(--dsw-font-markdown-table-h" w:cs="var(--dsw-font-markdown-table-h"/>
                <w:b/>
                <w:bCs/>
              </w:rPr>
            </w:pPr>
            <w:r>
              <w:rPr>
                <w:rStyle w:val="4"/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</w:rPr>
              <w:t>Comparison Dimension</w:t>
            </w:r>
          </w:p>
        </w:tc>
        <w:tc>
          <w:tcPr>
            <w:tcW w:w="215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0568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</w:rPr>
            </w:pPr>
            <w:r>
              <w:rPr>
                <w:rStyle w:val="4"/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</w:rPr>
              <w:t>"Weight-Calculative" Architecture</w:t>
            </w:r>
          </w:p>
        </w:tc>
        <w:tc>
          <w:tcPr>
            <w:tcW w:w="1587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9CF5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</w:rPr>
            </w:pPr>
            <w:r>
              <w:rPr>
                <w:rStyle w:val="4"/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</w:rPr>
              <w:t>Existing AI (e.g., GNNs)</w:t>
            </w:r>
          </w:p>
        </w:tc>
      </w:tr>
      <w:tr w14:paraId="136F57BD">
        <w:tc>
          <w:tcPr>
            <w:tcW w:w="1254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F21B15E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 &amp; Status</w:t>
            </w:r>
          </w:p>
        </w:tc>
        <w:tc>
          <w:tcPr>
            <w:tcW w:w="215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CC00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The graph is the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direct embodiment of the cognitive world model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, the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"thinking organ"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 of intelligence. Graph algorithms are the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native implementation method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of its cognitive process.</w:t>
            </w:r>
          </w:p>
        </w:tc>
        <w:tc>
          <w:tcPr>
            <w:tcW w:w="1587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AE4D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The graph is a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data object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 to be processed, with the goal of achieving better performance on specific tasks. Graph algorithms are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tools for achieving task objectives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28D4CC6D">
        <w:tc>
          <w:tcPr>
            <w:tcW w:w="1254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F7AD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Clarity</w:t>
            </w:r>
          </w:p>
        </w:tc>
        <w:tc>
          <w:tcPr>
            <w:tcW w:w="215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785C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Pursues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symbolic clarity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. Each node (logical atom) and edge (pointing) has a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clear meaning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understandable by both machines and humans.</w:t>
            </w:r>
          </w:p>
        </w:tc>
        <w:tc>
          <w:tcPr>
            <w:tcW w:w="1587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28E2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Relies on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vector statistics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. The meaning of nodes and edges is distributed in network weights,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implicit and difficult to interpret directly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1A96456">
        <w:tc>
          <w:tcPr>
            <w:tcW w:w="1254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A3CD7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Generation/Reasoning Method</w:t>
            </w:r>
          </w:p>
        </w:tc>
        <w:tc>
          <w:tcPr>
            <w:tcW w:w="215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744F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Performs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symbolic reasoning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. Generates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interpretable, step-by-step logical reasoning chains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 by manipulating explicit symbols and relations.</w:t>
            </w:r>
          </w:p>
        </w:tc>
        <w:tc>
          <w:tcPr>
            <w:tcW w:w="1587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B1F4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Performs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interpolation and extrapolation in vector space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. Its "reasoning" is the result of feature transformation, </w:t>
            </w: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lacking clear logical steps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7494C53">
        <w:tc>
          <w:tcPr>
            <w:tcW w:w="1254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7541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Role of Graph</w:t>
            </w:r>
          </w:p>
        </w:tc>
        <w:tc>
          <w:tcPr>
            <w:tcW w:w="215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CAF4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Foundation and runtime engine of cognition</w:t>
            </w:r>
          </w:p>
        </w:tc>
        <w:tc>
          <w:tcPr>
            <w:tcW w:w="1587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970B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An efficient data structure</w:t>
            </w:r>
          </w:p>
        </w:tc>
      </w:tr>
      <w:tr w14:paraId="5B2C81F9">
        <w:tc>
          <w:tcPr>
            <w:tcW w:w="1254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A07F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Nature of Nodes</w:t>
            </w:r>
          </w:p>
        </w:tc>
        <w:tc>
          <w:tcPr>
            <w:tcW w:w="215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44FD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Grounded Logical Atoms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 (e.g., "edibility")</w:t>
            </w:r>
          </w:p>
        </w:tc>
        <w:tc>
          <w:tcPr>
            <w:tcW w:w="1587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F712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 vectors/embeddings with no explicit semantics</w:t>
            </w:r>
          </w:p>
        </w:tc>
      </w:tr>
      <w:tr w14:paraId="69BF7CF6">
        <w:tc>
          <w:tcPr>
            <w:tcW w:w="1254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7211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Nature of Edges</w:t>
            </w:r>
          </w:p>
        </w:tc>
        <w:tc>
          <w:tcPr>
            <w:tcW w:w="215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3775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Explicit logical relations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 (e.g., causality, attribute)</w:t>
            </w:r>
          </w:p>
        </w:tc>
        <w:tc>
          <w:tcPr>
            <w:tcW w:w="1587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6883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Implicit association strength</w:t>
            </w:r>
          </w:p>
        </w:tc>
      </w:tr>
      <w:tr w14:paraId="18BAFE06">
        <w:tc>
          <w:tcPr>
            <w:tcW w:w="1254" w:type="pct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BF9E5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Source of Interpretability</w:t>
            </w:r>
          </w:p>
        </w:tc>
        <w:tc>
          <w:tcPr>
            <w:tcW w:w="2158" w:type="pct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B26B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Natively interpretable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, explanations are naturally generated by backtracking the activation path.</w:t>
            </w:r>
          </w:p>
        </w:tc>
        <w:tc>
          <w:tcPr>
            <w:tcW w:w="1587" w:type="pct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4BBE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4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</w:rPr>
              <w:t>Post-hoc interpretable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</w:rPr>
              <w:t>, requires external tools for approximate inference.</w:t>
            </w:r>
          </w:p>
        </w:tc>
      </w:tr>
    </w:tbl>
    <w:p w14:paraId="2A20A7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F8572"/>
    <w:rsid w:val="1DFF8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2025-11-25T20:58:00Z</dcterms:created>
  <dc:creator>顺势而为</dc:creator>
  <cp:lastModifiedBy>顺势而为</cp:lastModifiedBy>
  <dcterms:modified xsi:type="dcterms:W3CDTF">2025-11-25T20:58:43Z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166BECB733F155CCF8A72569032F7BAD_41</vt:lpwstr>
  </property>
</Properties>
</file>